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theme/themeOverride2.xml" ContentType="application/vnd.openxmlformats-officedocument.themeOverride+xml"/>
  <Override PartName="/word/drawings/drawing6.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5CBF4" w14:textId="44B118CB" w:rsidR="00F76332" w:rsidRPr="004032F4" w:rsidRDefault="003577FE" w:rsidP="00423236">
      <w:pPr>
        <w:spacing w:before="360" w:after="120" w:line="240" w:lineRule="auto"/>
        <w:jc w:val="center"/>
        <w:rPr>
          <w:rFonts w:ascii="Times New Roman" w:eastAsia="Calibri" w:hAnsi="Times New Roman" w:cs="Times New Roman"/>
          <w:b/>
          <w:sz w:val="28"/>
          <w:szCs w:val="28"/>
        </w:rPr>
      </w:pPr>
      <w:r w:rsidRPr="004032F4">
        <w:rPr>
          <w:rFonts w:ascii="Times New Roman" w:eastAsia="Calibri" w:hAnsi="Times New Roman" w:cs="Times New Roman"/>
          <w:b/>
          <w:sz w:val="28"/>
          <w:szCs w:val="28"/>
        </w:rPr>
        <w:t>ЗАКЛЮЧЕНИЕ</w:t>
      </w:r>
      <w:r w:rsidR="00123565" w:rsidRPr="004032F4">
        <w:rPr>
          <w:rFonts w:ascii="Times New Roman" w:eastAsia="Calibri" w:hAnsi="Times New Roman" w:cs="Times New Roman"/>
          <w:b/>
          <w:sz w:val="28"/>
          <w:szCs w:val="28"/>
        </w:rPr>
        <w:t xml:space="preserve"> </w:t>
      </w:r>
    </w:p>
    <w:p w14:paraId="4A2F0EFD" w14:textId="297B128D" w:rsidR="003577FE" w:rsidRPr="004032F4" w:rsidRDefault="003577FE" w:rsidP="00734051">
      <w:pPr>
        <w:spacing w:after="0" w:line="240" w:lineRule="auto"/>
        <w:jc w:val="center"/>
        <w:rPr>
          <w:rFonts w:ascii="Times New Roman" w:eastAsia="Calibri" w:hAnsi="Times New Roman" w:cs="Times New Roman"/>
          <w:b/>
          <w:sz w:val="28"/>
          <w:szCs w:val="28"/>
        </w:rPr>
      </w:pPr>
      <w:r w:rsidRPr="004032F4">
        <w:rPr>
          <w:rFonts w:ascii="Times New Roman" w:eastAsia="Calibri" w:hAnsi="Times New Roman" w:cs="Times New Roman"/>
          <w:b/>
          <w:sz w:val="28"/>
          <w:szCs w:val="28"/>
        </w:rPr>
        <w:t>счетной палаты Тульской области</w:t>
      </w:r>
      <w:r w:rsidRPr="004032F4">
        <w:rPr>
          <w:rFonts w:ascii="Times New Roman" w:eastAsia="Calibri" w:hAnsi="Times New Roman" w:cs="Times New Roman"/>
          <w:b/>
          <w:sz w:val="28"/>
          <w:szCs w:val="28"/>
        </w:rPr>
        <w:br/>
        <w:t>на проект закона Тульской области «О бюджете Тульской области</w:t>
      </w:r>
      <w:r w:rsidRPr="004032F4">
        <w:rPr>
          <w:rFonts w:ascii="Times New Roman" w:eastAsia="Calibri" w:hAnsi="Times New Roman" w:cs="Times New Roman"/>
          <w:b/>
          <w:sz w:val="28"/>
          <w:szCs w:val="28"/>
        </w:rPr>
        <w:br/>
      </w:r>
      <w:r w:rsidR="00734051" w:rsidRPr="004032F4">
        <w:rPr>
          <w:rFonts w:ascii="Times New Roman" w:eastAsia="Calibri" w:hAnsi="Times New Roman" w:cs="Times New Roman"/>
          <w:b/>
          <w:sz w:val="28"/>
          <w:szCs w:val="28"/>
        </w:rPr>
        <w:t xml:space="preserve">на </w:t>
      </w:r>
      <w:r w:rsidR="00933509" w:rsidRPr="004032F4">
        <w:rPr>
          <w:rFonts w:ascii="Times New Roman" w:eastAsia="Calibri" w:hAnsi="Times New Roman" w:cs="Times New Roman"/>
          <w:b/>
          <w:sz w:val="28"/>
          <w:szCs w:val="28"/>
        </w:rPr>
        <w:t>2025</w:t>
      </w:r>
      <w:r w:rsidR="00734051" w:rsidRPr="004032F4">
        <w:rPr>
          <w:rFonts w:ascii="Times New Roman" w:eastAsia="Calibri" w:hAnsi="Times New Roman" w:cs="Times New Roman"/>
          <w:b/>
          <w:sz w:val="28"/>
          <w:szCs w:val="28"/>
        </w:rPr>
        <w:t xml:space="preserve"> год и на плановый период </w:t>
      </w:r>
      <w:r w:rsidR="00933509" w:rsidRPr="004032F4">
        <w:rPr>
          <w:rFonts w:ascii="Times New Roman" w:eastAsia="Calibri" w:hAnsi="Times New Roman" w:cs="Times New Roman"/>
          <w:b/>
          <w:sz w:val="28"/>
          <w:szCs w:val="28"/>
        </w:rPr>
        <w:t>2026</w:t>
      </w:r>
      <w:r w:rsidR="00734051" w:rsidRPr="004032F4">
        <w:rPr>
          <w:rFonts w:ascii="Times New Roman" w:eastAsia="Calibri" w:hAnsi="Times New Roman" w:cs="Times New Roman"/>
          <w:b/>
          <w:sz w:val="28"/>
          <w:szCs w:val="28"/>
        </w:rPr>
        <w:t xml:space="preserve"> и 202</w:t>
      </w:r>
      <w:r w:rsidR="0089026D" w:rsidRPr="004032F4">
        <w:rPr>
          <w:rFonts w:ascii="Times New Roman" w:eastAsia="Calibri" w:hAnsi="Times New Roman" w:cs="Times New Roman"/>
          <w:b/>
          <w:sz w:val="28"/>
          <w:szCs w:val="28"/>
        </w:rPr>
        <w:t>7</w:t>
      </w:r>
      <w:r w:rsidR="00EB3C9B" w:rsidRPr="004032F4">
        <w:rPr>
          <w:rFonts w:ascii="Times New Roman" w:eastAsia="Calibri" w:hAnsi="Times New Roman" w:cs="Times New Roman"/>
          <w:b/>
          <w:sz w:val="28"/>
          <w:szCs w:val="28"/>
        </w:rPr>
        <w:t xml:space="preserve"> </w:t>
      </w:r>
      <w:r w:rsidRPr="004032F4">
        <w:rPr>
          <w:rFonts w:ascii="Times New Roman" w:eastAsia="Calibri" w:hAnsi="Times New Roman" w:cs="Times New Roman"/>
          <w:b/>
          <w:sz w:val="28"/>
          <w:szCs w:val="28"/>
        </w:rPr>
        <w:t>годов»</w:t>
      </w:r>
    </w:p>
    <w:p w14:paraId="0A5EE478" w14:textId="5E2DA703" w:rsidR="00492603" w:rsidRPr="004032F4" w:rsidRDefault="00492603" w:rsidP="00116BB9">
      <w:pPr>
        <w:tabs>
          <w:tab w:val="left" w:pos="993"/>
        </w:tabs>
        <w:spacing w:before="720" w:after="0" w:line="264"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Настоящее заключение счетной палаты Тульской области на проект закона Тульской области «О бюджете Тульской области </w:t>
      </w:r>
      <w:r w:rsidR="00734051" w:rsidRPr="004032F4">
        <w:rPr>
          <w:rFonts w:ascii="Times New Roman" w:eastAsia="Calibri" w:hAnsi="Times New Roman" w:cs="Times New Roman"/>
          <w:sz w:val="28"/>
          <w:szCs w:val="28"/>
        </w:rPr>
        <w:t xml:space="preserve">на </w:t>
      </w:r>
      <w:r w:rsidR="00933509" w:rsidRPr="004032F4">
        <w:rPr>
          <w:rFonts w:ascii="Times New Roman" w:eastAsia="Calibri" w:hAnsi="Times New Roman" w:cs="Times New Roman"/>
          <w:sz w:val="28"/>
          <w:szCs w:val="28"/>
        </w:rPr>
        <w:t>2025</w:t>
      </w:r>
      <w:r w:rsidR="0089026D" w:rsidRPr="004032F4">
        <w:rPr>
          <w:rFonts w:ascii="Times New Roman" w:eastAsia="Calibri" w:hAnsi="Times New Roman" w:cs="Times New Roman"/>
          <w:sz w:val="28"/>
          <w:szCs w:val="28"/>
        </w:rPr>
        <w:t xml:space="preserve"> год и на плановый период </w:t>
      </w:r>
      <w:r w:rsidR="00933509" w:rsidRPr="004032F4">
        <w:rPr>
          <w:rFonts w:ascii="Times New Roman" w:eastAsia="Calibri" w:hAnsi="Times New Roman" w:cs="Times New Roman"/>
          <w:sz w:val="28"/>
          <w:szCs w:val="28"/>
        </w:rPr>
        <w:t>2026</w:t>
      </w:r>
      <w:r w:rsidR="0089026D" w:rsidRPr="004032F4">
        <w:rPr>
          <w:rFonts w:ascii="Times New Roman" w:eastAsia="Calibri" w:hAnsi="Times New Roman" w:cs="Times New Roman"/>
          <w:sz w:val="28"/>
          <w:szCs w:val="28"/>
        </w:rPr>
        <w:t xml:space="preserve"> и 2027 </w:t>
      </w:r>
      <w:r w:rsidRPr="004032F4">
        <w:rPr>
          <w:rFonts w:ascii="Times New Roman" w:eastAsia="Calibri" w:hAnsi="Times New Roman" w:cs="Times New Roman"/>
          <w:sz w:val="28"/>
          <w:szCs w:val="28"/>
        </w:rPr>
        <w:t xml:space="preserve">годов» </w:t>
      </w:r>
      <w:r w:rsidR="0079691A" w:rsidRPr="004032F4">
        <w:rPr>
          <w:rFonts w:ascii="Times New Roman" w:eastAsia="Calibri" w:hAnsi="Times New Roman" w:cs="Times New Roman"/>
          <w:sz w:val="28"/>
          <w:szCs w:val="28"/>
        </w:rPr>
        <w:t xml:space="preserve">(далее – Законопроект) </w:t>
      </w:r>
      <w:r w:rsidRPr="004032F4">
        <w:rPr>
          <w:rFonts w:ascii="Times New Roman" w:eastAsia="Calibri" w:hAnsi="Times New Roman" w:cs="Times New Roman"/>
          <w:sz w:val="28"/>
          <w:szCs w:val="28"/>
        </w:rPr>
        <w:t>подготовлено в соответствии с Бюджетным кодексом Российской Федерации, Законами Тульской области «О бюджетном процессе в Тульской области», «О счетной палате Тульской области»</w:t>
      </w:r>
      <w:r w:rsidR="005C12C9" w:rsidRPr="004032F4">
        <w:rPr>
          <w:rFonts w:ascii="Times New Roman" w:eastAsia="Calibri" w:hAnsi="Times New Roman" w:cs="Times New Roman"/>
          <w:sz w:val="28"/>
          <w:szCs w:val="28"/>
        </w:rPr>
        <w:t>.</w:t>
      </w:r>
      <w:r w:rsidRPr="004032F4">
        <w:rPr>
          <w:rFonts w:ascii="Times New Roman" w:eastAsia="Calibri" w:hAnsi="Times New Roman" w:cs="Times New Roman"/>
          <w:sz w:val="28"/>
          <w:szCs w:val="28"/>
        </w:rPr>
        <w:t xml:space="preserve"> </w:t>
      </w:r>
    </w:p>
    <w:p w14:paraId="50A56AFD" w14:textId="1689CE9A" w:rsidR="00492603" w:rsidRPr="004032F4" w:rsidRDefault="00492603" w:rsidP="00116BB9">
      <w:pPr>
        <w:tabs>
          <w:tab w:val="left" w:pos="993"/>
        </w:tabs>
        <w:spacing w:before="240" w:after="0" w:line="264"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В счетную палату Тульской области</w:t>
      </w:r>
      <w:r w:rsidR="004B1339" w:rsidRPr="004032F4">
        <w:rPr>
          <w:rFonts w:ascii="Times New Roman" w:eastAsia="Calibri" w:hAnsi="Times New Roman" w:cs="Times New Roman"/>
          <w:sz w:val="28"/>
          <w:szCs w:val="28"/>
        </w:rPr>
        <w:t xml:space="preserve"> (далее – счетная палата) </w:t>
      </w:r>
      <w:r w:rsidR="006B5432" w:rsidRPr="004032F4">
        <w:rPr>
          <w:rFonts w:ascii="Times New Roman" w:eastAsia="Calibri" w:hAnsi="Times New Roman" w:cs="Times New Roman"/>
          <w:sz w:val="28"/>
          <w:szCs w:val="28"/>
        </w:rPr>
        <w:t xml:space="preserve">проект закона Тульской области «О бюджете Тульской области </w:t>
      </w:r>
      <w:r w:rsidR="00734051" w:rsidRPr="004032F4">
        <w:rPr>
          <w:rFonts w:ascii="Times New Roman" w:eastAsia="Calibri" w:hAnsi="Times New Roman" w:cs="Times New Roman"/>
          <w:sz w:val="28"/>
          <w:szCs w:val="28"/>
        </w:rPr>
        <w:t xml:space="preserve">на </w:t>
      </w:r>
      <w:r w:rsidR="00933509" w:rsidRPr="004032F4">
        <w:rPr>
          <w:rFonts w:ascii="Times New Roman" w:eastAsia="Calibri" w:hAnsi="Times New Roman" w:cs="Times New Roman"/>
          <w:sz w:val="28"/>
          <w:szCs w:val="28"/>
        </w:rPr>
        <w:t>2025</w:t>
      </w:r>
      <w:r w:rsidR="0089026D" w:rsidRPr="004032F4">
        <w:rPr>
          <w:rFonts w:ascii="Times New Roman" w:eastAsia="Calibri" w:hAnsi="Times New Roman" w:cs="Times New Roman"/>
          <w:sz w:val="28"/>
          <w:szCs w:val="28"/>
        </w:rPr>
        <w:t xml:space="preserve"> год и на плановый период </w:t>
      </w:r>
      <w:r w:rsidR="00933509" w:rsidRPr="004032F4">
        <w:rPr>
          <w:rFonts w:ascii="Times New Roman" w:eastAsia="Calibri" w:hAnsi="Times New Roman" w:cs="Times New Roman"/>
          <w:sz w:val="28"/>
          <w:szCs w:val="28"/>
        </w:rPr>
        <w:t>2026</w:t>
      </w:r>
      <w:r w:rsidR="0089026D" w:rsidRPr="004032F4">
        <w:rPr>
          <w:rFonts w:ascii="Times New Roman" w:eastAsia="Calibri" w:hAnsi="Times New Roman" w:cs="Times New Roman"/>
          <w:sz w:val="28"/>
          <w:szCs w:val="28"/>
        </w:rPr>
        <w:t xml:space="preserve"> и 2027 </w:t>
      </w:r>
      <w:r w:rsidR="006B5432" w:rsidRPr="004032F4">
        <w:rPr>
          <w:rFonts w:ascii="Times New Roman" w:eastAsia="Calibri" w:hAnsi="Times New Roman" w:cs="Times New Roman"/>
          <w:sz w:val="28"/>
          <w:szCs w:val="28"/>
        </w:rPr>
        <w:t xml:space="preserve">годов» </w:t>
      </w:r>
      <w:r w:rsidRPr="004032F4">
        <w:rPr>
          <w:rFonts w:ascii="Times New Roman" w:eastAsia="Calibri" w:hAnsi="Times New Roman" w:cs="Times New Roman"/>
          <w:sz w:val="28"/>
          <w:szCs w:val="28"/>
        </w:rPr>
        <w:t xml:space="preserve">направлен </w:t>
      </w:r>
      <w:r w:rsidR="00683984" w:rsidRPr="004032F4">
        <w:rPr>
          <w:rFonts w:ascii="Times New Roman" w:eastAsia="Calibri" w:hAnsi="Times New Roman" w:cs="Times New Roman"/>
          <w:sz w:val="28"/>
          <w:szCs w:val="28"/>
        </w:rPr>
        <w:t xml:space="preserve">письмом </w:t>
      </w:r>
      <w:r w:rsidR="006B5432" w:rsidRPr="004032F4">
        <w:rPr>
          <w:rFonts w:ascii="Times New Roman" w:eastAsia="Calibri" w:hAnsi="Times New Roman" w:cs="Times New Roman"/>
          <w:sz w:val="28"/>
          <w:szCs w:val="28"/>
        </w:rPr>
        <w:t xml:space="preserve">Тульской областной Думы </w:t>
      </w:r>
      <w:r w:rsidR="00683984" w:rsidRPr="004032F4">
        <w:rPr>
          <w:rFonts w:ascii="Times New Roman" w:eastAsia="Calibri" w:hAnsi="Times New Roman" w:cs="Times New Roman"/>
          <w:sz w:val="28"/>
          <w:szCs w:val="28"/>
        </w:rPr>
        <w:t xml:space="preserve">от </w:t>
      </w:r>
      <w:r w:rsidR="00EB3C9B" w:rsidRPr="004032F4">
        <w:rPr>
          <w:rFonts w:ascii="Times New Roman" w:eastAsia="Calibri" w:hAnsi="Times New Roman" w:cs="Times New Roman"/>
          <w:sz w:val="28"/>
          <w:szCs w:val="28"/>
        </w:rPr>
        <w:t>0</w:t>
      </w:r>
      <w:r w:rsidR="007A4D65" w:rsidRPr="004032F4">
        <w:rPr>
          <w:rFonts w:ascii="Times New Roman" w:eastAsia="Calibri" w:hAnsi="Times New Roman" w:cs="Times New Roman"/>
          <w:sz w:val="28"/>
          <w:szCs w:val="28"/>
        </w:rPr>
        <w:t>1</w:t>
      </w:r>
      <w:r w:rsidR="00EB3C9B" w:rsidRPr="004032F4">
        <w:rPr>
          <w:rFonts w:ascii="Times New Roman" w:eastAsia="Calibri" w:hAnsi="Times New Roman" w:cs="Times New Roman"/>
          <w:sz w:val="28"/>
          <w:szCs w:val="28"/>
        </w:rPr>
        <w:t>.11</w:t>
      </w:r>
      <w:r w:rsidR="006B5432" w:rsidRPr="004032F4">
        <w:rPr>
          <w:rFonts w:ascii="Times New Roman" w:eastAsia="Calibri" w:hAnsi="Times New Roman" w:cs="Times New Roman"/>
          <w:sz w:val="28"/>
          <w:szCs w:val="28"/>
        </w:rPr>
        <w:t>.202</w:t>
      </w:r>
      <w:r w:rsidR="007A4D65" w:rsidRPr="004032F4">
        <w:rPr>
          <w:rFonts w:ascii="Times New Roman" w:eastAsia="Calibri" w:hAnsi="Times New Roman" w:cs="Times New Roman"/>
          <w:sz w:val="28"/>
          <w:szCs w:val="28"/>
        </w:rPr>
        <w:t>4</w:t>
      </w:r>
      <w:r w:rsidR="006B5432" w:rsidRPr="004032F4">
        <w:rPr>
          <w:rFonts w:ascii="Times New Roman" w:eastAsia="Calibri" w:hAnsi="Times New Roman" w:cs="Times New Roman"/>
          <w:sz w:val="28"/>
          <w:szCs w:val="28"/>
        </w:rPr>
        <w:t xml:space="preserve"> </w:t>
      </w:r>
      <w:r w:rsidR="00355170" w:rsidRPr="004032F4">
        <w:rPr>
          <w:rFonts w:ascii="Times New Roman" w:eastAsia="Calibri" w:hAnsi="Times New Roman" w:cs="Times New Roman"/>
          <w:sz w:val="28"/>
          <w:szCs w:val="28"/>
        </w:rPr>
        <w:t>№</w:t>
      </w:r>
      <w:r w:rsidR="006B5432" w:rsidRPr="004032F4">
        <w:rPr>
          <w:rFonts w:ascii="Times New Roman" w:eastAsia="Calibri" w:hAnsi="Times New Roman" w:cs="Times New Roman"/>
          <w:sz w:val="28"/>
          <w:szCs w:val="28"/>
        </w:rPr>
        <w:t>Д/16</w:t>
      </w:r>
      <w:r w:rsidR="006B5432" w:rsidRPr="004032F4">
        <w:rPr>
          <w:rFonts w:ascii="Times New Roman" w:eastAsia="Calibri" w:hAnsi="Times New Roman" w:cs="Times New Roman"/>
          <w:sz w:val="28"/>
          <w:szCs w:val="28"/>
        </w:rPr>
        <w:noBreakHyphen/>
        <w:t>3</w:t>
      </w:r>
      <w:r w:rsidR="007A4D65" w:rsidRPr="004032F4">
        <w:rPr>
          <w:rFonts w:ascii="Times New Roman" w:eastAsia="Calibri" w:hAnsi="Times New Roman" w:cs="Times New Roman"/>
          <w:sz w:val="28"/>
          <w:szCs w:val="28"/>
        </w:rPr>
        <w:t>256</w:t>
      </w:r>
      <w:r w:rsidR="006B5432" w:rsidRPr="004032F4">
        <w:rPr>
          <w:rFonts w:ascii="Times New Roman" w:eastAsia="Calibri" w:hAnsi="Times New Roman" w:cs="Times New Roman"/>
          <w:sz w:val="28"/>
          <w:szCs w:val="28"/>
        </w:rPr>
        <w:t xml:space="preserve">/2. </w:t>
      </w:r>
    </w:p>
    <w:p w14:paraId="75064958" w14:textId="0DC4575B" w:rsidR="009A0CA3" w:rsidRPr="004032F4" w:rsidRDefault="009A0CA3" w:rsidP="00116BB9">
      <w:pPr>
        <w:tabs>
          <w:tab w:val="left" w:pos="993"/>
          <w:tab w:val="left" w:pos="1134"/>
          <w:tab w:val="left" w:pos="1276"/>
        </w:tabs>
        <w:spacing w:before="120" w:after="0" w:line="264" w:lineRule="auto"/>
        <w:ind w:firstLine="709"/>
        <w:jc w:val="both"/>
        <w:rPr>
          <w:rFonts w:ascii="Times New Roman" w:eastAsia="Calibri" w:hAnsi="Times New Roman" w:cs="Times New Roman"/>
          <w:kern w:val="28"/>
          <w:sz w:val="28"/>
          <w:szCs w:val="28"/>
        </w:rPr>
      </w:pPr>
      <w:r w:rsidRPr="004032F4">
        <w:rPr>
          <w:rFonts w:ascii="Times New Roman" w:eastAsia="Calibri" w:hAnsi="Times New Roman" w:cs="Times New Roman"/>
          <w:kern w:val="28"/>
          <w:sz w:val="28"/>
          <w:szCs w:val="28"/>
        </w:rPr>
        <w:t xml:space="preserve">Перечень документов и материалов, представленных одновременно с Законопроектом, соответствует требованиям статьи 16 Закона </w:t>
      </w:r>
      <w:r w:rsidR="00967D7F" w:rsidRPr="004032F4">
        <w:rPr>
          <w:rFonts w:ascii="Times New Roman" w:eastAsia="Calibri" w:hAnsi="Times New Roman" w:cs="Times New Roman"/>
          <w:sz w:val="28"/>
          <w:szCs w:val="28"/>
        </w:rPr>
        <w:t xml:space="preserve">Тульской области «О бюджетном процессе в Тульской области» (далее – Закон </w:t>
      </w:r>
      <w:r w:rsidRPr="004032F4">
        <w:rPr>
          <w:rFonts w:ascii="Times New Roman" w:eastAsia="Calibri" w:hAnsi="Times New Roman" w:cs="Times New Roman"/>
          <w:kern w:val="28"/>
          <w:sz w:val="28"/>
          <w:szCs w:val="28"/>
        </w:rPr>
        <w:t>области о бюджетном процессе</w:t>
      </w:r>
      <w:r w:rsidR="00967D7F" w:rsidRPr="004032F4">
        <w:rPr>
          <w:rFonts w:ascii="Times New Roman" w:eastAsia="Calibri" w:hAnsi="Times New Roman" w:cs="Times New Roman"/>
          <w:kern w:val="28"/>
          <w:sz w:val="28"/>
          <w:szCs w:val="28"/>
        </w:rPr>
        <w:t>)</w:t>
      </w:r>
      <w:r w:rsidRPr="004032F4">
        <w:rPr>
          <w:rFonts w:ascii="Times New Roman" w:eastAsia="Calibri" w:hAnsi="Times New Roman" w:cs="Times New Roman"/>
          <w:kern w:val="28"/>
          <w:sz w:val="28"/>
          <w:szCs w:val="28"/>
        </w:rPr>
        <w:t xml:space="preserve">. Перечень показателей Законопроекта и приложений к Законопроекту соответствует требованиям статьи </w:t>
      </w:r>
      <w:r w:rsidR="004F1184" w:rsidRPr="004032F4">
        <w:rPr>
          <w:rFonts w:ascii="Times New Roman" w:eastAsia="Calibri" w:hAnsi="Times New Roman" w:cs="Times New Roman"/>
          <w:kern w:val="28"/>
          <w:sz w:val="28"/>
          <w:szCs w:val="28"/>
        </w:rPr>
        <w:t xml:space="preserve">184.1 </w:t>
      </w:r>
      <w:r w:rsidR="00795EF0" w:rsidRPr="004032F4">
        <w:rPr>
          <w:rFonts w:ascii="Times New Roman" w:eastAsia="Calibri" w:hAnsi="Times New Roman" w:cs="Times New Roman"/>
          <w:kern w:val="28"/>
          <w:sz w:val="28"/>
          <w:szCs w:val="28"/>
        </w:rPr>
        <w:t xml:space="preserve">Бюджетного кодекса Российской Федерации (далее – </w:t>
      </w:r>
      <w:r w:rsidR="004F1184" w:rsidRPr="004032F4">
        <w:rPr>
          <w:rFonts w:ascii="Times New Roman" w:eastAsia="Calibri" w:hAnsi="Times New Roman" w:cs="Times New Roman"/>
          <w:kern w:val="28"/>
          <w:sz w:val="28"/>
          <w:szCs w:val="28"/>
        </w:rPr>
        <w:t>БК РФ</w:t>
      </w:r>
      <w:r w:rsidR="00795EF0" w:rsidRPr="004032F4">
        <w:rPr>
          <w:rFonts w:ascii="Times New Roman" w:eastAsia="Calibri" w:hAnsi="Times New Roman" w:cs="Times New Roman"/>
          <w:kern w:val="28"/>
          <w:sz w:val="28"/>
          <w:szCs w:val="28"/>
        </w:rPr>
        <w:t>)</w:t>
      </w:r>
      <w:r w:rsidR="004F1184" w:rsidRPr="004032F4">
        <w:rPr>
          <w:rFonts w:ascii="Times New Roman" w:eastAsia="Calibri" w:hAnsi="Times New Roman" w:cs="Times New Roman"/>
          <w:kern w:val="28"/>
          <w:sz w:val="28"/>
          <w:szCs w:val="28"/>
        </w:rPr>
        <w:t xml:space="preserve">, статьи </w:t>
      </w:r>
      <w:r w:rsidRPr="004032F4">
        <w:rPr>
          <w:rFonts w:ascii="Times New Roman" w:eastAsia="Calibri" w:hAnsi="Times New Roman" w:cs="Times New Roman"/>
          <w:kern w:val="28"/>
          <w:sz w:val="28"/>
          <w:szCs w:val="28"/>
        </w:rPr>
        <w:t>15 Закона области о бюджетном процессе.</w:t>
      </w:r>
    </w:p>
    <w:p w14:paraId="60294D2E" w14:textId="77777777" w:rsidR="004B1339" w:rsidRPr="004032F4" w:rsidRDefault="004B1339" w:rsidP="00116BB9">
      <w:pPr>
        <w:tabs>
          <w:tab w:val="left" w:pos="993"/>
          <w:tab w:val="left" w:pos="1134"/>
          <w:tab w:val="left" w:pos="1276"/>
        </w:tabs>
        <w:spacing w:before="120" w:after="0" w:line="264" w:lineRule="auto"/>
        <w:ind w:firstLine="709"/>
        <w:jc w:val="both"/>
        <w:rPr>
          <w:rFonts w:ascii="Times New Roman" w:eastAsia="Calibri" w:hAnsi="Times New Roman" w:cs="Times New Roman"/>
          <w:kern w:val="28"/>
          <w:sz w:val="28"/>
          <w:szCs w:val="28"/>
        </w:rPr>
      </w:pPr>
    </w:p>
    <w:p w14:paraId="215F61D4" w14:textId="2B82D719" w:rsidR="000B23E7" w:rsidRPr="004032F4" w:rsidRDefault="000B23E7" w:rsidP="00D24461">
      <w:pPr>
        <w:pageBreakBefore/>
        <w:widowControl w:val="0"/>
        <w:pBdr>
          <w:bottom w:val="thinThickSmallGap" w:sz="18" w:space="10" w:color="auto"/>
        </w:pBdr>
        <w:suppressAutoHyphens/>
        <w:spacing w:before="1320" w:after="360" w:line="240" w:lineRule="auto"/>
        <w:jc w:val="center"/>
        <w:outlineLvl w:val="0"/>
        <w:rPr>
          <w:rFonts w:ascii="Times New Roman" w:eastAsia="Calibri" w:hAnsi="Times New Roman" w:cs="Times New Roman"/>
          <w:b/>
          <w:caps/>
          <w:spacing w:val="30"/>
          <w:w w:val="150"/>
          <w:sz w:val="24"/>
          <w:szCs w:val="24"/>
        </w:rPr>
      </w:pPr>
      <w:r w:rsidRPr="004032F4">
        <w:rPr>
          <w:rFonts w:ascii="Times New Roman" w:eastAsia="Calibri" w:hAnsi="Times New Roman" w:cs="Times New Roman"/>
          <w:b/>
          <w:caps/>
          <w:spacing w:val="30"/>
          <w:w w:val="150"/>
          <w:sz w:val="24"/>
          <w:szCs w:val="24"/>
        </w:rPr>
        <w:lastRenderedPageBreak/>
        <w:t>1. ОБЩАЯ ХАРАКТЕРИСТИКА</w:t>
      </w:r>
      <w:r w:rsidRPr="004032F4">
        <w:rPr>
          <w:rFonts w:ascii="Times New Roman" w:eastAsia="Calibri" w:hAnsi="Times New Roman" w:cs="Times New Roman"/>
          <w:b/>
          <w:caps/>
          <w:spacing w:val="30"/>
          <w:w w:val="150"/>
          <w:sz w:val="24"/>
          <w:szCs w:val="24"/>
        </w:rPr>
        <w:br/>
        <w:t>ПРОЕКТА БЮДЖЕТА ОБЛАСТИ и условий его формирования</w:t>
      </w:r>
    </w:p>
    <w:p w14:paraId="6338B5F0" w14:textId="782B5130" w:rsidR="000B23E7" w:rsidRPr="004032F4" w:rsidRDefault="000B23E7" w:rsidP="00D24461">
      <w:pPr>
        <w:tabs>
          <w:tab w:val="left" w:pos="993"/>
          <w:tab w:val="left" w:pos="1134"/>
          <w:tab w:val="left" w:pos="1276"/>
        </w:tabs>
        <w:spacing w:before="360" w:after="0" w:line="264" w:lineRule="auto"/>
        <w:ind w:firstLine="709"/>
        <w:jc w:val="both"/>
        <w:rPr>
          <w:rFonts w:ascii="Times New Roman" w:eastAsia="Calibri" w:hAnsi="Times New Roman" w:cs="Times New Roman"/>
          <w:strike/>
          <w:kern w:val="28"/>
          <w:sz w:val="28"/>
          <w:szCs w:val="28"/>
        </w:rPr>
      </w:pPr>
      <w:r w:rsidRPr="004032F4">
        <w:rPr>
          <w:rFonts w:ascii="Times New Roman" w:eastAsia="Calibri" w:hAnsi="Times New Roman" w:cs="Times New Roman"/>
          <w:kern w:val="28"/>
          <w:sz w:val="28"/>
          <w:szCs w:val="28"/>
        </w:rPr>
        <w:t xml:space="preserve">Проект бюджета </w:t>
      </w:r>
      <w:r w:rsidR="007640C5" w:rsidRPr="004032F4">
        <w:rPr>
          <w:rFonts w:ascii="Times New Roman" w:eastAsia="Calibri" w:hAnsi="Times New Roman" w:cs="Times New Roman"/>
          <w:kern w:val="28"/>
          <w:sz w:val="28"/>
          <w:szCs w:val="28"/>
        </w:rPr>
        <w:t xml:space="preserve">Тульской </w:t>
      </w:r>
      <w:r w:rsidRPr="004032F4">
        <w:rPr>
          <w:rFonts w:ascii="Times New Roman" w:eastAsia="Calibri" w:hAnsi="Times New Roman" w:cs="Times New Roman"/>
          <w:kern w:val="28"/>
          <w:sz w:val="28"/>
          <w:szCs w:val="28"/>
        </w:rPr>
        <w:t xml:space="preserve">области составлен на три года в форме проекта закона Тульской области, что соответствует БК РФ и Закону </w:t>
      </w:r>
      <w:r w:rsidR="00D9250E" w:rsidRPr="004032F4">
        <w:rPr>
          <w:rFonts w:ascii="Times New Roman" w:eastAsia="Calibri" w:hAnsi="Times New Roman" w:cs="Times New Roman"/>
          <w:kern w:val="28"/>
          <w:sz w:val="28"/>
          <w:szCs w:val="28"/>
        </w:rPr>
        <w:t xml:space="preserve">области </w:t>
      </w:r>
      <w:r w:rsidRPr="004032F4">
        <w:rPr>
          <w:rFonts w:ascii="Times New Roman" w:eastAsia="Calibri" w:hAnsi="Times New Roman" w:cs="Times New Roman"/>
          <w:kern w:val="28"/>
          <w:sz w:val="28"/>
          <w:szCs w:val="28"/>
        </w:rPr>
        <w:t>о бюджетном процессе.</w:t>
      </w:r>
      <w:r w:rsidR="009A2A67" w:rsidRPr="004032F4">
        <w:rPr>
          <w:rFonts w:ascii="Times New Roman" w:eastAsia="Calibri" w:hAnsi="Times New Roman" w:cs="Times New Roman"/>
          <w:kern w:val="28"/>
          <w:sz w:val="28"/>
          <w:szCs w:val="28"/>
        </w:rPr>
        <w:t xml:space="preserve"> </w:t>
      </w:r>
    </w:p>
    <w:p w14:paraId="26B71848" w14:textId="47319E90" w:rsidR="000356F3" w:rsidRPr="004032F4" w:rsidRDefault="000B23E7" w:rsidP="00D24461">
      <w:pPr>
        <w:spacing w:before="240" w:after="0" w:line="264" w:lineRule="auto"/>
        <w:ind w:firstLine="709"/>
        <w:jc w:val="both"/>
        <w:rPr>
          <w:rFonts w:ascii="Times New Roman" w:eastAsia="Calibri" w:hAnsi="Times New Roman" w:cs="Times New Roman"/>
          <w:strike/>
          <w:kern w:val="28"/>
          <w:sz w:val="28"/>
          <w:szCs w:val="28"/>
        </w:rPr>
      </w:pPr>
      <w:r w:rsidRPr="004032F4">
        <w:rPr>
          <w:rFonts w:ascii="Times New Roman" w:eastAsia="Calibri" w:hAnsi="Times New Roman" w:cs="Times New Roman"/>
          <w:kern w:val="28"/>
          <w:sz w:val="28"/>
          <w:szCs w:val="28"/>
        </w:rPr>
        <w:t xml:space="preserve">Формирование бюджета области </w:t>
      </w:r>
      <w:r w:rsidR="00734051" w:rsidRPr="004032F4">
        <w:rPr>
          <w:rFonts w:ascii="Times New Roman" w:eastAsia="Calibri" w:hAnsi="Times New Roman" w:cs="Times New Roman"/>
          <w:kern w:val="28"/>
          <w:sz w:val="28"/>
          <w:szCs w:val="28"/>
        </w:rPr>
        <w:t xml:space="preserve">на </w:t>
      </w:r>
      <w:r w:rsidR="00933509" w:rsidRPr="004032F4">
        <w:rPr>
          <w:rFonts w:ascii="Times New Roman" w:eastAsia="Calibri" w:hAnsi="Times New Roman" w:cs="Times New Roman"/>
          <w:kern w:val="28"/>
          <w:sz w:val="28"/>
          <w:szCs w:val="28"/>
        </w:rPr>
        <w:t>2025</w:t>
      </w:r>
      <w:r w:rsidR="0089026D" w:rsidRPr="004032F4">
        <w:rPr>
          <w:rFonts w:ascii="Times New Roman" w:eastAsia="Calibri" w:hAnsi="Times New Roman" w:cs="Times New Roman"/>
          <w:kern w:val="28"/>
          <w:sz w:val="28"/>
          <w:szCs w:val="28"/>
        </w:rPr>
        <w:t xml:space="preserve"> год и на плановый период </w:t>
      </w:r>
      <w:r w:rsidR="00933509" w:rsidRPr="004032F4">
        <w:rPr>
          <w:rFonts w:ascii="Times New Roman" w:eastAsia="Calibri" w:hAnsi="Times New Roman" w:cs="Times New Roman"/>
          <w:kern w:val="28"/>
          <w:sz w:val="28"/>
          <w:szCs w:val="28"/>
        </w:rPr>
        <w:t>2026</w:t>
      </w:r>
      <w:r w:rsidR="0089026D" w:rsidRPr="004032F4">
        <w:rPr>
          <w:rFonts w:ascii="Times New Roman" w:eastAsia="Calibri" w:hAnsi="Times New Roman" w:cs="Times New Roman"/>
          <w:kern w:val="28"/>
          <w:sz w:val="28"/>
          <w:szCs w:val="28"/>
        </w:rPr>
        <w:t xml:space="preserve"> и 2027 годов </w:t>
      </w:r>
      <w:r w:rsidRPr="004032F4">
        <w:rPr>
          <w:rFonts w:ascii="Times New Roman" w:eastAsia="Calibri" w:hAnsi="Times New Roman" w:cs="Times New Roman"/>
          <w:kern w:val="28"/>
          <w:sz w:val="28"/>
          <w:szCs w:val="28"/>
        </w:rPr>
        <w:t>осуществлялось с учетом особенностей экономической ситуации</w:t>
      </w:r>
      <w:r w:rsidR="00184269" w:rsidRPr="004032F4">
        <w:rPr>
          <w:rFonts w:ascii="Times New Roman" w:eastAsia="Calibri" w:hAnsi="Times New Roman" w:cs="Times New Roman"/>
          <w:kern w:val="28"/>
          <w:sz w:val="28"/>
          <w:szCs w:val="28"/>
        </w:rPr>
        <w:t>,</w:t>
      </w:r>
      <w:r w:rsidRPr="004032F4">
        <w:rPr>
          <w:rFonts w:ascii="Times New Roman" w:eastAsia="Calibri" w:hAnsi="Times New Roman" w:cs="Times New Roman"/>
          <w:kern w:val="28"/>
          <w:sz w:val="28"/>
          <w:szCs w:val="28"/>
        </w:rPr>
        <w:t xml:space="preserve"> на основе оценки исполнения бюджета области за 20</w:t>
      </w:r>
      <w:r w:rsidR="004A18B5" w:rsidRPr="004032F4">
        <w:rPr>
          <w:rFonts w:ascii="Times New Roman" w:eastAsia="Calibri" w:hAnsi="Times New Roman" w:cs="Times New Roman"/>
          <w:kern w:val="28"/>
          <w:sz w:val="28"/>
          <w:szCs w:val="28"/>
        </w:rPr>
        <w:t>2</w:t>
      </w:r>
      <w:r w:rsidR="00312330" w:rsidRPr="004032F4">
        <w:rPr>
          <w:rFonts w:ascii="Times New Roman" w:eastAsia="Calibri" w:hAnsi="Times New Roman" w:cs="Times New Roman"/>
          <w:kern w:val="28"/>
          <w:sz w:val="28"/>
          <w:szCs w:val="28"/>
        </w:rPr>
        <w:t>4</w:t>
      </w:r>
      <w:r w:rsidRPr="004032F4">
        <w:rPr>
          <w:rFonts w:ascii="Times New Roman" w:eastAsia="Calibri" w:hAnsi="Times New Roman" w:cs="Times New Roman"/>
          <w:kern w:val="28"/>
          <w:sz w:val="28"/>
          <w:szCs w:val="28"/>
        </w:rPr>
        <w:t xml:space="preserve"> год и базового варианта </w:t>
      </w:r>
      <w:r w:rsidR="00836792" w:rsidRPr="004032F4">
        <w:rPr>
          <w:rFonts w:ascii="Times New Roman" w:eastAsia="Calibri" w:hAnsi="Times New Roman" w:cs="Times New Roman"/>
          <w:kern w:val="28"/>
          <w:sz w:val="28"/>
          <w:szCs w:val="28"/>
        </w:rPr>
        <w:t xml:space="preserve">прогноза </w:t>
      </w:r>
      <w:r w:rsidRPr="004032F4">
        <w:rPr>
          <w:rFonts w:ascii="Times New Roman" w:eastAsia="Calibri" w:hAnsi="Times New Roman" w:cs="Times New Roman"/>
          <w:kern w:val="28"/>
          <w:sz w:val="28"/>
          <w:szCs w:val="28"/>
        </w:rPr>
        <w:t>социально-экономического развития.</w:t>
      </w:r>
      <w:r w:rsidR="009A286A" w:rsidRPr="004032F4">
        <w:rPr>
          <w:rFonts w:ascii="Times New Roman" w:eastAsia="Calibri" w:hAnsi="Times New Roman" w:cs="Times New Roman"/>
          <w:kern w:val="28"/>
          <w:sz w:val="28"/>
          <w:szCs w:val="28"/>
        </w:rPr>
        <w:t xml:space="preserve"> </w:t>
      </w:r>
      <w:r w:rsidR="00E1593B" w:rsidRPr="004032F4">
        <w:rPr>
          <w:rFonts w:ascii="Times New Roman" w:hAnsi="Times New Roman" w:cs="Times New Roman"/>
          <w:sz w:val="28"/>
          <w:szCs w:val="28"/>
        </w:rPr>
        <w:t>П</w:t>
      </w:r>
      <w:r w:rsidR="000356F3" w:rsidRPr="004032F4">
        <w:rPr>
          <w:rFonts w:ascii="Times New Roman" w:eastAsia="Calibri" w:hAnsi="Times New Roman" w:cs="Times New Roman"/>
          <w:kern w:val="28"/>
          <w:sz w:val="28"/>
          <w:szCs w:val="28"/>
        </w:rPr>
        <w:t>ри формировании проекта бюджета области важным моментом являлось</w:t>
      </w:r>
      <w:r w:rsidR="004F1196" w:rsidRPr="004032F4">
        <w:rPr>
          <w:rFonts w:ascii="Times New Roman" w:eastAsia="Calibri" w:hAnsi="Times New Roman" w:cs="Times New Roman"/>
          <w:kern w:val="28"/>
          <w:sz w:val="28"/>
          <w:szCs w:val="28"/>
        </w:rPr>
        <w:t xml:space="preserve"> обеспечение сбалансированности бюджета области и финансовая поддержка муниципальных образований области.</w:t>
      </w:r>
      <w:r w:rsidR="00E82ABC" w:rsidRPr="004032F4">
        <w:t xml:space="preserve"> </w:t>
      </w:r>
    </w:p>
    <w:p w14:paraId="4890A092" w14:textId="31F5F075" w:rsidR="005B655B" w:rsidRPr="004032F4" w:rsidRDefault="000B23E7" w:rsidP="00D24461">
      <w:pPr>
        <w:autoSpaceDE w:val="0"/>
        <w:autoSpaceDN w:val="0"/>
        <w:adjustRightInd w:val="0"/>
        <w:spacing w:before="240" w:after="0" w:line="264" w:lineRule="auto"/>
        <w:ind w:firstLine="709"/>
        <w:jc w:val="both"/>
        <w:rPr>
          <w:rFonts w:ascii="Times New Roman" w:hAnsi="Times New Roman" w:cs="Times New Roman"/>
          <w:sz w:val="28"/>
          <w:szCs w:val="28"/>
        </w:rPr>
      </w:pPr>
      <w:r w:rsidRPr="004032F4">
        <w:rPr>
          <w:rFonts w:ascii="Times New Roman" w:eastAsia="Calibri" w:hAnsi="Times New Roman" w:cs="Times New Roman"/>
          <w:kern w:val="28"/>
          <w:sz w:val="28"/>
          <w:szCs w:val="28"/>
        </w:rPr>
        <w:t>На проект бюджета области оказали влияние изменения, вн</w:t>
      </w:r>
      <w:r w:rsidR="00582B9B" w:rsidRPr="004032F4">
        <w:rPr>
          <w:rFonts w:ascii="Times New Roman" w:eastAsia="Calibri" w:hAnsi="Times New Roman" w:cs="Times New Roman"/>
          <w:kern w:val="28"/>
          <w:sz w:val="28"/>
          <w:szCs w:val="28"/>
        </w:rPr>
        <w:t>осимые</w:t>
      </w:r>
      <w:r w:rsidRPr="004032F4">
        <w:rPr>
          <w:rFonts w:ascii="Times New Roman" w:eastAsia="Calibri" w:hAnsi="Times New Roman" w:cs="Times New Roman"/>
          <w:kern w:val="28"/>
          <w:sz w:val="28"/>
          <w:szCs w:val="28"/>
        </w:rPr>
        <w:t xml:space="preserve"> в </w:t>
      </w:r>
      <w:r w:rsidR="00AB7885" w:rsidRPr="004032F4">
        <w:rPr>
          <w:rFonts w:ascii="Times New Roman" w:eastAsia="Calibri" w:hAnsi="Times New Roman" w:cs="Times New Roman"/>
          <w:kern w:val="28"/>
          <w:sz w:val="28"/>
          <w:szCs w:val="28"/>
        </w:rPr>
        <w:t>налоговое</w:t>
      </w:r>
      <w:r w:rsidRPr="004032F4">
        <w:rPr>
          <w:rFonts w:ascii="Times New Roman" w:eastAsia="Calibri" w:hAnsi="Times New Roman" w:cs="Times New Roman"/>
          <w:kern w:val="28"/>
          <w:sz w:val="28"/>
          <w:szCs w:val="28"/>
        </w:rPr>
        <w:t xml:space="preserve"> законодательство</w:t>
      </w:r>
      <w:r w:rsidR="0022028E" w:rsidRPr="004032F4">
        <w:rPr>
          <w:rFonts w:ascii="Times New Roman" w:eastAsia="Calibri" w:hAnsi="Times New Roman" w:cs="Times New Roman"/>
          <w:kern w:val="28"/>
          <w:sz w:val="28"/>
          <w:szCs w:val="28"/>
        </w:rPr>
        <w:t xml:space="preserve"> в части налоговых ставок по налогам на доходы физических лиц, налоговых ставок по акцизам, в</w:t>
      </w:r>
      <w:r w:rsidR="004A18B5" w:rsidRPr="004032F4">
        <w:rPr>
          <w:rFonts w:ascii="Times New Roman" w:eastAsia="Calibri" w:hAnsi="Times New Roman" w:cs="Times New Roman"/>
          <w:kern w:val="28"/>
          <w:sz w:val="28"/>
          <w:szCs w:val="28"/>
        </w:rPr>
        <w:t xml:space="preserve"> </w:t>
      </w:r>
      <w:r w:rsidR="0022028E" w:rsidRPr="004032F4">
        <w:rPr>
          <w:rFonts w:ascii="Times New Roman" w:eastAsia="Calibri" w:hAnsi="Times New Roman" w:cs="Times New Roman"/>
          <w:kern w:val="28"/>
          <w:sz w:val="28"/>
          <w:szCs w:val="28"/>
        </w:rPr>
        <w:t xml:space="preserve">бюджетное законодательство в части распределения отчислений между бюджетами бюджетной системы </w:t>
      </w:r>
      <w:r w:rsidR="005B655B" w:rsidRPr="004032F4">
        <w:rPr>
          <w:rFonts w:ascii="Times New Roman" w:eastAsia="Calibri" w:hAnsi="Times New Roman" w:cs="Times New Roman"/>
          <w:kern w:val="28"/>
          <w:sz w:val="28"/>
          <w:szCs w:val="28"/>
        </w:rPr>
        <w:t xml:space="preserve">устанавливаемые федеральным законом о федеральном бюджете, а также </w:t>
      </w:r>
      <w:r w:rsidR="0022028E" w:rsidRPr="004032F4">
        <w:rPr>
          <w:rFonts w:ascii="Times New Roman" w:eastAsia="Calibri" w:hAnsi="Times New Roman" w:cs="Times New Roman"/>
          <w:kern w:val="28"/>
          <w:sz w:val="28"/>
          <w:szCs w:val="28"/>
        </w:rPr>
        <w:t>изменени</w:t>
      </w:r>
      <w:r w:rsidR="005B655B" w:rsidRPr="004032F4">
        <w:rPr>
          <w:rFonts w:ascii="Times New Roman" w:eastAsia="Calibri" w:hAnsi="Times New Roman" w:cs="Times New Roman"/>
          <w:kern w:val="28"/>
          <w:sz w:val="28"/>
          <w:szCs w:val="28"/>
        </w:rPr>
        <w:t>я в части отчислений в бюджеты муниципальных образований Тульской области от налоговых доходов, подлежащих зачислению в бюджет области</w:t>
      </w:r>
      <w:r w:rsidR="0022028E" w:rsidRPr="004032F4">
        <w:rPr>
          <w:rFonts w:ascii="Times New Roman" w:eastAsia="Calibri" w:hAnsi="Times New Roman" w:cs="Times New Roman"/>
          <w:kern w:val="28"/>
          <w:sz w:val="28"/>
          <w:szCs w:val="28"/>
        </w:rPr>
        <w:t xml:space="preserve">, </w:t>
      </w:r>
      <w:r w:rsidR="005B655B" w:rsidRPr="004032F4">
        <w:rPr>
          <w:rFonts w:ascii="Times New Roman" w:eastAsia="Calibri" w:hAnsi="Times New Roman" w:cs="Times New Roman"/>
          <w:kern w:val="28"/>
          <w:sz w:val="28"/>
          <w:szCs w:val="28"/>
        </w:rPr>
        <w:t xml:space="preserve">установленные </w:t>
      </w:r>
      <w:r w:rsidR="0022028E" w:rsidRPr="004032F4">
        <w:rPr>
          <w:rFonts w:ascii="Times New Roman" w:eastAsia="Calibri" w:hAnsi="Times New Roman" w:cs="Times New Roman"/>
          <w:kern w:val="28"/>
          <w:sz w:val="28"/>
          <w:szCs w:val="28"/>
        </w:rPr>
        <w:t xml:space="preserve">Законом Тульской области </w:t>
      </w:r>
      <w:r w:rsidR="005B655B" w:rsidRPr="004032F4">
        <w:rPr>
          <w:rFonts w:ascii="Times New Roman" w:eastAsia="Calibri" w:hAnsi="Times New Roman" w:cs="Times New Roman"/>
          <w:kern w:val="28"/>
          <w:sz w:val="28"/>
          <w:szCs w:val="28"/>
        </w:rPr>
        <w:t>«О</w:t>
      </w:r>
      <w:r w:rsidR="0022028E" w:rsidRPr="004032F4">
        <w:rPr>
          <w:rFonts w:ascii="Times New Roman" w:eastAsia="Calibri" w:hAnsi="Times New Roman" w:cs="Times New Roman"/>
          <w:kern w:val="28"/>
          <w:sz w:val="28"/>
          <w:szCs w:val="28"/>
        </w:rPr>
        <w:t xml:space="preserve"> </w:t>
      </w:r>
      <w:r w:rsidR="005B655B" w:rsidRPr="004032F4">
        <w:rPr>
          <w:rFonts w:ascii="Times New Roman" w:hAnsi="Times New Roman" w:cs="Times New Roman"/>
          <w:sz w:val="28"/>
          <w:szCs w:val="28"/>
        </w:rPr>
        <w:t>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(далее – Закон области о межбюджетных отношениях) и Законопроектом.</w:t>
      </w:r>
    </w:p>
    <w:p w14:paraId="1E41B3E3" w14:textId="739B9080" w:rsidR="004841BF" w:rsidRPr="004032F4" w:rsidRDefault="004841BF" w:rsidP="009A286A">
      <w:pPr>
        <w:tabs>
          <w:tab w:val="left" w:pos="993"/>
          <w:tab w:val="left" w:pos="1134"/>
          <w:tab w:val="left" w:pos="1276"/>
        </w:tabs>
        <w:spacing w:before="60" w:after="0" w:line="240" w:lineRule="auto"/>
        <w:ind w:firstLine="709"/>
        <w:jc w:val="both"/>
        <w:rPr>
          <w:rFonts w:ascii="Times New Roman" w:eastAsia="Calibri" w:hAnsi="Times New Roman" w:cs="Times New Roman"/>
          <w:kern w:val="28"/>
          <w:sz w:val="28"/>
          <w:szCs w:val="28"/>
        </w:rPr>
      </w:pPr>
      <w:r w:rsidRPr="004032F4">
        <w:rPr>
          <w:rFonts w:ascii="Times New Roman" w:eastAsia="Calibri" w:hAnsi="Times New Roman" w:cs="Times New Roman"/>
          <w:kern w:val="28"/>
          <w:sz w:val="28"/>
          <w:szCs w:val="28"/>
        </w:rPr>
        <w:t>Основные показатели бюджета области представлены в следующей таблице.</w:t>
      </w:r>
    </w:p>
    <w:tbl>
      <w:tblPr>
        <w:tblW w:w="5013" w:type="pct"/>
        <w:jc w:val="center"/>
        <w:tblLayout w:type="fixed"/>
        <w:tblLook w:val="04A0" w:firstRow="1" w:lastRow="0" w:firstColumn="1" w:lastColumn="0" w:noHBand="0" w:noVBand="1"/>
      </w:tblPr>
      <w:tblGrid>
        <w:gridCol w:w="1228"/>
        <w:gridCol w:w="1116"/>
        <w:gridCol w:w="1008"/>
        <w:gridCol w:w="1169"/>
        <w:gridCol w:w="867"/>
        <w:gridCol w:w="807"/>
        <w:gridCol w:w="1010"/>
        <w:gridCol w:w="607"/>
        <w:gridCol w:w="944"/>
        <w:gridCol w:w="612"/>
      </w:tblGrid>
      <w:tr w:rsidR="00B91F3A" w:rsidRPr="004032F4" w14:paraId="0AA90906" w14:textId="77777777" w:rsidTr="00D24461">
        <w:trPr>
          <w:trHeight w:val="131"/>
          <w:tblHeader/>
          <w:jc w:val="center"/>
        </w:trPr>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B597F" w14:textId="77777777"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Показатель</w:t>
            </w:r>
          </w:p>
        </w:tc>
        <w:tc>
          <w:tcPr>
            <w:tcW w:w="2124" w:type="dxa"/>
            <w:gridSpan w:val="2"/>
            <w:tcBorders>
              <w:top w:val="single" w:sz="4" w:space="0" w:color="auto"/>
              <w:left w:val="nil"/>
              <w:bottom w:val="single" w:sz="4" w:space="0" w:color="auto"/>
              <w:right w:val="single" w:sz="4" w:space="0" w:color="000000"/>
            </w:tcBorders>
            <w:shd w:val="clear" w:color="auto" w:fill="auto"/>
            <w:vAlign w:val="center"/>
            <w:hideMark/>
          </w:tcPr>
          <w:p w14:paraId="29056270" w14:textId="77777777"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2024 год</w:t>
            </w:r>
          </w:p>
        </w:tc>
        <w:tc>
          <w:tcPr>
            <w:tcW w:w="2843" w:type="dxa"/>
            <w:gridSpan w:val="3"/>
            <w:tcBorders>
              <w:top w:val="single" w:sz="4" w:space="0" w:color="auto"/>
              <w:left w:val="nil"/>
              <w:bottom w:val="single" w:sz="4" w:space="0" w:color="auto"/>
              <w:right w:val="single" w:sz="4" w:space="0" w:color="000000"/>
            </w:tcBorders>
            <w:shd w:val="clear" w:color="auto" w:fill="auto"/>
            <w:vAlign w:val="center"/>
            <w:hideMark/>
          </w:tcPr>
          <w:p w14:paraId="4E9E1B8F" w14:textId="77777777"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2025 год</w:t>
            </w:r>
          </w:p>
        </w:tc>
        <w:tc>
          <w:tcPr>
            <w:tcW w:w="1617" w:type="dxa"/>
            <w:gridSpan w:val="2"/>
            <w:tcBorders>
              <w:top w:val="single" w:sz="4" w:space="0" w:color="auto"/>
              <w:left w:val="nil"/>
              <w:bottom w:val="single" w:sz="4" w:space="0" w:color="auto"/>
              <w:right w:val="single" w:sz="4" w:space="0" w:color="000000"/>
            </w:tcBorders>
            <w:shd w:val="clear" w:color="auto" w:fill="auto"/>
            <w:vAlign w:val="center"/>
            <w:hideMark/>
          </w:tcPr>
          <w:p w14:paraId="2294119F" w14:textId="77777777"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2026 год</w:t>
            </w:r>
          </w:p>
        </w:tc>
        <w:tc>
          <w:tcPr>
            <w:tcW w:w="1556" w:type="dxa"/>
            <w:gridSpan w:val="2"/>
            <w:tcBorders>
              <w:top w:val="single" w:sz="4" w:space="0" w:color="auto"/>
              <w:left w:val="nil"/>
              <w:bottom w:val="single" w:sz="4" w:space="0" w:color="auto"/>
              <w:right w:val="single" w:sz="4" w:space="0" w:color="000000"/>
            </w:tcBorders>
            <w:shd w:val="clear" w:color="auto" w:fill="auto"/>
            <w:vAlign w:val="center"/>
            <w:hideMark/>
          </w:tcPr>
          <w:p w14:paraId="2574BDFB" w14:textId="77777777"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2027 год</w:t>
            </w:r>
          </w:p>
        </w:tc>
      </w:tr>
      <w:tr w:rsidR="00B91F3A" w:rsidRPr="004032F4" w14:paraId="4C82597F" w14:textId="77777777" w:rsidTr="00D24461">
        <w:trPr>
          <w:trHeight w:val="319"/>
          <w:tblHeader/>
          <w:jc w:val="center"/>
        </w:trPr>
        <w:tc>
          <w:tcPr>
            <w:tcW w:w="1229" w:type="dxa"/>
            <w:vMerge/>
            <w:tcBorders>
              <w:top w:val="single" w:sz="4" w:space="0" w:color="auto"/>
              <w:left w:val="single" w:sz="4" w:space="0" w:color="auto"/>
              <w:bottom w:val="single" w:sz="4" w:space="0" w:color="000000"/>
              <w:right w:val="single" w:sz="4" w:space="0" w:color="auto"/>
            </w:tcBorders>
            <w:vAlign w:val="center"/>
            <w:hideMark/>
          </w:tcPr>
          <w:p w14:paraId="11CBDF8F" w14:textId="77777777" w:rsidR="009D3A97" w:rsidRPr="004032F4" w:rsidRDefault="009D3A97" w:rsidP="00B91F3A">
            <w:pPr>
              <w:spacing w:after="0" w:line="240" w:lineRule="auto"/>
              <w:ind w:left="-57" w:right="-57"/>
              <w:rPr>
                <w:rFonts w:ascii="Times New Roman" w:eastAsia="Times New Roman" w:hAnsi="Times New Roman" w:cs="Times New Roman"/>
                <w:color w:val="000000"/>
                <w:spacing w:val="-4"/>
                <w:w w:val="97"/>
                <w:sz w:val="18"/>
                <w:szCs w:val="18"/>
                <w:lang w:eastAsia="ru-RU"/>
              </w:rPr>
            </w:pPr>
          </w:p>
        </w:tc>
        <w:tc>
          <w:tcPr>
            <w:tcW w:w="1116" w:type="dxa"/>
            <w:tcBorders>
              <w:top w:val="nil"/>
              <w:left w:val="nil"/>
              <w:bottom w:val="single" w:sz="4" w:space="0" w:color="auto"/>
              <w:right w:val="single" w:sz="4" w:space="0" w:color="auto"/>
            </w:tcBorders>
            <w:shd w:val="clear" w:color="auto" w:fill="auto"/>
            <w:vAlign w:val="center"/>
            <w:hideMark/>
          </w:tcPr>
          <w:p w14:paraId="1663EA2A" w14:textId="77777777" w:rsidR="00B91F3A"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Закон о бюджете области на 2024</w:t>
            </w:r>
            <w:r w:rsidR="00B91F3A" w:rsidRPr="004032F4">
              <w:rPr>
                <w:rFonts w:ascii="Times New Roman" w:eastAsia="Times New Roman" w:hAnsi="Times New Roman" w:cs="Times New Roman"/>
                <w:color w:val="000000"/>
                <w:spacing w:val="-4"/>
                <w:w w:val="97"/>
                <w:sz w:val="18"/>
                <w:szCs w:val="18"/>
                <w:lang w:eastAsia="ru-RU"/>
              </w:rPr>
              <w:t>,</w:t>
            </w:r>
          </w:p>
          <w:p w14:paraId="554C2326" w14:textId="121B0336" w:rsidR="009D3A97" w:rsidRPr="004032F4" w:rsidRDefault="00B91F3A"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 xml:space="preserve"> млн. рублей</w:t>
            </w:r>
          </w:p>
        </w:tc>
        <w:tc>
          <w:tcPr>
            <w:tcW w:w="1007" w:type="dxa"/>
            <w:tcBorders>
              <w:top w:val="nil"/>
              <w:left w:val="nil"/>
              <w:bottom w:val="single" w:sz="4" w:space="0" w:color="auto"/>
              <w:right w:val="single" w:sz="4" w:space="0" w:color="auto"/>
            </w:tcBorders>
            <w:shd w:val="clear" w:color="auto" w:fill="auto"/>
            <w:vAlign w:val="center"/>
            <w:hideMark/>
          </w:tcPr>
          <w:p w14:paraId="64ED5D77" w14:textId="59382F50"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 xml:space="preserve">Оценка </w:t>
            </w:r>
            <w:proofErr w:type="gramStart"/>
            <w:r w:rsidRPr="004032F4">
              <w:rPr>
                <w:rFonts w:ascii="Times New Roman" w:eastAsia="Times New Roman" w:hAnsi="Times New Roman" w:cs="Times New Roman"/>
                <w:color w:val="000000"/>
                <w:spacing w:val="-4"/>
                <w:w w:val="97"/>
                <w:sz w:val="18"/>
                <w:szCs w:val="18"/>
                <w:lang w:eastAsia="ru-RU"/>
              </w:rPr>
              <w:t>исполнения</w:t>
            </w:r>
            <w:r w:rsidR="00B91F3A" w:rsidRPr="004032F4">
              <w:rPr>
                <w:rFonts w:ascii="Times New Roman" w:eastAsia="Times New Roman" w:hAnsi="Times New Roman" w:cs="Times New Roman"/>
                <w:color w:val="000000"/>
                <w:spacing w:val="-4"/>
                <w:w w:val="97"/>
                <w:sz w:val="18"/>
                <w:szCs w:val="18"/>
                <w:lang w:eastAsia="ru-RU"/>
              </w:rPr>
              <w:t>,  млн.</w:t>
            </w:r>
            <w:proofErr w:type="gramEnd"/>
            <w:r w:rsidR="00B91F3A" w:rsidRPr="004032F4">
              <w:rPr>
                <w:rFonts w:ascii="Times New Roman" w:eastAsia="Times New Roman" w:hAnsi="Times New Roman" w:cs="Times New Roman"/>
                <w:color w:val="000000"/>
                <w:spacing w:val="-4"/>
                <w:w w:val="97"/>
                <w:sz w:val="18"/>
                <w:szCs w:val="18"/>
                <w:lang w:eastAsia="ru-RU"/>
              </w:rPr>
              <w:t xml:space="preserve"> рублей</w:t>
            </w:r>
          </w:p>
        </w:tc>
        <w:tc>
          <w:tcPr>
            <w:tcW w:w="1169" w:type="dxa"/>
            <w:tcBorders>
              <w:top w:val="nil"/>
              <w:left w:val="single" w:sz="4" w:space="0" w:color="auto"/>
              <w:bottom w:val="nil"/>
              <w:right w:val="single" w:sz="4" w:space="0" w:color="auto"/>
            </w:tcBorders>
            <w:shd w:val="clear" w:color="000000" w:fill="FFFFFF"/>
            <w:vAlign w:val="center"/>
            <w:hideMark/>
          </w:tcPr>
          <w:p w14:paraId="01279752" w14:textId="77777777"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Проект бюджета,</w:t>
            </w:r>
            <w:r w:rsidRPr="004032F4">
              <w:rPr>
                <w:rFonts w:ascii="Times New Roman" w:eastAsia="Times New Roman" w:hAnsi="Times New Roman" w:cs="Times New Roman"/>
                <w:color w:val="000000"/>
                <w:spacing w:val="-4"/>
                <w:w w:val="97"/>
                <w:sz w:val="18"/>
                <w:szCs w:val="18"/>
                <w:lang w:eastAsia="ru-RU"/>
              </w:rPr>
              <w:br/>
              <w:t xml:space="preserve"> млн. рублей</w:t>
            </w:r>
          </w:p>
        </w:tc>
        <w:tc>
          <w:tcPr>
            <w:tcW w:w="867" w:type="dxa"/>
            <w:tcBorders>
              <w:top w:val="nil"/>
              <w:left w:val="nil"/>
              <w:bottom w:val="single" w:sz="4" w:space="0" w:color="auto"/>
              <w:right w:val="single" w:sz="4" w:space="0" w:color="auto"/>
            </w:tcBorders>
            <w:shd w:val="clear" w:color="000000" w:fill="FFFFFF"/>
            <w:vAlign w:val="center"/>
            <w:hideMark/>
          </w:tcPr>
          <w:p w14:paraId="66E4C648" w14:textId="1494D9EF"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к 2024г. (Закон),</w:t>
            </w:r>
            <w:r w:rsidR="00B91F3A" w:rsidRPr="004032F4">
              <w:rPr>
                <w:rFonts w:ascii="Times New Roman" w:eastAsia="Times New Roman" w:hAnsi="Times New Roman" w:cs="Times New Roman"/>
                <w:color w:val="000000"/>
                <w:spacing w:val="-4"/>
                <w:w w:val="97"/>
                <w:sz w:val="18"/>
                <w:szCs w:val="18"/>
                <w:lang w:eastAsia="ru-RU"/>
              </w:rPr>
              <w:t xml:space="preserve"> %</w:t>
            </w:r>
          </w:p>
        </w:tc>
        <w:tc>
          <w:tcPr>
            <w:tcW w:w="806" w:type="dxa"/>
            <w:tcBorders>
              <w:top w:val="nil"/>
              <w:left w:val="nil"/>
              <w:bottom w:val="single" w:sz="4" w:space="0" w:color="auto"/>
              <w:right w:val="single" w:sz="4" w:space="0" w:color="auto"/>
            </w:tcBorders>
            <w:shd w:val="clear" w:color="000000" w:fill="FFFFFF"/>
            <w:vAlign w:val="center"/>
            <w:hideMark/>
          </w:tcPr>
          <w:p w14:paraId="71979969" w14:textId="0D37B5D9"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к 2024г. (оценка),</w:t>
            </w:r>
            <w:r w:rsidR="00B91F3A" w:rsidRPr="004032F4">
              <w:rPr>
                <w:rFonts w:ascii="Times New Roman" w:eastAsia="Times New Roman" w:hAnsi="Times New Roman" w:cs="Times New Roman"/>
                <w:color w:val="000000"/>
                <w:spacing w:val="-4"/>
                <w:w w:val="97"/>
                <w:sz w:val="18"/>
                <w:szCs w:val="18"/>
                <w:lang w:eastAsia="ru-RU"/>
              </w:rPr>
              <w:t xml:space="preserve"> %</w:t>
            </w:r>
          </w:p>
        </w:tc>
        <w:tc>
          <w:tcPr>
            <w:tcW w:w="1010" w:type="dxa"/>
            <w:tcBorders>
              <w:top w:val="nil"/>
              <w:left w:val="single" w:sz="4" w:space="0" w:color="auto"/>
              <w:bottom w:val="nil"/>
              <w:right w:val="single" w:sz="4" w:space="0" w:color="auto"/>
            </w:tcBorders>
            <w:shd w:val="clear" w:color="000000" w:fill="FFFFFF"/>
            <w:vAlign w:val="center"/>
            <w:hideMark/>
          </w:tcPr>
          <w:p w14:paraId="5FE553F8" w14:textId="77777777"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 xml:space="preserve">Проект </w:t>
            </w:r>
            <w:proofErr w:type="gramStart"/>
            <w:r w:rsidRPr="004032F4">
              <w:rPr>
                <w:rFonts w:ascii="Times New Roman" w:eastAsia="Times New Roman" w:hAnsi="Times New Roman" w:cs="Times New Roman"/>
                <w:color w:val="000000"/>
                <w:spacing w:val="-4"/>
                <w:w w:val="97"/>
                <w:sz w:val="18"/>
                <w:szCs w:val="18"/>
                <w:lang w:eastAsia="ru-RU"/>
              </w:rPr>
              <w:t>бюджета,  млн.</w:t>
            </w:r>
            <w:proofErr w:type="gramEnd"/>
            <w:r w:rsidRPr="004032F4">
              <w:rPr>
                <w:rFonts w:ascii="Times New Roman" w:eastAsia="Times New Roman" w:hAnsi="Times New Roman" w:cs="Times New Roman"/>
                <w:color w:val="000000"/>
                <w:spacing w:val="-4"/>
                <w:w w:val="97"/>
                <w:sz w:val="18"/>
                <w:szCs w:val="18"/>
                <w:lang w:eastAsia="ru-RU"/>
              </w:rPr>
              <w:t xml:space="preserve"> рублей</w:t>
            </w:r>
          </w:p>
        </w:tc>
        <w:tc>
          <w:tcPr>
            <w:tcW w:w="606" w:type="dxa"/>
            <w:tcBorders>
              <w:top w:val="nil"/>
              <w:left w:val="nil"/>
              <w:bottom w:val="single" w:sz="4" w:space="0" w:color="auto"/>
              <w:right w:val="single" w:sz="4" w:space="0" w:color="auto"/>
            </w:tcBorders>
            <w:shd w:val="clear" w:color="000000" w:fill="FFFFFF"/>
            <w:vAlign w:val="center"/>
            <w:hideMark/>
          </w:tcPr>
          <w:p w14:paraId="7BD330A0" w14:textId="280E49DF"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к 2025 г.,</w:t>
            </w:r>
            <w:r w:rsidR="00B91F3A" w:rsidRPr="004032F4">
              <w:rPr>
                <w:rFonts w:ascii="Times New Roman" w:eastAsia="Times New Roman" w:hAnsi="Times New Roman" w:cs="Times New Roman"/>
                <w:color w:val="000000"/>
                <w:spacing w:val="-4"/>
                <w:w w:val="97"/>
                <w:sz w:val="18"/>
                <w:szCs w:val="18"/>
                <w:lang w:eastAsia="ru-RU"/>
              </w:rPr>
              <w:t xml:space="preserve"> %</w:t>
            </w:r>
          </w:p>
        </w:tc>
        <w:tc>
          <w:tcPr>
            <w:tcW w:w="944" w:type="dxa"/>
            <w:tcBorders>
              <w:top w:val="nil"/>
              <w:left w:val="single" w:sz="4" w:space="0" w:color="auto"/>
              <w:bottom w:val="nil"/>
              <w:right w:val="single" w:sz="4" w:space="0" w:color="auto"/>
            </w:tcBorders>
            <w:shd w:val="clear" w:color="000000" w:fill="FFFFFF"/>
            <w:vAlign w:val="center"/>
            <w:hideMark/>
          </w:tcPr>
          <w:p w14:paraId="6FFD5AAA" w14:textId="77777777"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 xml:space="preserve">Проект </w:t>
            </w:r>
            <w:proofErr w:type="gramStart"/>
            <w:r w:rsidRPr="004032F4">
              <w:rPr>
                <w:rFonts w:ascii="Times New Roman" w:eastAsia="Times New Roman" w:hAnsi="Times New Roman" w:cs="Times New Roman"/>
                <w:color w:val="000000"/>
                <w:spacing w:val="-4"/>
                <w:w w:val="97"/>
                <w:sz w:val="18"/>
                <w:szCs w:val="18"/>
                <w:lang w:eastAsia="ru-RU"/>
              </w:rPr>
              <w:t>бюджета,  млн.</w:t>
            </w:r>
            <w:proofErr w:type="gramEnd"/>
            <w:r w:rsidRPr="004032F4">
              <w:rPr>
                <w:rFonts w:ascii="Times New Roman" w:eastAsia="Times New Roman" w:hAnsi="Times New Roman" w:cs="Times New Roman"/>
                <w:color w:val="000000"/>
                <w:spacing w:val="-4"/>
                <w:w w:val="97"/>
                <w:sz w:val="18"/>
                <w:szCs w:val="18"/>
                <w:lang w:eastAsia="ru-RU"/>
              </w:rPr>
              <w:t xml:space="preserve"> рублей</w:t>
            </w:r>
          </w:p>
        </w:tc>
        <w:tc>
          <w:tcPr>
            <w:tcW w:w="611" w:type="dxa"/>
            <w:tcBorders>
              <w:top w:val="nil"/>
              <w:left w:val="nil"/>
              <w:bottom w:val="single" w:sz="4" w:space="0" w:color="auto"/>
              <w:right w:val="single" w:sz="4" w:space="0" w:color="auto"/>
            </w:tcBorders>
            <w:shd w:val="clear" w:color="000000" w:fill="FFFFFF"/>
            <w:vAlign w:val="center"/>
            <w:hideMark/>
          </w:tcPr>
          <w:p w14:paraId="658C255D" w14:textId="6854AF19" w:rsidR="009D3A97" w:rsidRPr="004032F4" w:rsidRDefault="009D3A97" w:rsidP="00B91F3A">
            <w:pPr>
              <w:spacing w:after="0" w:line="240" w:lineRule="auto"/>
              <w:ind w:left="-57" w:right="-57"/>
              <w:jc w:val="center"/>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к 2026 г.,</w:t>
            </w:r>
            <w:r w:rsidR="00B91F3A" w:rsidRPr="004032F4">
              <w:rPr>
                <w:rFonts w:ascii="Times New Roman" w:eastAsia="Times New Roman" w:hAnsi="Times New Roman" w:cs="Times New Roman"/>
                <w:color w:val="000000"/>
                <w:spacing w:val="-4"/>
                <w:w w:val="97"/>
                <w:sz w:val="18"/>
                <w:szCs w:val="18"/>
                <w:lang w:eastAsia="ru-RU"/>
              </w:rPr>
              <w:t xml:space="preserve"> %</w:t>
            </w:r>
          </w:p>
        </w:tc>
      </w:tr>
      <w:tr w:rsidR="00B91F3A" w:rsidRPr="004032F4" w14:paraId="0B8F1152" w14:textId="77777777" w:rsidTr="00D24461">
        <w:trPr>
          <w:trHeight w:val="319"/>
          <w:jc w:val="center"/>
        </w:trPr>
        <w:tc>
          <w:tcPr>
            <w:tcW w:w="1229" w:type="dxa"/>
            <w:tcBorders>
              <w:top w:val="nil"/>
              <w:left w:val="single" w:sz="4" w:space="0" w:color="auto"/>
              <w:bottom w:val="single" w:sz="4" w:space="0" w:color="auto"/>
              <w:right w:val="single" w:sz="4" w:space="0" w:color="auto"/>
            </w:tcBorders>
            <w:shd w:val="clear" w:color="auto" w:fill="auto"/>
            <w:vAlign w:val="center"/>
            <w:hideMark/>
          </w:tcPr>
          <w:p w14:paraId="17612541" w14:textId="77777777" w:rsidR="009D3A97" w:rsidRPr="004032F4" w:rsidRDefault="009D3A97" w:rsidP="00B91F3A">
            <w:pPr>
              <w:spacing w:after="0" w:line="240" w:lineRule="auto"/>
              <w:ind w:left="-57" w:right="-57"/>
              <w:rPr>
                <w:rFonts w:ascii="Times New Roman" w:eastAsia="Times New Roman" w:hAnsi="Times New Roman" w:cs="Times New Roman"/>
                <w:b/>
                <w:bCs/>
                <w:color w:val="000000"/>
                <w:spacing w:val="-4"/>
                <w:w w:val="97"/>
                <w:sz w:val="18"/>
                <w:szCs w:val="18"/>
                <w:lang w:eastAsia="ru-RU"/>
              </w:rPr>
            </w:pPr>
            <w:proofErr w:type="gramStart"/>
            <w:r w:rsidRPr="004032F4">
              <w:rPr>
                <w:rFonts w:ascii="Times New Roman" w:eastAsia="Times New Roman" w:hAnsi="Times New Roman" w:cs="Times New Roman"/>
                <w:b/>
                <w:bCs/>
                <w:color w:val="000000"/>
                <w:spacing w:val="-4"/>
                <w:w w:val="97"/>
                <w:sz w:val="18"/>
                <w:szCs w:val="18"/>
                <w:lang w:eastAsia="ru-RU"/>
              </w:rPr>
              <w:t>Доходы,</w:t>
            </w:r>
            <w:r w:rsidRPr="004032F4">
              <w:rPr>
                <w:rFonts w:ascii="Times New Roman" w:eastAsia="Times New Roman" w:hAnsi="Times New Roman" w:cs="Times New Roman"/>
                <w:b/>
                <w:bCs/>
                <w:color w:val="000000"/>
                <w:spacing w:val="-4"/>
                <w:w w:val="97"/>
                <w:sz w:val="18"/>
                <w:szCs w:val="18"/>
                <w:lang w:eastAsia="ru-RU"/>
              </w:rPr>
              <w:br/>
            </w:r>
            <w:r w:rsidRPr="004032F4">
              <w:rPr>
                <w:rFonts w:ascii="Times New Roman" w:eastAsia="Times New Roman" w:hAnsi="Times New Roman" w:cs="Times New Roman"/>
                <w:bCs/>
                <w:color w:val="000000"/>
                <w:spacing w:val="-4"/>
                <w:w w:val="97"/>
                <w:sz w:val="18"/>
                <w:szCs w:val="18"/>
                <w:lang w:eastAsia="ru-RU"/>
              </w:rPr>
              <w:t>в</w:t>
            </w:r>
            <w:proofErr w:type="gramEnd"/>
            <w:r w:rsidRPr="004032F4">
              <w:rPr>
                <w:rFonts w:ascii="Times New Roman" w:eastAsia="Times New Roman" w:hAnsi="Times New Roman" w:cs="Times New Roman"/>
                <w:bCs/>
                <w:color w:val="000000"/>
                <w:spacing w:val="-4"/>
                <w:w w:val="97"/>
                <w:sz w:val="18"/>
                <w:szCs w:val="18"/>
                <w:lang w:eastAsia="ru-RU"/>
              </w:rPr>
              <w:t xml:space="preserve"> том числе:</w:t>
            </w:r>
          </w:p>
        </w:tc>
        <w:tc>
          <w:tcPr>
            <w:tcW w:w="1116" w:type="dxa"/>
            <w:tcBorders>
              <w:top w:val="nil"/>
              <w:left w:val="nil"/>
              <w:bottom w:val="single" w:sz="4" w:space="0" w:color="auto"/>
              <w:right w:val="single" w:sz="4" w:space="0" w:color="auto"/>
            </w:tcBorders>
            <w:shd w:val="clear" w:color="000000" w:fill="FFFFFF"/>
            <w:vAlign w:val="center"/>
            <w:hideMark/>
          </w:tcPr>
          <w:p w14:paraId="04DEE8E9"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134 508,6</w:t>
            </w:r>
          </w:p>
        </w:tc>
        <w:tc>
          <w:tcPr>
            <w:tcW w:w="1007" w:type="dxa"/>
            <w:tcBorders>
              <w:top w:val="nil"/>
              <w:left w:val="nil"/>
              <w:bottom w:val="single" w:sz="4" w:space="0" w:color="auto"/>
              <w:right w:val="single" w:sz="4" w:space="0" w:color="auto"/>
            </w:tcBorders>
            <w:shd w:val="clear" w:color="000000" w:fill="FFFFFF"/>
            <w:vAlign w:val="center"/>
            <w:hideMark/>
          </w:tcPr>
          <w:p w14:paraId="7699F241"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135 966,2</w:t>
            </w:r>
          </w:p>
        </w:tc>
        <w:tc>
          <w:tcPr>
            <w:tcW w:w="1169" w:type="dxa"/>
            <w:tcBorders>
              <w:top w:val="single" w:sz="4" w:space="0" w:color="auto"/>
              <w:left w:val="nil"/>
              <w:bottom w:val="nil"/>
              <w:right w:val="single" w:sz="4" w:space="0" w:color="auto"/>
            </w:tcBorders>
            <w:shd w:val="clear" w:color="000000" w:fill="FFFFFF"/>
            <w:vAlign w:val="center"/>
            <w:hideMark/>
          </w:tcPr>
          <w:p w14:paraId="0AEFAFFD"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125 721,0</w:t>
            </w:r>
          </w:p>
        </w:tc>
        <w:tc>
          <w:tcPr>
            <w:tcW w:w="867" w:type="dxa"/>
            <w:tcBorders>
              <w:top w:val="nil"/>
              <w:left w:val="nil"/>
              <w:bottom w:val="nil"/>
              <w:right w:val="single" w:sz="4" w:space="0" w:color="auto"/>
            </w:tcBorders>
            <w:shd w:val="clear" w:color="000000" w:fill="FFFFFF"/>
            <w:vAlign w:val="center"/>
            <w:hideMark/>
          </w:tcPr>
          <w:p w14:paraId="283F2081" w14:textId="1ABCDF04"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93,5</w:t>
            </w:r>
          </w:p>
        </w:tc>
        <w:tc>
          <w:tcPr>
            <w:tcW w:w="806" w:type="dxa"/>
            <w:tcBorders>
              <w:top w:val="nil"/>
              <w:left w:val="nil"/>
              <w:bottom w:val="nil"/>
              <w:right w:val="single" w:sz="4" w:space="0" w:color="auto"/>
            </w:tcBorders>
            <w:shd w:val="clear" w:color="000000" w:fill="FFFFFF"/>
            <w:vAlign w:val="center"/>
            <w:hideMark/>
          </w:tcPr>
          <w:p w14:paraId="18CEB30E" w14:textId="08533558"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92,5</w:t>
            </w:r>
          </w:p>
        </w:tc>
        <w:tc>
          <w:tcPr>
            <w:tcW w:w="1010" w:type="dxa"/>
            <w:tcBorders>
              <w:top w:val="single" w:sz="4" w:space="0" w:color="auto"/>
              <w:left w:val="nil"/>
              <w:bottom w:val="nil"/>
              <w:right w:val="single" w:sz="4" w:space="0" w:color="auto"/>
            </w:tcBorders>
            <w:shd w:val="clear" w:color="000000" w:fill="FFFFFF"/>
            <w:vAlign w:val="center"/>
            <w:hideMark/>
          </w:tcPr>
          <w:p w14:paraId="4CB7F0C9"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135 655,9</w:t>
            </w:r>
          </w:p>
        </w:tc>
        <w:tc>
          <w:tcPr>
            <w:tcW w:w="606" w:type="dxa"/>
            <w:tcBorders>
              <w:top w:val="nil"/>
              <w:left w:val="nil"/>
              <w:bottom w:val="nil"/>
              <w:right w:val="single" w:sz="4" w:space="0" w:color="auto"/>
            </w:tcBorders>
            <w:shd w:val="clear" w:color="000000" w:fill="FFFFFF"/>
            <w:vAlign w:val="center"/>
            <w:hideMark/>
          </w:tcPr>
          <w:p w14:paraId="479D1A8C" w14:textId="4642BDE3"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107,9</w:t>
            </w:r>
          </w:p>
        </w:tc>
        <w:tc>
          <w:tcPr>
            <w:tcW w:w="944" w:type="dxa"/>
            <w:tcBorders>
              <w:top w:val="single" w:sz="4" w:space="0" w:color="auto"/>
              <w:left w:val="nil"/>
              <w:bottom w:val="nil"/>
              <w:right w:val="single" w:sz="4" w:space="0" w:color="auto"/>
            </w:tcBorders>
            <w:shd w:val="clear" w:color="000000" w:fill="FFFFFF"/>
            <w:vAlign w:val="center"/>
            <w:hideMark/>
          </w:tcPr>
          <w:p w14:paraId="71104A4B"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148 021,7</w:t>
            </w:r>
          </w:p>
        </w:tc>
        <w:tc>
          <w:tcPr>
            <w:tcW w:w="611" w:type="dxa"/>
            <w:tcBorders>
              <w:top w:val="nil"/>
              <w:left w:val="nil"/>
              <w:bottom w:val="nil"/>
              <w:right w:val="single" w:sz="4" w:space="0" w:color="auto"/>
            </w:tcBorders>
            <w:shd w:val="clear" w:color="000000" w:fill="FFFFFF"/>
            <w:vAlign w:val="center"/>
            <w:hideMark/>
          </w:tcPr>
          <w:p w14:paraId="18FF0C7F" w14:textId="055A5B29"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109,1</w:t>
            </w:r>
          </w:p>
        </w:tc>
      </w:tr>
      <w:tr w:rsidR="00B91F3A" w:rsidRPr="004032F4" w14:paraId="69B2EB34" w14:textId="77777777" w:rsidTr="00D24461">
        <w:trPr>
          <w:trHeight w:val="319"/>
          <w:jc w:val="center"/>
        </w:trPr>
        <w:tc>
          <w:tcPr>
            <w:tcW w:w="1229" w:type="dxa"/>
            <w:tcBorders>
              <w:top w:val="nil"/>
              <w:left w:val="single" w:sz="4" w:space="0" w:color="auto"/>
              <w:bottom w:val="single" w:sz="4" w:space="0" w:color="auto"/>
              <w:right w:val="single" w:sz="4" w:space="0" w:color="auto"/>
            </w:tcBorders>
            <w:shd w:val="clear" w:color="auto" w:fill="auto"/>
            <w:vAlign w:val="center"/>
            <w:hideMark/>
          </w:tcPr>
          <w:p w14:paraId="0A983E93" w14:textId="77777777" w:rsidR="009D3A97" w:rsidRPr="004032F4" w:rsidRDefault="009D3A97" w:rsidP="00B91F3A">
            <w:pPr>
              <w:spacing w:after="0" w:line="240" w:lineRule="auto"/>
              <w:ind w:left="-57" w:right="-57"/>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налоговые и неналоговые</w:t>
            </w:r>
          </w:p>
        </w:tc>
        <w:tc>
          <w:tcPr>
            <w:tcW w:w="1116" w:type="dxa"/>
            <w:tcBorders>
              <w:top w:val="nil"/>
              <w:left w:val="nil"/>
              <w:bottom w:val="single" w:sz="4" w:space="0" w:color="auto"/>
              <w:right w:val="single" w:sz="4" w:space="0" w:color="auto"/>
            </w:tcBorders>
            <w:shd w:val="clear" w:color="000000" w:fill="FFFFFF"/>
            <w:noWrap/>
            <w:vAlign w:val="center"/>
            <w:hideMark/>
          </w:tcPr>
          <w:p w14:paraId="0DA54155"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115 744,9</w:t>
            </w:r>
          </w:p>
        </w:tc>
        <w:tc>
          <w:tcPr>
            <w:tcW w:w="1007" w:type="dxa"/>
            <w:tcBorders>
              <w:top w:val="nil"/>
              <w:left w:val="nil"/>
              <w:bottom w:val="single" w:sz="4" w:space="0" w:color="auto"/>
              <w:right w:val="single" w:sz="4" w:space="0" w:color="auto"/>
            </w:tcBorders>
            <w:shd w:val="clear" w:color="000000" w:fill="FFFFFF"/>
            <w:noWrap/>
            <w:vAlign w:val="center"/>
            <w:hideMark/>
          </w:tcPr>
          <w:p w14:paraId="17C808A3"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117 082,2</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700015E0"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121 749,8</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4E542936" w14:textId="5AC44BBB"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105,2</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0DBDD9C2" w14:textId="7B321994"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104,0</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14:paraId="4757927C"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132 453,47</w:t>
            </w:r>
          </w:p>
        </w:tc>
        <w:tc>
          <w:tcPr>
            <w:tcW w:w="606" w:type="dxa"/>
            <w:tcBorders>
              <w:top w:val="single" w:sz="4" w:space="0" w:color="auto"/>
              <w:left w:val="nil"/>
              <w:bottom w:val="nil"/>
              <w:right w:val="single" w:sz="4" w:space="0" w:color="auto"/>
            </w:tcBorders>
            <w:shd w:val="clear" w:color="000000" w:fill="FFFFFF"/>
            <w:vAlign w:val="center"/>
            <w:hideMark/>
          </w:tcPr>
          <w:p w14:paraId="059B82EE" w14:textId="097B8F8D"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108,8</w:t>
            </w:r>
          </w:p>
        </w:tc>
        <w:tc>
          <w:tcPr>
            <w:tcW w:w="944" w:type="dxa"/>
            <w:tcBorders>
              <w:top w:val="single" w:sz="4" w:space="0" w:color="auto"/>
              <w:left w:val="nil"/>
              <w:bottom w:val="single" w:sz="4" w:space="0" w:color="auto"/>
              <w:right w:val="single" w:sz="4" w:space="0" w:color="auto"/>
            </w:tcBorders>
            <w:shd w:val="clear" w:color="000000" w:fill="FFFFFF"/>
            <w:noWrap/>
            <w:vAlign w:val="center"/>
            <w:hideMark/>
          </w:tcPr>
          <w:p w14:paraId="39FA9CCF"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144 831,56</w:t>
            </w:r>
          </w:p>
        </w:tc>
        <w:tc>
          <w:tcPr>
            <w:tcW w:w="611" w:type="dxa"/>
            <w:tcBorders>
              <w:top w:val="single" w:sz="4" w:space="0" w:color="auto"/>
              <w:left w:val="nil"/>
              <w:bottom w:val="nil"/>
              <w:right w:val="single" w:sz="4" w:space="0" w:color="auto"/>
            </w:tcBorders>
            <w:shd w:val="clear" w:color="000000" w:fill="FFFFFF"/>
            <w:vAlign w:val="center"/>
            <w:hideMark/>
          </w:tcPr>
          <w:p w14:paraId="5E5E7B74" w14:textId="4262577B"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109,3</w:t>
            </w:r>
          </w:p>
        </w:tc>
      </w:tr>
      <w:tr w:rsidR="00B91F3A" w:rsidRPr="004032F4" w14:paraId="25461B94" w14:textId="77777777" w:rsidTr="00D24461">
        <w:trPr>
          <w:trHeight w:val="319"/>
          <w:jc w:val="center"/>
        </w:trPr>
        <w:tc>
          <w:tcPr>
            <w:tcW w:w="1229" w:type="dxa"/>
            <w:tcBorders>
              <w:top w:val="nil"/>
              <w:left w:val="single" w:sz="4" w:space="0" w:color="auto"/>
              <w:bottom w:val="single" w:sz="4" w:space="0" w:color="auto"/>
              <w:right w:val="single" w:sz="4" w:space="0" w:color="auto"/>
            </w:tcBorders>
            <w:shd w:val="clear" w:color="auto" w:fill="auto"/>
            <w:vAlign w:val="center"/>
            <w:hideMark/>
          </w:tcPr>
          <w:p w14:paraId="0FF61079" w14:textId="77777777" w:rsidR="009D3A97" w:rsidRPr="004032F4" w:rsidRDefault="009D3A97" w:rsidP="00B91F3A">
            <w:pPr>
              <w:spacing w:after="0" w:line="240" w:lineRule="auto"/>
              <w:ind w:left="-57" w:right="-113"/>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безвозмездные поступления</w:t>
            </w:r>
          </w:p>
        </w:tc>
        <w:tc>
          <w:tcPr>
            <w:tcW w:w="1116" w:type="dxa"/>
            <w:tcBorders>
              <w:top w:val="nil"/>
              <w:left w:val="nil"/>
              <w:bottom w:val="single" w:sz="4" w:space="0" w:color="auto"/>
              <w:right w:val="single" w:sz="4" w:space="0" w:color="auto"/>
            </w:tcBorders>
            <w:shd w:val="clear" w:color="000000" w:fill="FFFFFF"/>
            <w:vAlign w:val="center"/>
            <w:hideMark/>
          </w:tcPr>
          <w:p w14:paraId="6DE2989E"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18 763,7</w:t>
            </w:r>
          </w:p>
        </w:tc>
        <w:tc>
          <w:tcPr>
            <w:tcW w:w="1007" w:type="dxa"/>
            <w:tcBorders>
              <w:top w:val="nil"/>
              <w:left w:val="nil"/>
              <w:bottom w:val="single" w:sz="4" w:space="0" w:color="auto"/>
              <w:right w:val="single" w:sz="4" w:space="0" w:color="auto"/>
            </w:tcBorders>
            <w:shd w:val="clear" w:color="000000" w:fill="FFFFFF"/>
            <w:noWrap/>
            <w:vAlign w:val="center"/>
            <w:hideMark/>
          </w:tcPr>
          <w:p w14:paraId="2905DB1D"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18 884,0</w:t>
            </w:r>
          </w:p>
        </w:tc>
        <w:tc>
          <w:tcPr>
            <w:tcW w:w="1169" w:type="dxa"/>
            <w:tcBorders>
              <w:top w:val="nil"/>
              <w:left w:val="nil"/>
              <w:bottom w:val="single" w:sz="4" w:space="0" w:color="auto"/>
              <w:right w:val="single" w:sz="4" w:space="0" w:color="auto"/>
            </w:tcBorders>
            <w:shd w:val="clear" w:color="000000" w:fill="FFFFFF"/>
            <w:noWrap/>
            <w:vAlign w:val="center"/>
            <w:hideMark/>
          </w:tcPr>
          <w:p w14:paraId="60B3A8CC"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3 971,2</w:t>
            </w:r>
          </w:p>
        </w:tc>
        <w:tc>
          <w:tcPr>
            <w:tcW w:w="867" w:type="dxa"/>
            <w:tcBorders>
              <w:top w:val="nil"/>
              <w:left w:val="nil"/>
              <w:bottom w:val="single" w:sz="4" w:space="0" w:color="auto"/>
              <w:right w:val="single" w:sz="4" w:space="0" w:color="auto"/>
            </w:tcBorders>
            <w:shd w:val="clear" w:color="000000" w:fill="FFFFFF"/>
            <w:vAlign w:val="center"/>
            <w:hideMark/>
          </w:tcPr>
          <w:p w14:paraId="675F7BF7" w14:textId="379A3660"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21,2</w:t>
            </w:r>
          </w:p>
        </w:tc>
        <w:tc>
          <w:tcPr>
            <w:tcW w:w="806" w:type="dxa"/>
            <w:tcBorders>
              <w:top w:val="nil"/>
              <w:left w:val="nil"/>
              <w:bottom w:val="single" w:sz="4" w:space="0" w:color="auto"/>
              <w:right w:val="single" w:sz="4" w:space="0" w:color="auto"/>
            </w:tcBorders>
            <w:shd w:val="clear" w:color="000000" w:fill="FFFFFF"/>
            <w:vAlign w:val="center"/>
            <w:hideMark/>
          </w:tcPr>
          <w:p w14:paraId="5523951C" w14:textId="4C0C2DD6"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21,0</w:t>
            </w:r>
          </w:p>
        </w:tc>
        <w:tc>
          <w:tcPr>
            <w:tcW w:w="1010" w:type="dxa"/>
            <w:tcBorders>
              <w:top w:val="nil"/>
              <w:left w:val="nil"/>
              <w:bottom w:val="single" w:sz="4" w:space="0" w:color="auto"/>
              <w:right w:val="single" w:sz="4" w:space="0" w:color="auto"/>
            </w:tcBorders>
            <w:shd w:val="clear" w:color="000000" w:fill="FFFFFF"/>
            <w:noWrap/>
            <w:vAlign w:val="center"/>
            <w:hideMark/>
          </w:tcPr>
          <w:p w14:paraId="511C3FF8"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3 202,45</w:t>
            </w:r>
          </w:p>
        </w:tc>
        <w:tc>
          <w:tcPr>
            <w:tcW w:w="606" w:type="dxa"/>
            <w:tcBorders>
              <w:top w:val="single" w:sz="4" w:space="0" w:color="auto"/>
              <w:left w:val="nil"/>
              <w:bottom w:val="nil"/>
              <w:right w:val="single" w:sz="4" w:space="0" w:color="auto"/>
            </w:tcBorders>
            <w:shd w:val="clear" w:color="000000" w:fill="FFFFFF"/>
            <w:vAlign w:val="center"/>
            <w:hideMark/>
          </w:tcPr>
          <w:p w14:paraId="43CEDD0B" w14:textId="643EBEC8"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80,6</w:t>
            </w:r>
          </w:p>
        </w:tc>
        <w:tc>
          <w:tcPr>
            <w:tcW w:w="944" w:type="dxa"/>
            <w:tcBorders>
              <w:top w:val="nil"/>
              <w:left w:val="nil"/>
              <w:bottom w:val="single" w:sz="4" w:space="0" w:color="auto"/>
              <w:right w:val="single" w:sz="4" w:space="0" w:color="auto"/>
            </w:tcBorders>
            <w:shd w:val="clear" w:color="000000" w:fill="FFFFFF"/>
            <w:noWrap/>
            <w:vAlign w:val="center"/>
            <w:hideMark/>
          </w:tcPr>
          <w:p w14:paraId="7202C190"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3 190,12</w:t>
            </w:r>
          </w:p>
        </w:tc>
        <w:tc>
          <w:tcPr>
            <w:tcW w:w="611" w:type="dxa"/>
            <w:tcBorders>
              <w:top w:val="single" w:sz="4" w:space="0" w:color="auto"/>
              <w:left w:val="nil"/>
              <w:bottom w:val="nil"/>
              <w:right w:val="single" w:sz="4" w:space="0" w:color="auto"/>
            </w:tcBorders>
            <w:shd w:val="clear" w:color="000000" w:fill="FFFFFF"/>
            <w:vAlign w:val="center"/>
            <w:hideMark/>
          </w:tcPr>
          <w:p w14:paraId="6EC8B7F5" w14:textId="51C2D2D0"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99,6</w:t>
            </w:r>
          </w:p>
        </w:tc>
      </w:tr>
      <w:tr w:rsidR="00B91F3A" w:rsidRPr="004032F4" w14:paraId="55E29F33" w14:textId="77777777" w:rsidTr="00D24461">
        <w:trPr>
          <w:trHeight w:val="199"/>
          <w:jc w:val="center"/>
        </w:trPr>
        <w:tc>
          <w:tcPr>
            <w:tcW w:w="1229" w:type="dxa"/>
            <w:tcBorders>
              <w:top w:val="nil"/>
              <w:left w:val="single" w:sz="4" w:space="0" w:color="auto"/>
              <w:bottom w:val="single" w:sz="4" w:space="0" w:color="auto"/>
              <w:right w:val="single" w:sz="4" w:space="0" w:color="auto"/>
            </w:tcBorders>
            <w:shd w:val="clear" w:color="auto" w:fill="auto"/>
            <w:vAlign w:val="center"/>
            <w:hideMark/>
          </w:tcPr>
          <w:p w14:paraId="0D9CD40F" w14:textId="77777777" w:rsidR="009D3A97" w:rsidRPr="004032F4" w:rsidRDefault="009D3A97" w:rsidP="00B91F3A">
            <w:pPr>
              <w:spacing w:after="0" w:line="240" w:lineRule="auto"/>
              <w:ind w:left="-57" w:right="-57"/>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Расходы,</w:t>
            </w:r>
          </w:p>
        </w:tc>
        <w:tc>
          <w:tcPr>
            <w:tcW w:w="1116" w:type="dxa"/>
            <w:tcBorders>
              <w:top w:val="nil"/>
              <w:left w:val="nil"/>
              <w:bottom w:val="single" w:sz="4" w:space="0" w:color="auto"/>
              <w:right w:val="single" w:sz="4" w:space="0" w:color="auto"/>
            </w:tcBorders>
            <w:shd w:val="clear" w:color="auto" w:fill="auto"/>
            <w:vAlign w:val="center"/>
            <w:hideMark/>
          </w:tcPr>
          <w:p w14:paraId="54800E60"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150 280,5</w:t>
            </w:r>
          </w:p>
        </w:tc>
        <w:tc>
          <w:tcPr>
            <w:tcW w:w="1007" w:type="dxa"/>
            <w:tcBorders>
              <w:top w:val="nil"/>
              <w:left w:val="nil"/>
              <w:bottom w:val="single" w:sz="4" w:space="0" w:color="auto"/>
              <w:right w:val="single" w:sz="4" w:space="0" w:color="auto"/>
            </w:tcBorders>
            <w:shd w:val="clear" w:color="auto" w:fill="auto"/>
            <w:vAlign w:val="center"/>
            <w:hideMark/>
          </w:tcPr>
          <w:p w14:paraId="4FB46B4A"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148 848,8</w:t>
            </w:r>
          </w:p>
        </w:tc>
        <w:tc>
          <w:tcPr>
            <w:tcW w:w="1169" w:type="dxa"/>
            <w:tcBorders>
              <w:top w:val="nil"/>
              <w:left w:val="nil"/>
              <w:bottom w:val="single" w:sz="4" w:space="0" w:color="auto"/>
              <w:right w:val="single" w:sz="4" w:space="0" w:color="auto"/>
            </w:tcBorders>
            <w:shd w:val="clear" w:color="auto" w:fill="auto"/>
            <w:vAlign w:val="center"/>
            <w:hideMark/>
          </w:tcPr>
          <w:p w14:paraId="5784DDBB"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132 289,9</w:t>
            </w:r>
          </w:p>
        </w:tc>
        <w:tc>
          <w:tcPr>
            <w:tcW w:w="867" w:type="dxa"/>
            <w:tcBorders>
              <w:top w:val="nil"/>
              <w:left w:val="nil"/>
              <w:bottom w:val="single" w:sz="4" w:space="0" w:color="auto"/>
              <w:right w:val="single" w:sz="4" w:space="0" w:color="auto"/>
            </w:tcBorders>
            <w:shd w:val="clear" w:color="000000" w:fill="FFFFFF"/>
            <w:vAlign w:val="center"/>
            <w:hideMark/>
          </w:tcPr>
          <w:p w14:paraId="1F3B45B2" w14:textId="3224DADD"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88,0</w:t>
            </w:r>
          </w:p>
        </w:tc>
        <w:tc>
          <w:tcPr>
            <w:tcW w:w="806" w:type="dxa"/>
            <w:tcBorders>
              <w:top w:val="nil"/>
              <w:left w:val="nil"/>
              <w:bottom w:val="single" w:sz="4" w:space="0" w:color="auto"/>
              <w:right w:val="single" w:sz="4" w:space="0" w:color="auto"/>
            </w:tcBorders>
            <w:shd w:val="clear" w:color="000000" w:fill="FFFFFF"/>
            <w:vAlign w:val="center"/>
            <w:hideMark/>
          </w:tcPr>
          <w:p w14:paraId="3FED93AF" w14:textId="0A475A50"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88,9</w:t>
            </w:r>
          </w:p>
        </w:tc>
        <w:tc>
          <w:tcPr>
            <w:tcW w:w="1010" w:type="dxa"/>
            <w:tcBorders>
              <w:top w:val="nil"/>
              <w:left w:val="nil"/>
              <w:bottom w:val="single" w:sz="4" w:space="0" w:color="auto"/>
              <w:right w:val="single" w:sz="4" w:space="0" w:color="auto"/>
            </w:tcBorders>
            <w:shd w:val="clear" w:color="auto" w:fill="auto"/>
            <w:vAlign w:val="center"/>
            <w:hideMark/>
          </w:tcPr>
          <w:p w14:paraId="18476822"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134 452,6</w:t>
            </w:r>
          </w:p>
        </w:tc>
        <w:tc>
          <w:tcPr>
            <w:tcW w:w="606" w:type="dxa"/>
            <w:tcBorders>
              <w:top w:val="single" w:sz="4" w:space="0" w:color="auto"/>
              <w:left w:val="nil"/>
              <w:bottom w:val="nil"/>
              <w:right w:val="single" w:sz="4" w:space="0" w:color="auto"/>
            </w:tcBorders>
            <w:shd w:val="clear" w:color="000000" w:fill="FFFFFF"/>
            <w:vAlign w:val="center"/>
            <w:hideMark/>
          </w:tcPr>
          <w:p w14:paraId="0672A5BD" w14:textId="5629DF1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101,6</w:t>
            </w:r>
          </w:p>
        </w:tc>
        <w:tc>
          <w:tcPr>
            <w:tcW w:w="944" w:type="dxa"/>
            <w:tcBorders>
              <w:top w:val="nil"/>
              <w:left w:val="nil"/>
              <w:bottom w:val="single" w:sz="4" w:space="0" w:color="auto"/>
              <w:right w:val="single" w:sz="4" w:space="0" w:color="auto"/>
            </w:tcBorders>
            <w:shd w:val="clear" w:color="auto" w:fill="auto"/>
            <w:vAlign w:val="center"/>
            <w:hideMark/>
          </w:tcPr>
          <w:p w14:paraId="774CFEC7"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142 276,8</w:t>
            </w:r>
          </w:p>
        </w:tc>
        <w:tc>
          <w:tcPr>
            <w:tcW w:w="611" w:type="dxa"/>
            <w:tcBorders>
              <w:top w:val="single" w:sz="4" w:space="0" w:color="auto"/>
              <w:left w:val="nil"/>
              <w:bottom w:val="nil"/>
              <w:right w:val="single" w:sz="4" w:space="0" w:color="auto"/>
            </w:tcBorders>
            <w:shd w:val="clear" w:color="000000" w:fill="FFFFFF"/>
            <w:vAlign w:val="center"/>
            <w:hideMark/>
          </w:tcPr>
          <w:p w14:paraId="5FD6FE32" w14:textId="3A1E5A31"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105,8</w:t>
            </w:r>
          </w:p>
        </w:tc>
      </w:tr>
      <w:tr w:rsidR="00B91F3A" w:rsidRPr="004032F4" w14:paraId="39FDBE5F" w14:textId="77777777" w:rsidTr="00D24461">
        <w:trPr>
          <w:trHeight w:val="319"/>
          <w:jc w:val="center"/>
        </w:trPr>
        <w:tc>
          <w:tcPr>
            <w:tcW w:w="1229" w:type="dxa"/>
            <w:tcBorders>
              <w:top w:val="nil"/>
              <w:left w:val="single" w:sz="4" w:space="0" w:color="auto"/>
              <w:bottom w:val="single" w:sz="4" w:space="0" w:color="auto"/>
              <w:right w:val="single" w:sz="4" w:space="0" w:color="auto"/>
            </w:tcBorders>
            <w:shd w:val="clear" w:color="auto" w:fill="auto"/>
            <w:vAlign w:val="center"/>
            <w:hideMark/>
          </w:tcPr>
          <w:p w14:paraId="72025BF7" w14:textId="77777777" w:rsidR="009D3A97" w:rsidRPr="004032F4" w:rsidRDefault="009D3A97" w:rsidP="00B91F3A">
            <w:pPr>
              <w:spacing w:after="0" w:line="240" w:lineRule="auto"/>
              <w:ind w:left="-57" w:right="-57"/>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из них условно утверждаемые</w:t>
            </w:r>
          </w:p>
        </w:tc>
        <w:tc>
          <w:tcPr>
            <w:tcW w:w="1116" w:type="dxa"/>
            <w:tcBorders>
              <w:top w:val="nil"/>
              <w:left w:val="nil"/>
              <w:bottom w:val="single" w:sz="4" w:space="0" w:color="auto"/>
              <w:right w:val="single" w:sz="4" w:space="0" w:color="auto"/>
            </w:tcBorders>
            <w:shd w:val="clear" w:color="auto" w:fill="auto"/>
            <w:vAlign w:val="center"/>
            <w:hideMark/>
          </w:tcPr>
          <w:p w14:paraId="5F8EF6E8" w14:textId="77777777" w:rsidR="009D3A97" w:rsidRPr="004032F4" w:rsidRDefault="009D3A97" w:rsidP="00B91F3A">
            <w:pPr>
              <w:spacing w:after="0" w:line="240" w:lineRule="auto"/>
              <w:ind w:left="-57" w:right="-57"/>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 </w:t>
            </w:r>
          </w:p>
        </w:tc>
        <w:tc>
          <w:tcPr>
            <w:tcW w:w="1007" w:type="dxa"/>
            <w:tcBorders>
              <w:top w:val="nil"/>
              <w:left w:val="nil"/>
              <w:bottom w:val="single" w:sz="4" w:space="0" w:color="auto"/>
              <w:right w:val="single" w:sz="4" w:space="0" w:color="auto"/>
            </w:tcBorders>
            <w:shd w:val="clear" w:color="auto" w:fill="auto"/>
            <w:vAlign w:val="center"/>
            <w:hideMark/>
          </w:tcPr>
          <w:p w14:paraId="0AA31CF1"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c>
          <w:tcPr>
            <w:tcW w:w="1169" w:type="dxa"/>
            <w:tcBorders>
              <w:top w:val="nil"/>
              <w:left w:val="nil"/>
              <w:bottom w:val="single" w:sz="4" w:space="0" w:color="auto"/>
              <w:right w:val="single" w:sz="4" w:space="0" w:color="auto"/>
            </w:tcBorders>
            <w:shd w:val="clear" w:color="000000" w:fill="FFFFFF"/>
            <w:vAlign w:val="center"/>
            <w:hideMark/>
          </w:tcPr>
          <w:p w14:paraId="2E9A0A4A"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c>
          <w:tcPr>
            <w:tcW w:w="867" w:type="dxa"/>
            <w:tcBorders>
              <w:top w:val="nil"/>
              <w:left w:val="nil"/>
              <w:bottom w:val="single" w:sz="4" w:space="0" w:color="auto"/>
              <w:right w:val="single" w:sz="4" w:space="0" w:color="auto"/>
            </w:tcBorders>
            <w:shd w:val="clear" w:color="000000" w:fill="FFFFFF"/>
            <w:vAlign w:val="center"/>
            <w:hideMark/>
          </w:tcPr>
          <w:p w14:paraId="66899052"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c>
          <w:tcPr>
            <w:tcW w:w="806" w:type="dxa"/>
            <w:tcBorders>
              <w:top w:val="nil"/>
              <w:left w:val="nil"/>
              <w:bottom w:val="single" w:sz="4" w:space="0" w:color="auto"/>
              <w:right w:val="single" w:sz="4" w:space="0" w:color="auto"/>
            </w:tcBorders>
            <w:shd w:val="clear" w:color="000000" w:fill="FFFFFF"/>
            <w:vAlign w:val="center"/>
            <w:hideMark/>
          </w:tcPr>
          <w:p w14:paraId="46729904"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c>
          <w:tcPr>
            <w:tcW w:w="1010" w:type="dxa"/>
            <w:tcBorders>
              <w:top w:val="nil"/>
              <w:left w:val="nil"/>
              <w:bottom w:val="single" w:sz="4" w:space="0" w:color="auto"/>
              <w:right w:val="single" w:sz="4" w:space="0" w:color="auto"/>
            </w:tcBorders>
            <w:shd w:val="clear" w:color="000000" w:fill="FFFFFF"/>
            <w:noWrap/>
            <w:vAlign w:val="center"/>
            <w:hideMark/>
          </w:tcPr>
          <w:p w14:paraId="356518A1"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3 350,0</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14:paraId="026E9ABB"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c>
          <w:tcPr>
            <w:tcW w:w="944" w:type="dxa"/>
            <w:tcBorders>
              <w:top w:val="nil"/>
              <w:left w:val="nil"/>
              <w:bottom w:val="single" w:sz="4" w:space="0" w:color="auto"/>
              <w:right w:val="single" w:sz="4" w:space="0" w:color="auto"/>
            </w:tcBorders>
            <w:shd w:val="clear" w:color="000000" w:fill="FFFFFF"/>
            <w:noWrap/>
            <w:vAlign w:val="center"/>
            <w:hideMark/>
          </w:tcPr>
          <w:p w14:paraId="68329AEC"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7 200,00</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786E4944" w14:textId="77777777" w:rsidR="009D3A97" w:rsidRPr="004032F4" w:rsidRDefault="009D3A97" w:rsidP="00B91F3A">
            <w:pPr>
              <w:spacing w:after="0" w:line="240" w:lineRule="auto"/>
              <w:ind w:left="-57" w:right="-57"/>
              <w:rPr>
                <w:rFonts w:ascii="Calibri" w:eastAsia="Times New Roman" w:hAnsi="Calibri" w:cs="Calibri"/>
                <w:spacing w:val="-4"/>
                <w:w w:val="97"/>
                <w:sz w:val="18"/>
                <w:szCs w:val="18"/>
                <w:lang w:eastAsia="ru-RU"/>
              </w:rPr>
            </w:pPr>
            <w:r w:rsidRPr="004032F4">
              <w:rPr>
                <w:rFonts w:ascii="Calibri" w:eastAsia="Times New Roman" w:hAnsi="Calibri" w:cs="Calibri"/>
                <w:spacing w:val="-4"/>
                <w:w w:val="97"/>
                <w:sz w:val="18"/>
                <w:szCs w:val="18"/>
                <w:lang w:eastAsia="ru-RU"/>
              </w:rPr>
              <w:t> </w:t>
            </w:r>
          </w:p>
        </w:tc>
      </w:tr>
      <w:tr w:rsidR="00B91F3A" w:rsidRPr="004032F4" w14:paraId="4364FABC" w14:textId="77777777" w:rsidTr="00D24461">
        <w:trPr>
          <w:trHeight w:val="199"/>
          <w:jc w:val="center"/>
        </w:trPr>
        <w:tc>
          <w:tcPr>
            <w:tcW w:w="1229" w:type="dxa"/>
            <w:tcBorders>
              <w:top w:val="nil"/>
              <w:left w:val="single" w:sz="4" w:space="0" w:color="auto"/>
              <w:bottom w:val="single" w:sz="4" w:space="0" w:color="auto"/>
              <w:right w:val="single" w:sz="4" w:space="0" w:color="auto"/>
            </w:tcBorders>
            <w:shd w:val="clear" w:color="auto" w:fill="auto"/>
            <w:vAlign w:val="center"/>
            <w:hideMark/>
          </w:tcPr>
          <w:p w14:paraId="567D2857" w14:textId="77777777" w:rsidR="009D3A97" w:rsidRPr="004032F4" w:rsidRDefault="009D3A97" w:rsidP="00B91F3A">
            <w:pPr>
              <w:spacing w:after="0" w:line="240" w:lineRule="auto"/>
              <w:ind w:left="-57" w:right="-57"/>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 xml:space="preserve">Дефицит </w:t>
            </w:r>
          </w:p>
        </w:tc>
        <w:tc>
          <w:tcPr>
            <w:tcW w:w="1116" w:type="dxa"/>
            <w:tcBorders>
              <w:top w:val="nil"/>
              <w:left w:val="nil"/>
              <w:bottom w:val="single" w:sz="4" w:space="0" w:color="auto"/>
              <w:right w:val="single" w:sz="4" w:space="0" w:color="auto"/>
            </w:tcBorders>
            <w:shd w:val="clear" w:color="auto" w:fill="auto"/>
            <w:vAlign w:val="center"/>
            <w:hideMark/>
          </w:tcPr>
          <w:p w14:paraId="1A8165AD" w14:textId="07C653BD" w:rsidR="009D3A97" w:rsidRPr="004032F4" w:rsidRDefault="009D3A97" w:rsidP="00B559DB">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15 771,</w:t>
            </w:r>
            <w:r w:rsidR="00B559DB" w:rsidRPr="004032F4">
              <w:rPr>
                <w:rFonts w:ascii="Times New Roman" w:eastAsia="Times New Roman" w:hAnsi="Times New Roman" w:cs="Times New Roman"/>
                <w:b/>
                <w:bCs/>
                <w:color w:val="000000"/>
                <w:spacing w:val="-4"/>
                <w:w w:val="97"/>
                <w:sz w:val="18"/>
                <w:szCs w:val="18"/>
                <w:lang w:eastAsia="ru-RU"/>
              </w:rPr>
              <w:t>9</w:t>
            </w:r>
          </w:p>
        </w:tc>
        <w:tc>
          <w:tcPr>
            <w:tcW w:w="1007" w:type="dxa"/>
            <w:tcBorders>
              <w:top w:val="nil"/>
              <w:left w:val="nil"/>
              <w:bottom w:val="single" w:sz="4" w:space="0" w:color="auto"/>
              <w:right w:val="single" w:sz="4" w:space="0" w:color="auto"/>
            </w:tcBorders>
            <w:shd w:val="clear" w:color="auto" w:fill="auto"/>
            <w:vAlign w:val="center"/>
            <w:hideMark/>
          </w:tcPr>
          <w:p w14:paraId="7126700B" w14:textId="28801F35" w:rsidR="009D3A97" w:rsidRPr="004032F4" w:rsidRDefault="009D3A97" w:rsidP="00B559DB">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12 882,6</w:t>
            </w:r>
          </w:p>
        </w:tc>
        <w:tc>
          <w:tcPr>
            <w:tcW w:w="1169" w:type="dxa"/>
            <w:tcBorders>
              <w:top w:val="nil"/>
              <w:left w:val="nil"/>
              <w:bottom w:val="single" w:sz="4" w:space="0" w:color="auto"/>
              <w:right w:val="single" w:sz="4" w:space="0" w:color="auto"/>
            </w:tcBorders>
            <w:shd w:val="clear" w:color="auto" w:fill="auto"/>
            <w:vAlign w:val="center"/>
            <w:hideMark/>
          </w:tcPr>
          <w:p w14:paraId="6AA539CC" w14:textId="44A27C1C" w:rsidR="009D3A97" w:rsidRPr="004032F4" w:rsidRDefault="009D3A97" w:rsidP="00B559DB">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6 568,</w:t>
            </w:r>
            <w:r w:rsidR="00B559DB" w:rsidRPr="004032F4">
              <w:rPr>
                <w:rFonts w:ascii="Times New Roman" w:eastAsia="Times New Roman" w:hAnsi="Times New Roman" w:cs="Times New Roman"/>
                <w:b/>
                <w:bCs/>
                <w:color w:val="000000"/>
                <w:spacing w:val="-4"/>
                <w:w w:val="97"/>
                <w:sz w:val="18"/>
                <w:szCs w:val="18"/>
                <w:lang w:eastAsia="ru-RU"/>
              </w:rPr>
              <w:t>9</w:t>
            </w:r>
          </w:p>
        </w:tc>
        <w:tc>
          <w:tcPr>
            <w:tcW w:w="867" w:type="dxa"/>
            <w:tcBorders>
              <w:top w:val="nil"/>
              <w:left w:val="nil"/>
              <w:bottom w:val="single" w:sz="4" w:space="0" w:color="auto"/>
              <w:right w:val="single" w:sz="4" w:space="0" w:color="auto"/>
            </w:tcBorders>
            <w:shd w:val="clear" w:color="000000" w:fill="FFFFFF"/>
            <w:vAlign w:val="center"/>
            <w:hideMark/>
          </w:tcPr>
          <w:p w14:paraId="5FA74536" w14:textId="4AED2FE5"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41,6</w:t>
            </w:r>
          </w:p>
        </w:tc>
        <w:tc>
          <w:tcPr>
            <w:tcW w:w="806" w:type="dxa"/>
            <w:tcBorders>
              <w:top w:val="nil"/>
              <w:left w:val="nil"/>
              <w:bottom w:val="single" w:sz="4" w:space="0" w:color="auto"/>
              <w:right w:val="single" w:sz="4" w:space="0" w:color="auto"/>
            </w:tcBorders>
            <w:shd w:val="clear" w:color="000000" w:fill="FFFFFF"/>
            <w:vAlign w:val="center"/>
            <w:hideMark/>
          </w:tcPr>
          <w:p w14:paraId="2F171D5B" w14:textId="6E60744B"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51,0</w:t>
            </w:r>
          </w:p>
        </w:tc>
        <w:tc>
          <w:tcPr>
            <w:tcW w:w="1010" w:type="dxa"/>
            <w:tcBorders>
              <w:top w:val="nil"/>
              <w:left w:val="nil"/>
              <w:bottom w:val="single" w:sz="4" w:space="0" w:color="auto"/>
              <w:right w:val="single" w:sz="4" w:space="0" w:color="auto"/>
            </w:tcBorders>
            <w:shd w:val="clear" w:color="000000" w:fill="FFFFFF"/>
            <w:vAlign w:val="center"/>
            <w:hideMark/>
          </w:tcPr>
          <w:p w14:paraId="24CE05C0"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c>
          <w:tcPr>
            <w:tcW w:w="606" w:type="dxa"/>
            <w:tcBorders>
              <w:top w:val="nil"/>
              <w:left w:val="nil"/>
              <w:bottom w:val="single" w:sz="4" w:space="0" w:color="auto"/>
              <w:right w:val="single" w:sz="4" w:space="0" w:color="auto"/>
            </w:tcBorders>
            <w:shd w:val="clear" w:color="000000" w:fill="FFFFFF"/>
            <w:vAlign w:val="center"/>
            <w:hideMark/>
          </w:tcPr>
          <w:p w14:paraId="0EBF5A7D"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14:paraId="5DFF28AD"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c>
          <w:tcPr>
            <w:tcW w:w="611" w:type="dxa"/>
            <w:tcBorders>
              <w:top w:val="nil"/>
              <w:left w:val="nil"/>
              <w:bottom w:val="single" w:sz="4" w:space="0" w:color="auto"/>
              <w:right w:val="single" w:sz="4" w:space="0" w:color="auto"/>
            </w:tcBorders>
            <w:shd w:val="clear" w:color="000000" w:fill="FFFFFF"/>
            <w:vAlign w:val="center"/>
            <w:hideMark/>
          </w:tcPr>
          <w:p w14:paraId="20C868B0"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 </w:t>
            </w:r>
          </w:p>
        </w:tc>
      </w:tr>
      <w:tr w:rsidR="00B91F3A" w:rsidRPr="004032F4" w14:paraId="591C0E4A" w14:textId="77777777" w:rsidTr="00D24461">
        <w:trPr>
          <w:trHeight w:val="199"/>
          <w:jc w:val="center"/>
        </w:trPr>
        <w:tc>
          <w:tcPr>
            <w:tcW w:w="1229" w:type="dxa"/>
            <w:tcBorders>
              <w:top w:val="nil"/>
              <w:left w:val="single" w:sz="4" w:space="0" w:color="auto"/>
              <w:bottom w:val="single" w:sz="4" w:space="0" w:color="auto"/>
              <w:right w:val="single" w:sz="4" w:space="0" w:color="auto"/>
            </w:tcBorders>
            <w:shd w:val="clear" w:color="auto" w:fill="auto"/>
            <w:vAlign w:val="center"/>
            <w:hideMark/>
          </w:tcPr>
          <w:p w14:paraId="13F3CD20" w14:textId="77777777" w:rsidR="009D3A97" w:rsidRPr="004032F4" w:rsidRDefault="009D3A97" w:rsidP="00B91F3A">
            <w:pPr>
              <w:spacing w:after="0" w:line="240" w:lineRule="auto"/>
              <w:ind w:left="-57" w:right="-57"/>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w:t>
            </w:r>
          </w:p>
        </w:tc>
        <w:tc>
          <w:tcPr>
            <w:tcW w:w="1116" w:type="dxa"/>
            <w:tcBorders>
              <w:top w:val="nil"/>
              <w:left w:val="nil"/>
              <w:bottom w:val="single" w:sz="4" w:space="0" w:color="auto"/>
              <w:right w:val="single" w:sz="4" w:space="0" w:color="auto"/>
            </w:tcBorders>
            <w:shd w:val="clear" w:color="auto" w:fill="auto"/>
            <w:vAlign w:val="center"/>
            <w:hideMark/>
          </w:tcPr>
          <w:p w14:paraId="0B10FB67"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13,6%</w:t>
            </w:r>
          </w:p>
        </w:tc>
        <w:tc>
          <w:tcPr>
            <w:tcW w:w="1007" w:type="dxa"/>
            <w:tcBorders>
              <w:top w:val="nil"/>
              <w:left w:val="nil"/>
              <w:bottom w:val="single" w:sz="4" w:space="0" w:color="auto"/>
              <w:right w:val="single" w:sz="4" w:space="0" w:color="auto"/>
            </w:tcBorders>
            <w:shd w:val="clear" w:color="auto" w:fill="auto"/>
            <w:vAlign w:val="center"/>
            <w:hideMark/>
          </w:tcPr>
          <w:p w14:paraId="2589496E"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11,0%</w:t>
            </w:r>
          </w:p>
        </w:tc>
        <w:tc>
          <w:tcPr>
            <w:tcW w:w="1169" w:type="dxa"/>
            <w:tcBorders>
              <w:top w:val="nil"/>
              <w:left w:val="nil"/>
              <w:bottom w:val="single" w:sz="4" w:space="0" w:color="auto"/>
              <w:right w:val="single" w:sz="4" w:space="0" w:color="auto"/>
            </w:tcBorders>
            <w:shd w:val="clear" w:color="auto" w:fill="auto"/>
            <w:vAlign w:val="center"/>
            <w:hideMark/>
          </w:tcPr>
          <w:p w14:paraId="1ED2BE7B"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5,4%</w:t>
            </w:r>
          </w:p>
        </w:tc>
        <w:tc>
          <w:tcPr>
            <w:tcW w:w="867" w:type="dxa"/>
            <w:tcBorders>
              <w:top w:val="nil"/>
              <w:left w:val="nil"/>
              <w:bottom w:val="single" w:sz="4" w:space="0" w:color="auto"/>
              <w:right w:val="single" w:sz="4" w:space="0" w:color="auto"/>
            </w:tcBorders>
            <w:shd w:val="clear" w:color="000000" w:fill="FFFFFF"/>
            <w:vAlign w:val="center"/>
            <w:hideMark/>
          </w:tcPr>
          <w:p w14:paraId="15E22D08"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c>
          <w:tcPr>
            <w:tcW w:w="806" w:type="dxa"/>
            <w:tcBorders>
              <w:top w:val="nil"/>
              <w:left w:val="nil"/>
              <w:bottom w:val="single" w:sz="4" w:space="0" w:color="auto"/>
              <w:right w:val="single" w:sz="4" w:space="0" w:color="auto"/>
            </w:tcBorders>
            <w:shd w:val="clear" w:color="000000" w:fill="FFFFFF"/>
            <w:vAlign w:val="center"/>
            <w:hideMark/>
          </w:tcPr>
          <w:p w14:paraId="20E6562A"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c>
          <w:tcPr>
            <w:tcW w:w="1010" w:type="dxa"/>
            <w:tcBorders>
              <w:top w:val="nil"/>
              <w:left w:val="nil"/>
              <w:bottom w:val="single" w:sz="4" w:space="0" w:color="auto"/>
              <w:right w:val="single" w:sz="4" w:space="0" w:color="auto"/>
            </w:tcBorders>
            <w:shd w:val="clear" w:color="000000" w:fill="FFFFFF"/>
            <w:vAlign w:val="center"/>
            <w:hideMark/>
          </w:tcPr>
          <w:p w14:paraId="3F843CF5"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c>
          <w:tcPr>
            <w:tcW w:w="606" w:type="dxa"/>
            <w:tcBorders>
              <w:top w:val="nil"/>
              <w:left w:val="nil"/>
              <w:bottom w:val="single" w:sz="4" w:space="0" w:color="auto"/>
              <w:right w:val="single" w:sz="4" w:space="0" w:color="auto"/>
            </w:tcBorders>
            <w:shd w:val="clear" w:color="000000" w:fill="FFFFFF"/>
            <w:vAlign w:val="center"/>
            <w:hideMark/>
          </w:tcPr>
          <w:p w14:paraId="4F236995"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c>
          <w:tcPr>
            <w:tcW w:w="944" w:type="dxa"/>
            <w:tcBorders>
              <w:top w:val="nil"/>
              <w:left w:val="nil"/>
              <w:bottom w:val="single" w:sz="4" w:space="0" w:color="auto"/>
              <w:right w:val="single" w:sz="4" w:space="0" w:color="auto"/>
            </w:tcBorders>
            <w:shd w:val="clear" w:color="000000" w:fill="FFFFFF"/>
            <w:vAlign w:val="center"/>
            <w:hideMark/>
          </w:tcPr>
          <w:p w14:paraId="1C964628"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c>
          <w:tcPr>
            <w:tcW w:w="611" w:type="dxa"/>
            <w:tcBorders>
              <w:top w:val="nil"/>
              <w:left w:val="nil"/>
              <w:bottom w:val="single" w:sz="4" w:space="0" w:color="auto"/>
              <w:right w:val="single" w:sz="4" w:space="0" w:color="auto"/>
            </w:tcBorders>
            <w:shd w:val="clear" w:color="000000" w:fill="FFFFFF"/>
            <w:vAlign w:val="center"/>
            <w:hideMark/>
          </w:tcPr>
          <w:p w14:paraId="4C0E3BE1" w14:textId="77777777" w:rsidR="009D3A97" w:rsidRPr="004032F4" w:rsidRDefault="009D3A97" w:rsidP="00B91F3A">
            <w:pPr>
              <w:spacing w:after="0" w:line="240" w:lineRule="auto"/>
              <w:ind w:left="-57" w:right="-57"/>
              <w:jc w:val="right"/>
              <w:rPr>
                <w:rFonts w:ascii="Times New Roman" w:eastAsia="Times New Roman" w:hAnsi="Times New Roman" w:cs="Times New Roman"/>
                <w:color w:val="000000"/>
                <w:spacing w:val="-4"/>
                <w:w w:val="97"/>
                <w:sz w:val="18"/>
                <w:szCs w:val="18"/>
                <w:lang w:eastAsia="ru-RU"/>
              </w:rPr>
            </w:pPr>
            <w:r w:rsidRPr="004032F4">
              <w:rPr>
                <w:rFonts w:ascii="Times New Roman" w:eastAsia="Times New Roman" w:hAnsi="Times New Roman" w:cs="Times New Roman"/>
                <w:color w:val="000000"/>
                <w:spacing w:val="-4"/>
                <w:w w:val="97"/>
                <w:sz w:val="18"/>
                <w:szCs w:val="18"/>
                <w:lang w:eastAsia="ru-RU"/>
              </w:rPr>
              <w:t>х</w:t>
            </w:r>
          </w:p>
        </w:tc>
      </w:tr>
      <w:tr w:rsidR="00B91F3A" w:rsidRPr="004032F4" w14:paraId="52605995" w14:textId="77777777" w:rsidTr="00D24461">
        <w:trPr>
          <w:trHeight w:val="199"/>
          <w:jc w:val="center"/>
        </w:trPr>
        <w:tc>
          <w:tcPr>
            <w:tcW w:w="1229" w:type="dxa"/>
            <w:tcBorders>
              <w:top w:val="nil"/>
              <w:left w:val="single" w:sz="4" w:space="0" w:color="auto"/>
              <w:bottom w:val="single" w:sz="4" w:space="0" w:color="auto"/>
              <w:right w:val="single" w:sz="4" w:space="0" w:color="auto"/>
            </w:tcBorders>
            <w:shd w:val="clear" w:color="auto" w:fill="auto"/>
            <w:vAlign w:val="center"/>
            <w:hideMark/>
          </w:tcPr>
          <w:p w14:paraId="245D07C6" w14:textId="77777777" w:rsidR="009D3A97" w:rsidRPr="004032F4" w:rsidRDefault="009D3A97" w:rsidP="00B91F3A">
            <w:pPr>
              <w:spacing w:after="0" w:line="240" w:lineRule="auto"/>
              <w:ind w:left="-57" w:right="-57"/>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Профицит</w:t>
            </w:r>
          </w:p>
        </w:tc>
        <w:tc>
          <w:tcPr>
            <w:tcW w:w="1116" w:type="dxa"/>
            <w:tcBorders>
              <w:top w:val="nil"/>
              <w:left w:val="nil"/>
              <w:bottom w:val="single" w:sz="4" w:space="0" w:color="auto"/>
              <w:right w:val="single" w:sz="4" w:space="0" w:color="auto"/>
            </w:tcBorders>
            <w:shd w:val="clear" w:color="auto" w:fill="auto"/>
            <w:vAlign w:val="center"/>
            <w:hideMark/>
          </w:tcPr>
          <w:p w14:paraId="1FFFF712" w14:textId="77777777" w:rsidR="009D3A97" w:rsidRPr="004032F4" w:rsidRDefault="009D3A97" w:rsidP="00B91F3A">
            <w:pPr>
              <w:spacing w:after="0" w:line="240" w:lineRule="auto"/>
              <w:ind w:left="-57" w:right="-57"/>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 </w:t>
            </w:r>
          </w:p>
        </w:tc>
        <w:tc>
          <w:tcPr>
            <w:tcW w:w="1007" w:type="dxa"/>
            <w:tcBorders>
              <w:top w:val="nil"/>
              <w:left w:val="nil"/>
              <w:bottom w:val="single" w:sz="4" w:space="0" w:color="auto"/>
              <w:right w:val="single" w:sz="4" w:space="0" w:color="auto"/>
            </w:tcBorders>
            <w:shd w:val="clear" w:color="auto" w:fill="auto"/>
            <w:vAlign w:val="center"/>
            <w:hideMark/>
          </w:tcPr>
          <w:p w14:paraId="39B63399"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14:paraId="1DE6480E"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 </w:t>
            </w:r>
          </w:p>
        </w:tc>
        <w:tc>
          <w:tcPr>
            <w:tcW w:w="867" w:type="dxa"/>
            <w:tcBorders>
              <w:top w:val="nil"/>
              <w:left w:val="nil"/>
              <w:bottom w:val="single" w:sz="4" w:space="0" w:color="auto"/>
              <w:right w:val="single" w:sz="4" w:space="0" w:color="auto"/>
            </w:tcBorders>
            <w:shd w:val="clear" w:color="000000" w:fill="FFFFFF"/>
            <w:vAlign w:val="center"/>
            <w:hideMark/>
          </w:tcPr>
          <w:p w14:paraId="266701E7"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 </w:t>
            </w:r>
          </w:p>
        </w:tc>
        <w:tc>
          <w:tcPr>
            <w:tcW w:w="806" w:type="dxa"/>
            <w:tcBorders>
              <w:top w:val="nil"/>
              <w:left w:val="nil"/>
              <w:bottom w:val="single" w:sz="4" w:space="0" w:color="auto"/>
              <w:right w:val="single" w:sz="4" w:space="0" w:color="auto"/>
            </w:tcBorders>
            <w:shd w:val="clear" w:color="000000" w:fill="FFFFFF"/>
            <w:vAlign w:val="center"/>
            <w:hideMark/>
          </w:tcPr>
          <w:p w14:paraId="58C0B2F7"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 </w:t>
            </w:r>
          </w:p>
        </w:tc>
        <w:tc>
          <w:tcPr>
            <w:tcW w:w="1010" w:type="dxa"/>
            <w:tcBorders>
              <w:top w:val="nil"/>
              <w:left w:val="nil"/>
              <w:bottom w:val="single" w:sz="4" w:space="0" w:color="auto"/>
              <w:right w:val="single" w:sz="4" w:space="0" w:color="auto"/>
            </w:tcBorders>
            <w:shd w:val="clear" w:color="auto" w:fill="auto"/>
            <w:vAlign w:val="center"/>
            <w:hideMark/>
          </w:tcPr>
          <w:p w14:paraId="739E8279" w14:textId="5E871F1F" w:rsidR="009D3A97" w:rsidRPr="004032F4" w:rsidRDefault="009D3A97" w:rsidP="00B559DB">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1 203,3</w:t>
            </w:r>
          </w:p>
        </w:tc>
        <w:tc>
          <w:tcPr>
            <w:tcW w:w="606" w:type="dxa"/>
            <w:tcBorders>
              <w:top w:val="nil"/>
              <w:left w:val="nil"/>
              <w:bottom w:val="single" w:sz="4" w:space="0" w:color="auto"/>
              <w:right w:val="single" w:sz="4" w:space="0" w:color="auto"/>
            </w:tcBorders>
            <w:shd w:val="clear" w:color="000000" w:fill="FFFFFF"/>
            <w:vAlign w:val="center"/>
            <w:hideMark/>
          </w:tcPr>
          <w:p w14:paraId="23004682"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х</w:t>
            </w:r>
          </w:p>
        </w:tc>
        <w:tc>
          <w:tcPr>
            <w:tcW w:w="944" w:type="dxa"/>
            <w:tcBorders>
              <w:top w:val="nil"/>
              <w:left w:val="nil"/>
              <w:bottom w:val="single" w:sz="4" w:space="0" w:color="auto"/>
              <w:right w:val="single" w:sz="4" w:space="0" w:color="auto"/>
            </w:tcBorders>
            <w:shd w:val="clear" w:color="auto" w:fill="auto"/>
            <w:vAlign w:val="center"/>
            <w:hideMark/>
          </w:tcPr>
          <w:p w14:paraId="5C9DA817" w14:textId="00C1E193" w:rsidR="009D3A97" w:rsidRPr="004032F4" w:rsidRDefault="009D3A97" w:rsidP="00B559DB">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5 744,9</w:t>
            </w:r>
          </w:p>
        </w:tc>
        <w:tc>
          <w:tcPr>
            <w:tcW w:w="611" w:type="dxa"/>
            <w:tcBorders>
              <w:top w:val="nil"/>
              <w:left w:val="nil"/>
              <w:bottom w:val="single" w:sz="4" w:space="0" w:color="auto"/>
              <w:right w:val="single" w:sz="4" w:space="0" w:color="auto"/>
            </w:tcBorders>
            <w:shd w:val="clear" w:color="000000" w:fill="FFFFFF"/>
            <w:vAlign w:val="center"/>
            <w:hideMark/>
          </w:tcPr>
          <w:p w14:paraId="27466368" w14:textId="77777777" w:rsidR="009D3A97" w:rsidRPr="004032F4" w:rsidRDefault="009D3A97" w:rsidP="00B91F3A">
            <w:pPr>
              <w:spacing w:after="0" w:line="240" w:lineRule="auto"/>
              <w:ind w:left="-57" w:right="-57"/>
              <w:jc w:val="right"/>
              <w:rPr>
                <w:rFonts w:ascii="Times New Roman" w:eastAsia="Times New Roman" w:hAnsi="Times New Roman" w:cs="Times New Roman"/>
                <w:b/>
                <w:bCs/>
                <w:color w:val="000000"/>
                <w:spacing w:val="-4"/>
                <w:w w:val="97"/>
                <w:sz w:val="18"/>
                <w:szCs w:val="18"/>
                <w:lang w:eastAsia="ru-RU"/>
              </w:rPr>
            </w:pPr>
            <w:r w:rsidRPr="004032F4">
              <w:rPr>
                <w:rFonts w:ascii="Times New Roman" w:eastAsia="Times New Roman" w:hAnsi="Times New Roman" w:cs="Times New Roman"/>
                <w:b/>
                <w:bCs/>
                <w:color w:val="000000"/>
                <w:spacing w:val="-4"/>
                <w:w w:val="97"/>
                <w:sz w:val="18"/>
                <w:szCs w:val="18"/>
                <w:lang w:eastAsia="ru-RU"/>
              </w:rPr>
              <w:t>х</w:t>
            </w:r>
          </w:p>
        </w:tc>
      </w:tr>
    </w:tbl>
    <w:p w14:paraId="36723A4E" w14:textId="54302849" w:rsidR="00914E06" w:rsidRPr="004032F4" w:rsidRDefault="00914E06" w:rsidP="00E4041F">
      <w:pPr>
        <w:tabs>
          <w:tab w:val="left" w:pos="993"/>
          <w:tab w:val="left" w:pos="1134"/>
          <w:tab w:val="left" w:pos="1276"/>
        </w:tabs>
        <w:spacing w:before="120" w:after="0" w:line="240" w:lineRule="auto"/>
        <w:ind w:hanging="142"/>
        <w:jc w:val="both"/>
        <w:rPr>
          <w:rFonts w:ascii="Times New Roman" w:eastAsia="Calibri" w:hAnsi="Times New Roman" w:cs="Times New Roman"/>
          <w:kern w:val="28"/>
          <w:sz w:val="4"/>
          <w:szCs w:val="4"/>
        </w:rPr>
      </w:pPr>
    </w:p>
    <w:p w14:paraId="59D785ED" w14:textId="77777777" w:rsidR="009A286A" w:rsidRPr="004032F4" w:rsidRDefault="009A286A" w:rsidP="00D24461">
      <w:pPr>
        <w:autoSpaceDE w:val="0"/>
        <w:autoSpaceDN w:val="0"/>
        <w:adjustRightInd w:val="0"/>
        <w:spacing w:before="60" w:after="0" w:line="240" w:lineRule="auto"/>
        <w:ind w:firstLine="709"/>
        <w:jc w:val="both"/>
        <w:rPr>
          <w:rFonts w:ascii="Times New Roman" w:eastAsia="Calibri" w:hAnsi="Times New Roman" w:cs="Times New Roman"/>
          <w:sz w:val="28"/>
          <w:szCs w:val="28"/>
          <w:lang w:eastAsia="ru-RU"/>
        </w:rPr>
      </w:pPr>
      <w:r w:rsidRPr="004032F4">
        <w:rPr>
          <w:rFonts w:ascii="Times New Roman" w:eastAsia="Times New Roman" w:hAnsi="Times New Roman" w:cs="Times New Roman"/>
          <w:sz w:val="28"/>
          <w:szCs w:val="28"/>
          <w:lang w:eastAsia="ru-RU"/>
        </w:rPr>
        <w:lastRenderedPageBreak/>
        <w:t xml:space="preserve">Показатели Законопроекта соответствуют установленным БК РФ </w:t>
      </w:r>
      <w:r w:rsidRPr="004032F4">
        <w:rPr>
          <w:rFonts w:ascii="Times New Roman" w:eastAsia="Calibri" w:hAnsi="Times New Roman" w:cs="Times New Roman"/>
          <w:sz w:val="28"/>
          <w:szCs w:val="28"/>
          <w:lang w:eastAsia="ru-RU"/>
        </w:rPr>
        <w:t>принципам сбалансированности бюджета (статья 33 БК РФ) и общего (совокупного) покрытия расходов бюджетов (статья 35 БК РФ).</w:t>
      </w:r>
    </w:p>
    <w:p w14:paraId="62C41862" w14:textId="61438DA0" w:rsidR="00A81B7C" w:rsidRPr="004032F4" w:rsidRDefault="004841BF" w:rsidP="00D24461">
      <w:pPr>
        <w:tabs>
          <w:tab w:val="left" w:pos="993"/>
          <w:tab w:val="left" w:pos="1134"/>
          <w:tab w:val="left" w:pos="1276"/>
        </w:tabs>
        <w:spacing w:after="0" w:line="240" w:lineRule="auto"/>
        <w:ind w:firstLine="709"/>
        <w:jc w:val="both"/>
        <w:rPr>
          <w:rFonts w:ascii="Times New Roman" w:eastAsia="Calibri" w:hAnsi="Times New Roman" w:cs="Times New Roman"/>
          <w:spacing w:val="-4"/>
          <w:kern w:val="28"/>
          <w:sz w:val="28"/>
          <w:szCs w:val="28"/>
        </w:rPr>
      </w:pPr>
      <w:r w:rsidRPr="004032F4">
        <w:rPr>
          <w:rFonts w:ascii="Times New Roman" w:eastAsia="Calibri" w:hAnsi="Times New Roman" w:cs="Times New Roman"/>
          <w:spacing w:val="-4"/>
          <w:kern w:val="28"/>
          <w:sz w:val="28"/>
          <w:szCs w:val="28"/>
        </w:rPr>
        <w:t xml:space="preserve">Доходы бюджета области на </w:t>
      </w:r>
      <w:r w:rsidR="00933509" w:rsidRPr="004032F4">
        <w:rPr>
          <w:rFonts w:ascii="Times New Roman" w:eastAsia="Calibri" w:hAnsi="Times New Roman" w:cs="Times New Roman"/>
          <w:spacing w:val="-4"/>
          <w:kern w:val="28"/>
          <w:sz w:val="28"/>
          <w:szCs w:val="28"/>
        </w:rPr>
        <w:t>2025</w:t>
      </w:r>
      <w:r w:rsidRPr="004032F4">
        <w:rPr>
          <w:rFonts w:ascii="Times New Roman" w:eastAsia="Calibri" w:hAnsi="Times New Roman" w:cs="Times New Roman"/>
          <w:spacing w:val="-4"/>
          <w:kern w:val="28"/>
          <w:sz w:val="28"/>
          <w:szCs w:val="28"/>
        </w:rPr>
        <w:t xml:space="preserve"> год </w:t>
      </w:r>
      <w:r w:rsidR="00A81B7C" w:rsidRPr="004032F4">
        <w:rPr>
          <w:rFonts w:ascii="Times New Roman" w:eastAsia="Calibri" w:hAnsi="Times New Roman" w:cs="Times New Roman"/>
          <w:spacing w:val="-4"/>
          <w:kern w:val="28"/>
          <w:sz w:val="28"/>
          <w:szCs w:val="28"/>
        </w:rPr>
        <w:t xml:space="preserve">в целом </w:t>
      </w:r>
      <w:r w:rsidRPr="004032F4">
        <w:rPr>
          <w:rFonts w:ascii="Times New Roman" w:eastAsia="Calibri" w:hAnsi="Times New Roman" w:cs="Times New Roman"/>
          <w:spacing w:val="-4"/>
          <w:kern w:val="28"/>
          <w:sz w:val="28"/>
          <w:szCs w:val="28"/>
        </w:rPr>
        <w:t>планируются ниже уровня оценки исполнения доходов бюджета области за 20</w:t>
      </w:r>
      <w:r w:rsidR="00A81B7C" w:rsidRPr="004032F4">
        <w:rPr>
          <w:rFonts w:ascii="Times New Roman" w:eastAsia="Calibri" w:hAnsi="Times New Roman" w:cs="Times New Roman"/>
          <w:spacing w:val="-4"/>
          <w:kern w:val="28"/>
          <w:sz w:val="28"/>
          <w:szCs w:val="28"/>
        </w:rPr>
        <w:t>2</w:t>
      </w:r>
      <w:r w:rsidR="00E14A0F" w:rsidRPr="004032F4">
        <w:rPr>
          <w:rFonts w:ascii="Times New Roman" w:eastAsia="Calibri" w:hAnsi="Times New Roman" w:cs="Times New Roman"/>
          <w:spacing w:val="-4"/>
          <w:kern w:val="28"/>
          <w:sz w:val="28"/>
          <w:szCs w:val="28"/>
        </w:rPr>
        <w:t>4</w:t>
      </w:r>
      <w:r w:rsidRPr="004032F4">
        <w:rPr>
          <w:rFonts w:ascii="Times New Roman" w:eastAsia="Calibri" w:hAnsi="Times New Roman" w:cs="Times New Roman"/>
          <w:spacing w:val="-4"/>
          <w:kern w:val="28"/>
          <w:sz w:val="28"/>
          <w:szCs w:val="28"/>
        </w:rPr>
        <w:t xml:space="preserve"> год (на </w:t>
      </w:r>
      <w:r w:rsidR="00E14A0F" w:rsidRPr="004032F4">
        <w:rPr>
          <w:rFonts w:ascii="Times New Roman" w:eastAsia="Calibri" w:hAnsi="Times New Roman" w:cs="Times New Roman"/>
          <w:spacing w:val="-4"/>
          <w:kern w:val="28"/>
          <w:sz w:val="28"/>
          <w:szCs w:val="28"/>
        </w:rPr>
        <w:t>7</w:t>
      </w:r>
      <w:r w:rsidR="00C27739" w:rsidRPr="004032F4">
        <w:rPr>
          <w:rFonts w:ascii="Times New Roman" w:eastAsia="Calibri" w:hAnsi="Times New Roman" w:cs="Times New Roman"/>
          <w:spacing w:val="-4"/>
          <w:kern w:val="28"/>
          <w:sz w:val="28"/>
          <w:szCs w:val="28"/>
        </w:rPr>
        <w:t>,5</w:t>
      </w:r>
      <w:r w:rsidRPr="004032F4">
        <w:rPr>
          <w:rFonts w:ascii="Times New Roman" w:eastAsia="Calibri" w:hAnsi="Times New Roman" w:cs="Times New Roman"/>
          <w:spacing w:val="-4"/>
          <w:kern w:val="28"/>
          <w:sz w:val="28"/>
          <w:szCs w:val="28"/>
        </w:rPr>
        <w:t xml:space="preserve">%), что обусловлено отсутствием распределения между бюджетами субъектов </w:t>
      </w:r>
      <w:r w:rsidR="00795EF0" w:rsidRPr="004032F4">
        <w:rPr>
          <w:rFonts w:ascii="Times New Roman" w:eastAsia="Calibri" w:hAnsi="Times New Roman" w:cs="Times New Roman"/>
          <w:spacing w:val="-4"/>
          <w:kern w:val="28"/>
          <w:sz w:val="28"/>
          <w:szCs w:val="28"/>
        </w:rPr>
        <w:t xml:space="preserve">Российской Федерации (далее – </w:t>
      </w:r>
      <w:r w:rsidRPr="004032F4">
        <w:rPr>
          <w:rFonts w:ascii="Times New Roman" w:eastAsia="Calibri" w:hAnsi="Times New Roman" w:cs="Times New Roman"/>
          <w:spacing w:val="-4"/>
          <w:kern w:val="28"/>
          <w:sz w:val="28"/>
          <w:szCs w:val="28"/>
        </w:rPr>
        <w:t>РФ</w:t>
      </w:r>
      <w:r w:rsidR="00795EF0" w:rsidRPr="004032F4">
        <w:rPr>
          <w:rFonts w:ascii="Times New Roman" w:eastAsia="Calibri" w:hAnsi="Times New Roman" w:cs="Times New Roman"/>
          <w:spacing w:val="-4"/>
          <w:kern w:val="28"/>
          <w:sz w:val="28"/>
          <w:szCs w:val="28"/>
        </w:rPr>
        <w:t>)</w:t>
      </w:r>
      <w:r w:rsidRPr="004032F4">
        <w:rPr>
          <w:rFonts w:ascii="Times New Roman" w:eastAsia="Calibri" w:hAnsi="Times New Roman" w:cs="Times New Roman"/>
          <w:spacing w:val="-4"/>
          <w:kern w:val="28"/>
          <w:sz w:val="28"/>
          <w:szCs w:val="28"/>
        </w:rPr>
        <w:t xml:space="preserve"> отдельных межбюджетных трансфертов из федерального бюджета</w:t>
      </w:r>
      <w:r w:rsidR="00A81B7C" w:rsidRPr="004032F4">
        <w:rPr>
          <w:rFonts w:ascii="Times New Roman" w:eastAsia="Calibri" w:hAnsi="Times New Roman" w:cs="Times New Roman"/>
          <w:spacing w:val="-4"/>
          <w:kern w:val="28"/>
          <w:sz w:val="28"/>
          <w:szCs w:val="28"/>
        </w:rPr>
        <w:t xml:space="preserve">, при этом </w:t>
      </w:r>
      <w:r w:rsidR="00F04753" w:rsidRPr="004032F4">
        <w:rPr>
          <w:rFonts w:ascii="Times New Roman" w:eastAsia="Calibri" w:hAnsi="Times New Roman" w:cs="Times New Roman"/>
          <w:spacing w:val="-4"/>
          <w:kern w:val="28"/>
          <w:sz w:val="28"/>
          <w:szCs w:val="28"/>
        </w:rPr>
        <w:t xml:space="preserve">объем </w:t>
      </w:r>
      <w:r w:rsidR="00A81B7C" w:rsidRPr="004032F4">
        <w:rPr>
          <w:rFonts w:ascii="Times New Roman" w:eastAsia="Calibri" w:hAnsi="Times New Roman" w:cs="Times New Roman"/>
          <w:spacing w:val="-4"/>
          <w:kern w:val="28"/>
          <w:sz w:val="28"/>
          <w:szCs w:val="28"/>
        </w:rPr>
        <w:t xml:space="preserve">налоговых и неналоговых доходов </w:t>
      </w:r>
      <w:r w:rsidR="00F04753" w:rsidRPr="004032F4">
        <w:rPr>
          <w:rFonts w:ascii="Times New Roman" w:eastAsia="Calibri" w:hAnsi="Times New Roman" w:cs="Times New Roman"/>
          <w:spacing w:val="-4"/>
          <w:kern w:val="28"/>
          <w:sz w:val="28"/>
          <w:szCs w:val="28"/>
        </w:rPr>
        <w:t>прогнозируется с ростом от ожидаемой оценки исполнения за 202</w:t>
      </w:r>
      <w:r w:rsidR="00E14A0F" w:rsidRPr="004032F4">
        <w:rPr>
          <w:rFonts w:ascii="Times New Roman" w:eastAsia="Calibri" w:hAnsi="Times New Roman" w:cs="Times New Roman"/>
          <w:spacing w:val="-4"/>
          <w:kern w:val="28"/>
          <w:sz w:val="28"/>
          <w:szCs w:val="28"/>
        </w:rPr>
        <w:t>4</w:t>
      </w:r>
      <w:r w:rsidR="00F04753" w:rsidRPr="004032F4">
        <w:rPr>
          <w:rFonts w:ascii="Times New Roman" w:eastAsia="Calibri" w:hAnsi="Times New Roman" w:cs="Times New Roman"/>
          <w:spacing w:val="-4"/>
          <w:kern w:val="28"/>
          <w:sz w:val="28"/>
          <w:szCs w:val="28"/>
        </w:rPr>
        <w:t xml:space="preserve"> год </w:t>
      </w:r>
      <w:r w:rsidR="00A81B7C" w:rsidRPr="004032F4">
        <w:rPr>
          <w:rFonts w:ascii="Times New Roman" w:eastAsia="Calibri" w:hAnsi="Times New Roman" w:cs="Times New Roman"/>
          <w:spacing w:val="-4"/>
          <w:kern w:val="28"/>
          <w:sz w:val="28"/>
          <w:szCs w:val="28"/>
        </w:rPr>
        <w:t xml:space="preserve">на </w:t>
      </w:r>
      <w:r w:rsidR="00E14A0F" w:rsidRPr="004032F4">
        <w:rPr>
          <w:rFonts w:ascii="Times New Roman" w:eastAsia="Calibri" w:hAnsi="Times New Roman" w:cs="Times New Roman"/>
          <w:spacing w:val="-4"/>
          <w:kern w:val="28"/>
          <w:sz w:val="28"/>
          <w:szCs w:val="28"/>
        </w:rPr>
        <w:t>5,2</w:t>
      </w:r>
      <w:r w:rsidR="00A81B7C" w:rsidRPr="004032F4">
        <w:rPr>
          <w:rFonts w:ascii="Times New Roman" w:eastAsia="Calibri" w:hAnsi="Times New Roman" w:cs="Times New Roman"/>
          <w:spacing w:val="-4"/>
          <w:kern w:val="28"/>
          <w:sz w:val="28"/>
          <w:szCs w:val="28"/>
        </w:rPr>
        <w:t xml:space="preserve">%, объем безвозмездных поступлений </w:t>
      </w:r>
      <w:r w:rsidR="007C5F98" w:rsidRPr="004032F4">
        <w:rPr>
          <w:rFonts w:ascii="Times New Roman" w:eastAsia="Calibri" w:hAnsi="Times New Roman" w:cs="Times New Roman"/>
          <w:spacing w:val="-4"/>
          <w:kern w:val="28"/>
          <w:sz w:val="28"/>
          <w:szCs w:val="28"/>
        </w:rPr>
        <w:t>составляет</w:t>
      </w:r>
      <w:r w:rsidR="00A81B7C" w:rsidRPr="004032F4">
        <w:rPr>
          <w:rFonts w:ascii="Times New Roman" w:eastAsia="Calibri" w:hAnsi="Times New Roman" w:cs="Times New Roman"/>
          <w:spacing w:val="-4"/>
          <w:kern w:val="28"/>
          <w:sz w:val="28"/>
          <w:szCs w:val="28"/>
        </w:rPr>
        <w:t xml:space="preserve"> </w:t>
      </w:r>
      <w:r w:rsidR="00E14A0F" w:rsidRPr="004032F4">
        <w:rPr>
          <w:rFonts w:ascii="Times New Roman" w:eastAsia="Calibri" w:hAnsi="Times New Roman" w:cs="Times New Roman"/>
          <w:spacing w:val="-4"/>
          <w:kern w:val="28"/>
          <w:sz w:val="28"/>
          <w:szCs w:val="28"/>
        </w:rPr>
        <w:t>21</w:t>
      </w:r>
      <w:r w:rsidR="00A81B7C" w:rsidRPr="004032F4">
        <w:rPr>
          <w:rFonts w:ascii="Times New Roman" w:eastAsia="Calibri" w:hAnsi="Times New Roman" w:cs="Times New Roman"/>
          <w:spacing w:val="-4"/>
          <w:kern w:val="28"/>
          <w:sz w:val="28"/>
          <w:szCs w:val="28"/>
        </w:rPr>
        <w:t>% от ожидаемой оценки исполнения за 202</w:t>
      </w:r>
      <w:r w:rsidR="00E14A0F" w:rsidRPr="004032F4">
        <w:rPr>
          <w:rFonts w:ascii="Times New Roman" w:eastAsia="Calibri" w:hAnsi="Times New Roman" w:cs="Times New Roman"/>
          <w:spacing w:val="-4"/>
          <w:kern w:val="28"/>
          <w:sz w:val="28"/>
          <w:szCs w:val="28"/>
        </w:rPr>
        <w:t>4</w:t>
      </w:r>
      <w:r w:rsidR="00A81B7C" w:rsidRPr="004032F4">
        <w:rPr>
          <w:rFonts w:ascii="Times New Roman" w:eastAsia="Calibri" w:hAnsi="Times New Roman" w:cs="Times New Roman"/>
          <w:spacing w:val="-4"/>
          <w:kern w:val="28"/>
          <w:sz w:val="28"/>
          <w:szCs w:val="28"/>
        </w:rPr>
        <w:t xml:space="preserve"> год.</w:t>
      </w:r>
    </w:p>
    <w:p w14:paraId="3E60B9F6" w14:textId="49FA98CC" w:rsidR="004841BF" w:rsidRPr="004032F4" w:rsidRDefault="004841BF" w:rsidP="005F3B3C">
      <w:pPr>
        <w:tabs>
          <w:tab w:val="left" w:pos="993"/>
          <w:tab w:val="left" w:pos="1134"/>
          <w:tab w:val="left" w:pos="1276"/>
        </w:tabs>
        <w:spacing w:after="0" w:line="240" w:lineRule="auto"/>
        <w:ind w:firstLine="709"/>
        <w:jc w:val="both"/>
        <w:rPr>
          <w:rFonts w:ascii="Times New Roman" w:eastAsia="Calibri" w:hAnsi="Times New Roman" w:cs="Times New Roman"/>
          <w:spacing w:val="-4"/>
          <w:kern w:val="28"/>
          <w:sz w:val="28"/>
          <w:szCs w:val="28"/>
        </w:rPr>
      </w:pPr>
      <w:r w:rsidRPr="004032F4">
        <w:rPr>
          <w:rFonts w:ascii="Times New Roman" w:eastAsia="Calibri" w:hAnsi="Times New Roman" w:cs="Times New Roman"/>
          <w:spacing w:val="-4"/>
          <w:kern w:val="28"/>
          <w:sz w:val="28"/>
          <w:szCs w:val="28"/>
        </w:rPr>
        <w:t xml:space="preserve">На </w:t>
      </w:r>
      <w:r w:rsidR="00933509" w:rsidRPr="004032F4">
        <w:rPr>
          <w:rFonts w:ascii="Times New Roman" w:eastAsia="Calibri" w:hAnsi="Times New Roman" w:cs="Times New Roman"/>
          <w:spacing w:val="-4"/>
          <w:kern w:val="28"/>
          <w:sz w:val="28"/>
          <w:szCs w:val="28"/>
        </w:rPr>
        <w:t>2026</w:t>
      </w:r>
      <w:r w:rsidR="00C27739" w:rsidRPr="004032F4">
        <w:rPr>
          <w:rFonts w:ascii="Times New Roman" w:eastAsia="Calibri" w:hAnsi="Times New Roman" w:cs="Times New Roman"/>
          <w:spacing w:val="-4"/>
          <w:kern w:val="28"/>
          <w:sz w:val="28"/>
          <w:szCs w:val="28"/>
        </w:rPr>
        <w:t xml:space="preserve"> и </w:t>
      </w:r>
      <w:r w:rsidR="00933509" w:rsidRPr="004032F4">
        <w:rPr>
          <w:rFonts w:ascii="Times New Roman" w:eastAsia="Calibri" w:hAnsi="Times New Roman" w:cs="Times New Roman"/>
          <w:spacing w:val="-4"/>
          <w:kern w:val="28"/>
          <w:sz w:val="28"/>
          <w:szCs w:val="28"/>
        </w:rPr>
        <w:t>2027</w:t>
      </w:r>
      <w:r w:rsidRPr="004032F4">
        <w:rPr>
          <w:rFonts w:ascii="Times New Roman" w:eastAsia="Calibri" w:hAnsi="Times New Roman" w:cs="Times New Roman"/>
          <w:spacing w:val="-4"/>
          <w:kern w:val="28"/>
          <w:sz w:val="28"/>
          <w:szCs w:val="28"/>
        </w:rPr>
        <w:t xml:space="preserve"> </w:t>
      </w:r>
      <w:r w:rsidR="00152224" w:rsidRPr="004032F4">
        <w:rPr>
          <w:rFonts w:ascii="Times New Roman" w:eastAsia="Calibri" w:hAnsi="Times New Roman" w:cs="Times New Roman"/>
          <w:spacing w:val="-4"/>
          <w:kern w:val="28"/>
          <w:sz w:val="28"/>
          <w:szCs w:val="28"/>
        </w:rPr>
        <w:t>год</w:t>
      </w:r>
      <w:r w:rsidR="00C27739" w:rsidRPr="004032F4">
        <w:rPr>
          <w:rFonts w:ascii="Times New Roman" w:eastAsia="Calibri" w:hAnsi="Times New Roman" w:cs="Times New Roman"/>
          <w:spacing w:val="-4"/>
          <w:kern w:val="28"/>
          <w:sz w:val="28"/>
          <w:szCs w:val="28"/>
        </w:rPr>
        <w:t>ы</w:t>
      </w:r>
      <w:r w:rsidR="00152224" w:rsidRPr="004032F4">
        <w:rPr>
          <w:rFonts w:ascii="Times New Roman" w:eastAsia="Calibri" w:hAnsi="Times New Roman" w:cs="Times New Roman"/>
          <w:spacing w:val="-4"/>
          <w:kern w:val="28"/>
          <w:sz w:val="28"/>
          <w:szCs w:val="28"/>
        </w:rPr>
        <w:t xml:space="preserve"> доходы в целом спрогнозированы с ростом к предыдущему году на </w:t>
      </w:r>
      <w:r w:rsidR="00E14A0F" w:rsidRPr="004032F4">
        <w:rPr>
          <w:rFonts w:ascii="Times New Roman" w:eastAsia="Calibri" w:hAnsi="Times New Roman" w:cs="Times New Roman"/>
          <w:spacing w:val="-4"/>
          <w:kern w:val="28"/>
          <w:sz w:val="28"/>
          <w:szCs w:val="28"/>
        </w:rPr>
        <w:t>7,9</w:t>
      </w:r>
      <w:r w:rsidR="00152224" w:rsidRPr="004032F4">
        <w:rPr>
          <w:rFonts w:ascii="Times New Roman" w:eastAsia="Calibri" w:hAnsi="Times New Roman" w:cs="Times New Roman"/>
          <w:spacing w:val="-4"/>
          <w:kern w:val="28"/>
          <w:sz w:val="28"/>
          <w:szCs w:val="28"/>
        </w:rPr>
        <w:t>%</w:t>
      </w:r>
      <w:r w:rsidR="00C27739" w:rsidRPr="004032F4">
        <w:rPr>
          <w:rFonts w:ascii="Times New Roman" w:eastAsia="Calibri" w:hAnsi="Times New Roman" w:cs="Times New Roman"/>
          <w:spacing w:val="-4"/>
          <w:kern w:val="28"/>
          <w:sz w:val="28"/>
          <w:szCs w:val="28"/>
        </w:rPr>
        <w:t xml:space="preserve"> и на </w:t>
      </w:r>
      <w:r w:rsidR="00E14A0F" w:rsidRPr="004032F4">
        <w:rPr>
          <w:rFonts w:ascii="Times New Roman" w:eastAsia="Calibri" w:hAnsi="Times New Roman" w:cs="Times New Roman"/>
          <w:spacing w:val="-4"/>
          <w:kern w:val="28"/>
          <w:sz w:val="28"/>
          <w:szCs w:val="28"/>
        </w:rPr>
        <w:t>9,1</w:t>
      </w:r>
      <w:r w:rsidR="00C27739" w:rsidRPr="004032F4">
        <w:rPr>
          <w:rFonts w:ascii="Times New Roman" w:eastAsia="Calibri" w:hAnsi="Times New Roman" w:cs="Times New Roman"/>
          <w:spacing w:val="-4"/>
          <w:kern w:val="28"/>
          <w:sz w:val="28"/>
          <w:szCs w:val="28"/>
        </w:rPr>
        <w:t>% соответственно (рост прогнозируется за счет увеличения поступлений налоговых и неналоговых доходов).</w:t>
      </w:r>
    </w:p>
    <w:p w14:paraId="1A5F5266" w14:textId="62C792E7" w:rsidR="00496FE1" w:rsidRPr="004032F4" w:rsidRDefault="00496FE1" w:rsidP="00130F3B">
      <w:pPr>
        <w:tabs>
          <w:tab w:val="left" w:pos="993"/>
          <w:tab w:val="left" w:pos="1134"/>
          <w:tab w:val="left" w:pos="1276"/>
        </w:tabs>
        <w:spacing w:before="40" w:after="80" w:line="240" w:lineRule="auto"/>
        <w:ind w:firstLine="709"/>
        <w:jc w:val="both"/>
        <w:rPr>
          <w:rFonts w:ascii="Times New Roman" w:eastAsia="Calibri" w:hAnsi="Times New Roman" w:cs="Times New Roman"/>
          <w:spacing w:val="-4"/>
          <w:kern w:val="28"/>
          <w:sz w:val="28"/>
          <w:szCs w:val="28"/>
        </w:rPr>
      </w:pPr>
      <w:r w:rsidRPr="004032F4">
        <w:rPr>
          <w:rFonts w:ascii="Times New Roman" w:eastAsia="Calibri" w:hAnsi="Times New Roman" w:cs="Times New Roman"/>
          <w:spacing w:val="-4"/>
          <w:kern w:val="28"/>
          <w:sz w:val="28"/>
          <w:szCs w:val="28"/>
        </w:rPr>
        <w:t xml:space="preserve">Анализ </w:t>
      </w:r>
      <w:r w:rsidR="007F364B" w:rsidRPr="004032F4">
        <w:rPr>
          <w:rFonts w:ascii="Times New Roman" w:eastAsia="Calibri" w:hAnsi="Times New Roman" w:cs="Times New Roman"/>
          <w:spacing w:val="-4"/>
          <w:kern w:val="28"/>
          <w:sz w:val="28"/>
          <w:szCs w:val="28"/>
        </w:rPr>
        <w:t>утвержденных параметров бюджетов</w:t>
      </w:r>
      <w:r w:rsidR="00D36923" w:rsidRPr="004032F4">
        <w:rPr>
          <w:rFonts w:ascii="Times New Roman" w:eastAsia="Calibri" w:hAnsi="Times New Roman" w:cs="Times New Roman"/>
          <w:spacing w:val="-4"/>
          <w:kern w:val="28"/>
          <w:sz w:val="28"/>
          <w:szCs w:val="28"/>
        </w:rPr>
        <w:t xml:space="preserve"> в предыдущие годы</w:t>
      </w:r>
      <w:r w:rsidR="007F364B" w:rsidRPr="004032F4">
        <w:rPr>
          <w:rFonts w:ascii="Times New Roman" w:eastAsia="Calibri" w:hAnsi="Times New Roman" w:cs="Times New Roman"/>
          <w:spacing w:val="-4"/>
          <w:kern w:val="28"/>
          <w:sz w:val="28"/>
          <w:szCs w:val="28"/>
        </w:rPr>
        <w:t xml:space="preserve"> и параметров бюджет</w:t>
      </w:r>
      <w:r w:rsidR="00D36923" w:rsidRPr="004032F4">
        <w:rPr>
          <w:rFonts w:ascii="Times New Roman" w:eastAsia="Calibri" w:hAnsi="Times New Roman" w:cs="Times New Roman"/>
          <w:spacing w:val="-4"/>
          <w:kern w:val="28"/>
          <w:sz w:val="28"/>
          <w:szCs w:val="28"/>
        </w:rPr>
        <w:t>ов,</w:t>
      </w:r>
      <w:r w:rsidR="007F364B" w:rsidRPr="004032F4">
        <w:rPr>
          <w:rFonts w:ascii="Times New Roman" w:eastAsia="Calibri" w:hAnsi="Times New Roman" w:cs="Times New Roman"/>
          <w:spacing w:val="-4"/>
          <w:kern w:val="28"/>
          <w:sz w:val="28"/>
          <w:szCs w:val="28"/>
        </w:rPr>
        <w:t xml:space="preserve"> внесен</w:t>
      </w:r>
      <w:r w:rsidR="00D36923" w:rsidRPr="004032F4">
        <w:rPr>
          <w:rFonts w:ascii="Times New Roman" w:eastAsia="Calibri" w:hAnsi="Times New Roman" w:cs="Times New Roman"/>
          <w:spacing w:val="-4"/>
          <w:kern w:val="28"/>
          <w:sz w:val="28"/>
          <w:szCs w:val="28"/>
        </w:rPr>
        <w:t>ных в Тульскую областную Думу для рассмотрения в первом чтении,</w:t>
      </w:r>
      <w:r w:rsidR="007F364B" w:rsidRPr="004032F4">
        <w:rPr>
          <w:rFonts w:ascii="Times New Roman" w:eastAsia="Calibri" w:hAnsi="Times New Roman" w:cs="Times New Roman"/>
          <w:spacing w:val="-4"/>
          <w:kern w:val="28"/>
          <w:sz w:val="28"/>
          <w:szCs w:val="28"/>
        </w:rPr>
        <w:t xml:space="preserve"> позволяет отметить</w:t>
      </w:r>
      <w:r w:rsidRPr="004032F4">
        <w:rPr>
          <w:rFonts w:ascii="Times New Roman" w:eastAsia="Calibri" w:hAnsi="Times New Roman" w:cs="Times New Roman"/>
          <w:spacing w:val="-4"/>
          <w:kern w:val="28"/>
          <w:sz w:val="28"/>
          <w:szCs w:val="28"/>
        </w:rPr>
        <w:t>, что объем</w:t>
      </w:r>
      <w:r w:rsidR="00E159F1" w:rsidRPr="004032F4">
        <w:rPr>
          <w:rFonts w:ascii="Times New Roman" w:eastAsia="Calibri" w:hAnsi="Times New Roman" w:cs="Times New Roman"/>
          <w:spacing w:val="-4"/>
          <w:kern w:val="28"/>
          <w:sz w:val="28"/>
          <w:szCs w:val="28"/>
        </w:rPr>
        <w:t>ы</w:t>
      </w:r>
      <w:r w:rsidRPr="004032F4">
        <w:rPr>
          <w:rFonts w:ascii="Times New Roman" w:eastAsia="Calibri" w:hAnsi="Times New Roman" w:cs="Times New Roman"/>
          <w:spacing w:val="-4"/>
          <w:kern w:val="28"/>
          <w:sz w:val="28"/>
          <w:szCs w:val="28"/>
        </w:rPr>
        <w:t xml:space="preserve"> доходов </w:t>
      </w:r>
      <w:r w:rsidR="00E159F1" w:rsidRPr="004032F4">
        <w:rPr>
          <w:rFonts w:ascii="Times New Roman" w:eastAsia="Calibri" w:hAnsi="Times New Roman" w:cs="Times New Roman"/>
          <w:spacing w:val="-4"/>
          <w:kern w:val="28"/>
          <w:sz w:val="28"/>
          <w:szCs w:val="28"/>
        </w:rPr>
        <w:t xml:space="preserve">и расходов </w:t>
      </w:r>
      <w:r w:rsidR="007F364B" w:rsidRPr="004032F4">
        <w:rPr>
          <w:rFonts w:ascii="Times New Roman" w:eastAsia="Calibri" w:hAnsi="Times New Roman" w:cs="Times New Roman"/>
          <w:spacing w:val="-4"/>
          <w:kern w:val="28"/>
          <w:sz w:val="28"/>
          <w:szCs w:val="28"/>
        </w:rPr>
        <w:t xml:space="preserve">утвержденных бюджетов </w:t>
      </w:r>
      <w:r w:rsidR="00A43521" w:rsidRPr="004032F4">
        <w:rPr>
          <w:rFonts w:ascii="Times New Roman" w:eastAsia="Calibri" w:hAnsi="Times New Roman" w:cs="Times New Roman"/>
          <w:spacing w:val="-4"/>
          <w:kern w:val="28"/>
          <w:sz w:val="28"/>
          <w:szCs w:val="28"/>
        </w:rPr>
        <w:t xml:space="preserve">выше параметров бюджета, </w:t>
      </w:r>
      <w:r w:rsidR="007F364B" w:rsidRPr="004032F4">
        <w:rPr>
          <w:rFonts w:ascii="Times New Roman" w:eastAsia="Calibri" w:hAnsi="Times New Roman" w:cs="Times New Roman"/>
          <w:spacing w:val="-4"/>
          <w:kern w:val="28"/>
          <w:sz w:val="28"/>
          <w:szCs w:val="28"/>
        </w:rPr>
        <w:t xml:space="preserve">внесенного в </w:t>
      </w:r>
      <w:r w:rsidR="00D36923" w:rsidRPr="004032F4">
        <w:rPr>
          <w:rFonts w:ascii="Times New Roman" w:eastAsia="Calibri" w:hAnsi="Times New Roman" w:cs="Times New Roman"/>
          <w:spacing w:val="-4"/>
          <w:kern w:val="28"/>
          <w:sz w:val="28"/>
          <w:szCs w:val="28"/>
        </w:rPr>
        <w:t>Тульскую областную Думу</w:t>
      </w:r>
      <w:r w:rsidR="00A43521" w:rsidRPr="004032F4">
        <w:rPr>
          <w:rFonts w:ascii="Times New Roman" w:eastAsia="Calibri" w:hAnsi="Times New Roman" w:cs="Times New Roman"/>
          <w:spacing w:val="-4"/>
          <w:kern w:val="28"/>
          <w:sz w:val="28"/>
          <w:szCs w:val="28"/>
        </w:rPr>
        <w:t>,</w:t>
      </w:r>
      <w:r w:rsidR="007F364B" w:rsidRPr="004032F4">
        <w:rPr>
          <w:rFonts w:ascii="Times New Roman" w:eastAsia="Calibri" w:hAnsi="Times New Roman" w:cs="Times New Roman"/>
          <w:spacing w:val="-4"/>
          <w:kern w:val="28"/>
          <w:sz w:val="28"/>
          <w:szCs w:val="28"/>
        </w:rPr>
        <w:t xml:space="preserve"> </w:t>
      </w:r>
      <w:r w:rsidR="00835727" w:rsidRPr="004032F4">
        <w:rPr>
          <w:rFonts w:ascii="Times New Roman" w:eastAsia="Calibri" w:hAnsi="Times New Roman" w:cs="Times New Roman"/>
          <w:spacing w:val="-4"/>
          <w:kern w:val="28"/>
          <w:sz w:val="28"/>
          <w:szCs w:val="28"/>
        </w:rPr>
        <w:t xml:space="preserve">за счет </w:t>
      </w:r>
      <w:r w:rsidR="00846EA6" w:rsidRPr="004032F4">
        <w:rPr>
          <w:rFonts w:ascii="Times New Roman" w:eastAsia="Calibri" w:hAnsi="Times New Roman" w:cs="Times New Roman"/>
          <w:spacing w:val="-4"/>
          <w:kern w:val="28"/>
          <w:sz w:val="28"/>
          <w:szCs w:val="28"/>
        </w:rPr>
        <w:t>увеличения</w:t>
      </w:r>
      <w:r w:rsidR="00835727" w:rsidRPr="004032F4">
        <w:rPr>
          <w:rFonts w:ascii="Times New Roman" w:eastAsia="Calibri" w:hAnsi="Times New Roman" w:cs="Times New Roman"/>
          <w:spacing w:val="-4"/>
          <w:kern w:val="28"/>
          <w:sz w:val="28"/>
          <w:szCs w:val="28"/>
        </w:rPr>
        <w:t xml:space="preserve"> объема безвозмездных поступлений из федерального бюджета</w:t>
      </w:r>
      <w:r w:rsidR="00846EA6" w:rsidRPr="004032F4">
        <w:rPr>
          <w:rFonts w:ascii="Times New Roman" w:eastAsia="Calibri" w:hAnsi="Times New Roman" w:cs="Times New Roman"/>
          <w:spacing w:val="-4"/>
          <w:kern w:val="28"/>
          <w:sz w:val="28"/>
          <w:szCs w:val="28"/>
        </w:rPr>
        <w:t xml:space="preserve"> (см. таблицу ниже)</w:t>
      </w:r>
      <w:r w:rsidR="005511AA" w:rsidRPr="004032F4">
        <w:rPr>
          <w:rFonts w:ascii="Times New Roman" w:eastAsia="Calibri" w:hAnsi="Times New Roman" w:cs="Times New Roman"/>
          <w:spacing w:val="-4"/>
          <w:kern w:val="28"/>
          <w:sz w:val="28"/>
          <w:szCs w:val="28"/>
        </w:rPr>
        <w:t>.</w:t>
      </w:r>
      <w:r w:rsidR="00835727" w:rsidRPr="004032F4">
        <w:rPr>
          <w:rFonts w:ascii="Times New Roman" w:eastAsia="Calibri" w:hAnsi="Times New Roman" w:cs="Times New Roman"/>
          <w:spacing w:val="-4"/>
          <w:kern w:val="28"/>
          <w:sz w:val="28"/>
          <w:szCs w:val="28"/>
        </w:rPr>
        <w:t xml:space="preserve"> </w:t>
      </w:r>
    </w:p>
    <w:tbl>
      <w:tblPr>
        <w:tblW w:w="5176" w:type="pct"/>
        <w:jc w:val="center"/>
        <w:tblLayout w:type="fixed"/>
        <w:tblLook w:val="04A0" w:firstRow="1" w:lastRow="0" w:firstColumn="1" w:lastColumn="0" w:noHBand="0" w:noVBand="1"/>
      </w:tblPr>
      <w:tblGrid>
        <w:gridCol w:w="1319"/>
        <w:gridCol w:w="937"/>
        <w:gridCol w:w="1117"/>
        <w:gridCol w:w="986"/>
        <w:gridCol w:w="471"/>
        <w:gridCol w:w="1218"/>
        <w:gridCol w:w="1126"/>
        <w:gridCol w:w="985"/>
        <w:gridCol w:w="482"/>
        <w:gridCol w:w="1032"/>
      </w:tblGrid>
      <w:tr w:rsidR="00A43521" w:rsidRPr="004032F4" w14:paraId="7F484C4B" w14:textId="77777777" w:rsidTr="00D24461">
        <w:trPr>
          <w:trHeight w:val="105"/>
          <w:jc w:val="center"/>
        </w:trPr>
        <w:tc>
          <w:tcPr>
            <w:tcW w:w="13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1B0A6" w14:textId="77777777" w:rsidR="00A43521" w:rsidRPr="004032F4" w:rsidRDefault="00A43521" w:rsidP="00A43521">
            <w:pPr>
              <w:spacing w:after="0" w:line="240" w:lineRule="auto"/>
              <w:ind w:left="-57" w:right="-113"/>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 </w:t>
            </w:r>
          </w:p>
        </w:tc>
        <w:tc>
          <w:tcPr>
            <w:tcW w:w="351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B2B23D" w14:textId="77777777" w:rsidR="00A43521" w:rsidRPr="004032F4" w:rsidRDefault="00A43521" w:rsidP="00A43521">
            <w:pPr>
              <w:spacing w:after="0" w:line="240" w:lineRule="auto"/>
              <w:ind w:left="-57" w:right="-113"/>
              <w:jc w:val="center"/>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на 2023 год</w:t>
            </w:r>
          </w:p>
        </w:tc>
        <w:tc>
          <w:tcPr>
            <w:tcW w:w="3811"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6C9125" w14:textId="77777777" w:rsidR="00A43521" w:rsidRPr="004032F4" w:rsidRDefault="00A43521" w:rsidP="00A43521">
            <w:pPr>
              <w:spacing w:after="0" w:line="240" w:lineRule="auto"/>
              <w:ind w:left="-57" w:right="-113"/>
              <w:jc w:val="center"/>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на 2024 год</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3E09211E" w14:textId="77777777" w:rsidR="00A43521" w:rsidRPr="004032F4" w:rsidRDefault="00A43521" w:rsidP="00A43521">
            <w:pPr>
              <w:spacing w:after="0" w:line="240" w:lineRule="auto"/>
              <w:ind w:left="-57" w:right="-113"/>
              <w:jc w:val="center"/>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на 2024 год</w:t>
            </w:r>
          </w:p>
        </w:tc>
      </w:tr>
      <w:tr w:rsidR="00A43521" w:rsidRPr="004032F4" w14:paraId="21520FD3" w14:textId="77777777" w:rsidTr="00D24461">
        <w:trPr>
          <w:trHeight w:val="716"/>
          <w:jc w:val="center"/>
        </w:trPr>
        <w:tc>
          <w:tcPr>
            <w:tcW w:w="1318" w:type="dxa"/>
            <w:vMerge/>
            <w:tcBorders>
              <w:top w:val="single" w:sz="4" w:space="0" w:color="auto"/>
              <w:left w:val="single" w:sz="4" w:space="0" w:color="auto"/>
              <w:bottom w:val="single" w:sz="4" w:space="0" w:color="auto"/>
              <w:right w:val="single" w:sz="4" w:space="0" w:color="auto"/>
            </w:tcBorders>
            <w:vAlign w:val="center"/>
            <w:hideMark/>
          </w:tcPr>
          <w:p w14:paraId="13A3D5A1" w14:textId="77777777" w:rsidR="00A43521" w:rsidRPr="004032F4" w:rsidRDefault="00A43521" w:rsidP="00A43521">
            <w:pPr>
              <w:spacing w:after="0" w:line="240" w:lineRule="auto"/>
              <w:ind w:left="-57" w:right="-113"/>
              <w:rPr>
                <w:rFonts w:ascii="Times New Roman" w:eastAsia="Times New Roman" w:hAnsi="Times New Roman" w:cs="Times New Roman"/>
                <w:color w:val="000000"/>
                <w:sz w:val="18"/>
                <w:szCs w:val="18"/>
                <w:lang w:eastAsia="ru-RU"/>
              </w:rPr>
            </w:pPr>
          </w:p>
        </w:tc>
        <w:tc>
          <w:tcPr>
            <w:tcW w:w="937" w:type="dxa"/>
            <w:tcBorders>
              <w:top w:val="nil"/>
              <w:left w:val="nil"/>
              <w:bottom w:val="single" w:sz="4" w:space="0" w:color="auto"/>
              <w:right w:val="single" w:sz="4" w:space="0" w:color="auto"/>
            </w:tcBorders>
            <w:shd w:val="clear" w:color="auto" w:fill="auto"/>
            <w:vAlign w:val="center"/>
            <w:hideMark/>
          </w:tcPr>
          <w:p w14:paraId="0F47490C"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проект бюджета, внесенный в Тульскую областную Думу</w:t>
            </w:r>
          </w:p>
        </w:tc>
        <w:tc>
          <w:tcPr>
            <w:tcW w:w="1117" w:type="dxa"/>
            <w:tcBorders>
              <w:top w:val="nil"/>
              <w:left w:val="nil"/>
              <w:bottom w:val="single" w:sz="4" w:space="0" w:color="auto"/>
              <w:right w:val="single" w:sz="4" w:space="0" w:color="auto"/>
            </w:tcBorders>
            <w:shd w:val="clear" w:color="auto" w:fill="auto"/>
            <w:vAlign w:val="center"/>
            <w:hideMark/>
          </w:tcPr>
          <w:p w14:paraId="3CCA16BE"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утвержденный бюджет в первой редакции</w:t>
            </w:r>
            <w:r w:rsidRPr="004032F4">
              <w:rPr>
                <w:rFonts w:ascii="Times New Roman" w:eastAsia="Times New Roman" w:hAnsi="Times New Roman" w:cs="Times New Roman"/>
                <w:color w:val="000000"/>
                <w:sz w:val="17"/>
                <w:szCs w:val="17"/>
                <w:lang w:eastAsia="ru-RU"/>
              </w:rPr>
              <w:br/>
              <w:t>№138-ЗТО</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14:paraId="2FD75882"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изменение утвержденного бюджета от внесенного проекта бюджета</w:t>
            </w:r>
          </w:p>
        </w:tc>
        <w:tc>
          <w:tcPr>
            <w:tcW w:w="1218" w:type="dxa"/>
            <w:tcBorders>
              <w:top w:val="nil"/>
              <w:left w:val="nil"/>
              <w:bottom w:val="single" w:sz="4" w:space="0" w:color="auto"/>
              <w:right w:val="single" w:sz="4" w:space="0" w:color="auto"/>
            </w:tcBorders>
            <w:shd w:val="clear" w:color="auto" w:fill="auto"/>
            <w:vAlign w:val="center"/>
            <w:hideMark/>
          </w:tcPr>
          <w:p w14:paraId="736B32C3"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проект бюджета, внесенный в Тульскую областную Думу</w:t>
            </w:r>
          </w:p>
        </w:tc>
        <w:tc>
          <w:tcPr>
            <w:tcW w:w="1126" w:type="dxa"/>
            <w:tcBorders>
              <w:top w:val="nil"/>
              <w:left w:val="nil"/>
              <w:bottom w:val="single" w:sz="4" w:space="0" w:color="auto"/>
              <w:right w:val="single" w:sz="4" w:space="0" w:color="auto"/>
            </w:tcBorders>
            <w:shd w:val="clear" w:color="auto" w:fill="auto"/>
            <w:vAlign w:val="center"/>
            <w:hideMark/>
          </w:tcPr>
          <w:p w14:paraId="7287643D"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утвержденный бюджет в первой редакции</w:t>
            </w:r>
            <w:r w:rsidRPr="004032F4">
              <w:rPr>
                <w:rFonts w:ascii="Times New Roman" w:eastAsia="Times New Roman" w:hAnsi="Times New Roman" w:cs="Times New Roman"/>
                <w:color w:val="000000"/>
                <w:sz w:val="17"/>
                <w:szCs w:val="17"/>
                <w:lang w:eastAsia="ru-RU"/>
              </w:rPr>
              <w:br/>
              <w:t>№94-ЗТО</w:t>
            </w:r>
          </w:p>
        </w:tc>
        <w:tc>
          <w:tcPr>
            <w:tcW w:w="1466" w:type="dxa"/>
            <w:gridSpan w:val="2"/>
            <w:tcBorders>
              <w:top w:val="single" w:sz="4" w:space="0" w:color="auto"/>
              <w:left w:val="nil"/>
              <w:bottom w:val="single" w:sz="4" w:space="0" w:color="auto"/>
              <w:right w:val="single" w:sz="4" w:space="0" w:color="auto"/>
            </w:tcBorders>
            <w:shd w:val="clear" w:color="auto" w:fill="auto"/>
            <w:vAlign w:val="center"/>
            <w:hideMark/>
          </w:tcPr>
          <w:p w14:paraId="4F1D6CAC"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изменение утвержденного бюджета от внесенного проекта бюджета</w:t>
            </w:r>
          </w:p>
        </w:tc>
        <w:tc>
          <w:tcPr>
            <w:tcW w:w="1032" w:type="dxa"/>
            <w:tcBorders>
              <w:top w:val="nil"/>
              <w:left w:val="nil"/>
              <w:bottom w:val="single" w:sz="4" w:space="0" w:color="auto"/>
              <w:right w:val="single" w:sz="4" w:space="0" w:color="auto"/>
            </w:tcBorders>
            <w:shd w:val="clear" w:color="auto" w:fill="auto"/>
            <w:vAlign w:val="center"/>
            <w:hideMark/>
          </w:tcPr>
          <w:p w14:paraId="36DEEDB5"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проект бюджета, внесенный в Тульскую областную Думу</w:t>
            </w:r>
          </w:p>
        </w:tc>
      </w:tr>
      <w:tr w:rsidR="00A43521" w:rsidRPr="004032F4" w14:paraId="23490E82" w14:textId="77777777" w:rsidTr="00D24461">
        <w:trPr>
          <w:trHeight w:val="198"/>
          <w:jc w:val="center"/>
        </w:trPr>
        <w:tc>
          <w:tcPr>
            <w:tcW w:w="1318" w:type="dxa"/>
            <w:vMerge/>
            <w:tcBorders>
              <w:top w:val="single" w:sz="4" w:space="0" w:color="auto"/>
              <w:left w:val="single" w:sz="4" w:space="0" w:color="auto"/>
              <w:bottom w:val="single" w:sz="4" w:space="0" w:color="auto"/>
              <w:right w:val="single" w:sz="4" w:space="0" w:color="auto"/>
            </w:tcBorders>
            <w:vAlign w:val="center"/>
            <w:hideMark/>
          </w:tcPr>
          <w:p w14:paraId="6435C7AC" w14:textId="77777777" w:rsidR="00A43521" w:rsidRPr="004032F4" w:rsidRDefault="00A43521" w:rsidP="00A43521">
            <w:pPr>
              <w:spacing w:after="0" w:line="240" w:lineRule="auto"/>
              <w:ind w:left="-57" w:right="-113"/>
              <w:rPr>
                <w:rFonts w:ascii="Times New Roman" w:eastAsia="Times New Roman" w:hAnsi="Times New Roman" w:cs="Times New Roman"/>
                <w:color w:val="000000"/>
                <w:sz w:val="18"/>
                <w:szCs w:val="18"/>
                <w:lang w:eastAsia="ru-RU"/>
              </w:rPr>
            </w:pPr>
          </w:p>
        </w:tc>
        <w:tc>
          <w:tcPr>
            <w:tcW w:w="937" w:type="dxa"/>
            <w:tcBorders>
              <w:top w:val="nil"/>
              <w:left w:val="nil"/>
              <w:bottom w:val="nil"/>
              <w:right w:val="single" w:sz="4" w:space="0" w:color="auto"/>
            </w:tcBorders>
            <w:shd w:val="clear" w:color="auto" w:fill="auto"/>
            <w:noWrap/>
            <w:vAlign w:val="center"/>
            <w:hideMark/>
          </w:tcPr>
          <w:p w14:paraId="7E3A1042"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млн. рублей</w:t>
            </w:r>
          </w:p>
        </w:tc>
        <w:tc>
          <w:tcPr>
            <w:tcW w:w="1117" w:type="dxa"/>
            <w:tcBorders>
              <w:top w:val="nil"/>
              <w:left w:val="nil"/>
              <w:bottom w:val="nil"/>
              <w:right w:val="single" w:sz="4" w:space="0" w:color="auto"/>
            </w:tcBorders>
            <w:shd w:val="clear" w:color="auto" w:fill="auto"/>
            <w:noWrap/>
            <w:vAlign w:val="center"/>
            <w:hideMark/>
          </w:tcPr>
          <w:p w14:paraId="148EC112"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млн. рублей</w:t>
            </w:r>
          </w:p>
        </w:tc>
        <w:tc>
          <w:tcPr>
            <w:tcW w:w="986" w:type="dxa"/>
            <w:tcBorders>
              <w:top w:val="nil"/>
              <w:left w:val="nil"/>
              <w:bottom w:val="nil"/>
              <w:right w:val="single" w:sz="4" w:space="0" w:color="auto"/>
            </w:tcBorders>
            <w:shd w:val="clear" w:color="auto" w:fill="auto"/>
            <w:noWrap/>
            <w:vAlign w:val="center"/>
            <w:hideMark/>
          </w:tcPr>
          <w:p w14:paraId="43918437"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млн. рублей</w:t>
            </w:r>
          </w:p>
        </w:tc>
        <w:tc>
          <w:tcPr>
            <w:tcW w:w="470" w:type="dxa"/>
            <w:tcBorders>
              <w:top w:val="nil"/>
              <w:left w:val="nil"/>
              <w:bottom w:val="nil"/>
              <w:right w:val="single" w:sz="4" w:space="0" w:color="auto"/>
            </w:tcBorders>
            <w:shd w:val="clear" w:color="auto" w:fill="auto"/>
            <w:noWrap/>
            <w:vAlign w:val="center"/>
            <w:hideMark/>
          </w:tcPr>
          <w:p w14:paraId="408A000E"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w:t>
            </w:r>
          </w:p>
        </w:tc>
        <w:tc>
          <w:tcPr>
            <w:tcW w:w="1218" w:type="dxa"/>
            <w:tcBorders>
              <w:top w:val="nil"/>
              <w:left w:val="nil"/>
              <w:bottom w:val="nil"/>
              <w:right w:val="single" w:sz="4" w:space="0" w:color="auto"/>
            </w:tcBorders>
            <w:shd w:val="clear" w:color="auto" w:fill="auto"/>
            <w:noWrap/>
            <w:vAlign w:val="center"/>
            <w:hideMark/>
          </w:tcPr>
          <w:p w14:paraId="0930FD45"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млн. рублей</w:t>
            </w:r>
          </w:p>
        </w:tc>
        <w:tc>
          <w:tcPr>
            <w:tcW w:w="1126" w:type="dxa"/>
            <w:tcBorders>
              <w:top w:val="nil"/>
              <w:left w:val="nil"/>
              <w:bottom w:val="nil"/>
              <w:right w:val="single" w:sz="4" w:space="0" w:color="auto"/>
            </w:tcBorders>
            <w:shd w:val="clear" w:color="auto" w:fill="auto"/>
            <w:noWrap/>
            <w:vAlign w:val="center"/>
            <w:hideMark/>
          </w:tcPr>
          <w:p w14:paraId="3770EDEC"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млн. рублей</w:t>
            </w:r>
          </w:p>
        </w:tc>
        <w:tc>
          <w:tcPr>
            <w:tcW w:w="985" w:type="dxa"/>
            <w:tcBorders>
              <w:top w:val="nil"/>
              <w:left w:val="nil"/>
              <w:bottom w:val="nil"/>
              <w:right w:val="single" w:sz="4" w:space="0" w:color="auto"/>
            </w:tcBorders>
            <w:shd w:val="clear" w:color="auto" w:fill="auto"/>
            <w:noWrap/>
            <w:vAlign w:val="center"/>
            <w:hideMark/>
          </w:tcPr>
          <w:p w14:paraId="026456DF"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млн. рублей</w:t>
            </w:r>
          </w:p>
        </w:tc>
        <w:tc>
          <w:tcPr>
            <w:tcW w:w="481" w:type="dxa"/>
            <w:tcBorders>
              <w:top w:val="nil"/>
              <w:left w:val="nil"/>
              <w:bottom w:val="nil"/>
              <w:right w:val="single" w:sz="4" w:space="0" w:color="auto"/>
            </w:tcBorders>
            <w:shd w:val="clear" w:color="auto" w:fill="auto"/>
            <w:noWrap/>
            <w:vAlign w:val="center"/>
            <w:hideMark/>
          </w:tcPr>
          <w:p w14:paraId="5E655E36"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w:t>
            </w:r>
          </w:p>
        </w:tc>
        <w:tc>
          <w:tcPr>
            <w:tcW w:w="1032" w:type="dxa"/>
            <w:tcBorders>
              <w:top w:val="nil"/>
              <w:left w:val="nil"/>
              <w:bottom w:val="nil"/>
              <w:right w:val="single" w:sz="4" w:space="0" w:color="auto"/>
            </w:tcBorders>
            <w:shd w:val="clear" w:color="auto" w:fill="auto"/>
            <w:vAlign w:val="center"/>
            <w:hideMark/>
          </w:tcPr>
          <w:p w14:paraId="71DC161B" w14:textId="77777777" w:rsidR="00A43521" w:rsidRPr="004032F4" w:rsidRDefault="00A43521" w:rsidP="00A43521">
            <w:pPr>
              <w:spacing w:after="0" w:line="240" w:lineRule="auto"/>
              <w:ind w:left="-57" w:right="-113"/>
              <w:jc w:val="center"/>
              <w:rPr>
                <w:rFonts w:ascii="Times New Roman" w:eastAsia="Times New Roman" w:hAnsi="Times New Roman" w:cs="Times New Roman"/>
                <w:color w:val="000000"/>
                <w:sz w:val="17"/>
                <w:szCs w:val="17"/>
                <w:lang w:eastAsia="ru-RU"/>
              </w:rPr>
            </w:pPr>
            <w:r w:rsidRPr="004032F4">
              <w:rPr>
                <w:rFonts w:ascii="Times New Roman" w:eastAsia="Times New Roman" w:hAnsi="Times New Roman" w:cs="Times New Roman"/>
                <w:color w:val="000000"/>
                <w:sz w:val="17"/>
                <w:szCs w:val="17"/>
                <w:lang w:eastAsia="ru-RU"/>
              </w:rPr>
              <w:t>млн. рублей</w:t>
            </w:r>
          </w:p>
        </w:tc>
      </w:tr>
      <w:tr w:rsidR="00A43521" w:rsidRPr="004032F4" w14:paraId="4FC4F9BB" w14:textId="77777777" w:rsidTr="00D24461">
        <w:trPr>
          <w:trHeight w:val="317"/>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44BE5F14" w14:textId="77777777" w:rsidR="00A43521" w:rsidRPr="004032F4" w:rsidRDefault="00A43521" w:rsidP="00A43521">
            <w:pPr>
              <w:spacing w:after="0" w:line="240" w:lineRule="auto"/>
              <w:ind w:left="-57" w:right="-113"/>
              <w:rPr>
                <w:rFonts w:ascii="Times New Roman" w:eastAsia="Times New Roman" w:hAnsi="Times New Roman" w:cs="Times New Roman"/>
                <w:b/>
                <w:bCs/>
                <w:color w:val="000000"/>
                <w:sz w:val="18"/>
                <w:szCs w:val="18"/>
                <w:lang w:eastAsia="ru-RU"/>
              </w:rPr>
            </w:pPr>
            <w:proofErr w:type="gramStart"/>
            <w:r w:rsidRPr="004032F4">
              <w:rPr>
                <w:rFonts w:ascii="Times New Roman" w:eastAsia="Times New Roman" w:hAnsi="Times New Roman" w:cs="Times New Roman"/>
                <w:b/>
                <w:bCs/>
                <w:color w:val="000000"/>
                <w:sz w:val="18"/>
                <w:szCs w:val="18"/>
                <w:lang w:eastAsia="ru-RU"/>
              </w:rPr>
              <w:t>Доходы,</w:t>
            </w:r>
            <w:r w:rsidRPr="004032F4">
              <w:rPr>
                <w:rFonts w:ascii="Times New Roman" w:eastAsia="Times New Roman" w:hAnsi="Times New Roman" w:cs="Times New Roman"/>
                <w:b/>
                <w:bCs/>
                <w:color w:val="000000"/>
                <w:sz w:val="18"/>
                <w:szCs w:val="18"/>
                <w:lang w:eastAsia="ru-RU"/>
              </w:rPr>
              <w:br/>
            </w:r>
            <w:r w:rsidRPr="004032F4">
              <w:rPr>
                <w:rFonts w:ascii="Times New Roman" w:eastAsia="Times New Roman" w:hAnsi="Times New Roman" w:cs="Times New Roman"/>
                <w:bCs/>
                <w:color w:val="000000"/>
                <w:sz w:val="18"/>
                <w:szCs w:val="18"/>
                <w:lang w:eastAsia="ru-RU"/>
              </w:rPr>
              <w:t>в</w:t>
            </w:r>
            <w:proofErr w:type="gramEnd"/>
            <w:r w:rsidRPr="004032F4">
              <w:rPr>
                <w:rFonts w:ascii="Times New Roman" w:eastAsia="Times New Roman" w:hAnsi="Times New Roman" w:cs="Times New Roman"/>
                <w:bCs/>
                <w:color w:val="000000"/>
                <w:sz w:val="18"/>
                <w:szCs w:val="18"/>
                <w:lang w:eastAsia="ru-RU"/>
              </w:rPr>
              <w:t xml:space="preserve"> том числе:</w:t>
            </w:r>
          </w:p>
        </w:tc>
        <w:tc>
          <w:tcPr>
            <w:tcW w:w="937" w:type="dxa"/>
            <w:tcBorders>
              <w:top w:val="single" w:sz="4" w:space="0" w:color="auto"/>
              <w:left w:val="nil"/>
              <w:bottom w:val="single" w:sz="4" w:space="0" w:color="auto"/>
              <w:right w:val="single" w:sz="4" w:space="0" w:color="auto"/>
            </w:tcBorders>
            <w:shd w:val="clear" w:color="000000" w:fill="FFFFFF"/>
            <w:vAlign w:val="center"/>
            <w:hideMark/>
          </w:tcPr>
          <w:p w14:paraId="5652518A" w14:textId="77777777"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100 363,7</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14:paraId="2F0EFBB7" w14:textId="69DB4A21" w:rsidR="00A43521" w:rsidRPr="004032F4" w:rsidRDefault="00A43521" w:rsidP="004014D4">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104 460,</w:t>
            </w:r>
            <w:r w:rsidR="004014D4" w:rsidRPr="004032F4">
              <w:rPr>
                <w:rFonts w:ascii="Times New Roman" w:eastAsia="Times New Roman" w:hAnsi="Times New Roman" w:cs="Times New Roman"/>
                <w:b/>
                <w:bCs/>
                <w:color w:val="000000"/>
                <w:sz w:val="18"/>
                <w:szCs w:val="18"/>
                <w:lang w:eastAsia="ru-RU"/>
              </w:rPr>
              <w:t>5</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14:paraId="6CDB7A7D" w14:textId="5231DA89" w:rsidR="00A43521" w:rsidRPr="004032F4" w:rsidRDefault="00A43521" w:rsidP="004014D4">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4 096,</w:t>
            </w:r>
            <w:r w:rsidR="004014D4" w:rsidRPr="004032F4">
              <w:rPr>
                <w:rFonts w:ascii="Times New Roman" w:eastAsia="Times New Roman" w:hAnsi="Times New Roman" w:cs="Times New Roman"/>
                <w:b/>
                <w:bCs/>
                <w:color w:val="000000"/>
                <w:sz w:val="18"/>
                <w:szCs w:val="18"/>
                <w:lang w:eastAsia="ru-RU"/>
              </w:rPr>
              <w:t>8</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14:paraId="3AF6F38A" w14:textId="23603075"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4,1</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14:paraId="2EE9BECA" w14:textId="77777777"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109 855,5</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14:paraId="58491410" w14:textId="77777777"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116 177,6</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14:paraId="06938B00" w14:textId="77777777"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6 322,1</w:t>
            </w:r>
          </w:p>
        </w:tc>
        <w:tc>
          <w:tcPr>
            <w:tcW w:w="481" w:type="dxa"/>
            <w:tcBorders>
              <w:top w:val="single" w:sz="4" w:space="0" w:color="auto"/>
              <w:left w:val="nil"/>
              <w:bottom w:val="single" w:sz="4" w:space="0" w:color="auto"/>
              <w:right w:val="single" w:sz="4" w:space="0" w:color="auto"/>
            </w:tcBorders>
            <w:shd w:val="clear" w:color="000000" w:fill="FFFFFF"/>
            <w:noWrap/>
            <w:vAlign w:val="center"/>
            <w:hideMark/>
          </w:tcPr>
          <w:p w14:paraId="654822AA" w14:textId="24071C26"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5,8</w:t>
            </w:r>
          </w:p>
        </w:tc>
        <w:tc>
          <w:tcPr>
            <w:tcW w:w="1032" w:type="dxa"/>
            <w:tcBorders>
              <w:top w:val="single" w:sz="4" w:space="0" w:color="auto"/>
              <w:left w:val="nil"/>
              <w:bottom w:val="single" w:sz="4" w:space="0" w:color="auto"/>
              <w:right w:val="single" w:sz="4" w:space="0" w:color="auto"/>
            </w:tcBorders>
            <w:shd w:val="clear" w:color="000000" w:fill="FFFFFF"/>
            <w:vAlign w:val="center"/>
            <w:hideMark/>
          </w:tcPr>
          <w:p w14:paraId="1B66BF48" w14:textId="77777777"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125 721,0</w:t>
            </w:r>
          </w:p>
        </w:tc>
      </w:tr>
      <w:tr w:rsidR="00A43521" w:rsidRPr="004032F4" w14:paraId="18265A0D" w14:textId="77777777" w:rsidTr="00D24461">
        <w:trPr>
          <w:trHeight w:val="317"/>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52AD6D33" w14:textId="77777777" w:rsidR="00A43521" w:rsidRPr="004032F4" w:rsidRDefault="00A43521" w:rsidP="00A43521">
            <w:pPr>
              <w:spacing w:after="0" w:line="240" w:lineRule="auto"/>
              <w:ind w:left="-57" w:right="-113"/>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налоговые и неналоговые доходы</w:t>
            </w:r>
          </w:p>
        </w:tc>
        <w:tc>
          <w:tcPr>
            <w:tcW w:w="937" w:type="dxa"/>
            <w:tcBorders>
              <w:top w:val="nil"/>
              <w:left w:val="nil"/>
              <w:bottom w:val="single" w:sz="4" w:space="0" w:color="auto"/>
              <w:right w:val="single" w:sz="4" w:space="0" w:color="auto"/>
            </w:tcBorders>
            <w:shd w:val="clear" w:color="000000" w:fill="FFFFFF"/>
            <w:vAlign w:val="center"/>
            <w:hideMark/>
          </w:tcPr>
          <w:p w14:paraId="62431771"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87 572,0</w:t>
            </w:r>
          </w:p>
        </w:tc>
        <w:tc>
          <w:tcPr>
            <w:tcW w:w="1117" w:type="dxa"/>
            <w:tcBorders>
              <w:top w:val="nil"/>
              <w:left w:val="nil"/>
              <w:bottom w:val="single" w:sz="4" w:space="0" w:color="auto"/>
              <w:right w:val="single" w:sz="4" w:space="0" w:color="auto"/>
            </w:tcBorders>
            <w:shd w:val="clear" w:color="000000" w:fill="FFFFFF"/>
            <w:vAlign w:val="center"/>
            <w:hideMark/>
          </w:tcPr>
          <w:p w14:paraId="42E722B1"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87 572,0</w:t>
            </w:r>
          </w:p>
        </w:tc>
        <w:tc>
          <w:tcPr>
            <w:tcW w:w="986" w:type="dxa"/>
            <w:tcBorders>
              <w:top w:val="nil"/>
              <w:left w:val="nil"/>
              <w:bottom w:val="single" w:sz="4" w:space="0" w:color="auto"/>
              <w:right w:val="single" w:sz="4" w:space="0" w:color="auto"/>
            </w:tcBorders>
            <w:shd w:val="clear" w:color="000000" w:fill="FFFFFF"/>
            <w:noWrap/>
            <w:vAlign w:val="center"/>
            <w:hideMark/>
          </w:tcPr>
          <w:p w14:paraId="382AB592"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0,0</w:t>
            </w:r>
          </w:p>
        </w:tc>
        <w:tc>
          <w:tcPr>
            <w:tcW w:w="470" w:type="dxa"/>
            <w:tcBorders>
              <w:top w:val="nil"/>
              <w:left w:val="nil"/>
              <w:bottom w:val="single" w:sz="4" w:space="0" w:color="auto"/>
              <w:right w:val="single" w:sz="4" w:space="0" w:color="auto"/>
            </w:tcBorders>
            <w:shd w:val="clear" w:color="000000" w:fill="FFFFFF"/>
            <w:noWrap/>
            <w:vAlign w:val="center"/>
            <w:hideMark/>
          </w:tcPr>
          <w:p w14:paraId="598470A3"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х</w:t>
            </w:r>
          </w:p>
        </w:tc>
        <w:tc>
          <w:tcPr>
            <w:tcW w:w="1218" w:type="dxa"/>
            <w:tcBorders>
              <w:top w:val="nil"/>
              <w:left w:val="nil"/>
              <w:bottom w:val="single" w:sz="4" w:space="0" w:color="auto"/>
              <w:right w:val="single" w:sz="4" w:space="0" w:color="auto"/>
            </w:tcBorders>
            <w:shd w:val="clear" w:color="000000" w:fill="FFFFFF"/>
            <w:vAlign w:val="center"/>
            <w:hideMark/>
          </w:tcPr>
          <w:p w14:paraId="48E20BCF"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101 002,5</w:t>
            </w:r>
          </w:p>
        </w:tc>
        <w:tc>
          <w:tcPr>
            <w:tcW w:w="1126" w:type="dxa"/>
            <w:tcBorders>
              <w:top w:val="nil"/>
              <w:left w:val="nil"/>
              <w:bottom w:val="single" w:sz="4" w:space="0" w:color="auto"/>
              <w:right w:val="single" w:sz="4" w:space="0" w:color="auto"/>
            </w:tcBorders>
            <w:shd w:val="clear" w:color="000000" w:fill="FFFFFF"/>
            <w:vAlign w:val="center"/>
            <w:hideMark/>
          </w:tcPr>
          <w:p w14:paraId="22EBE1F0"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101 002,5</w:t>
            </w:r>
          </w:p>
        </w:tc>
        <w:tc>
          <w:tcPr>
            <w:tcW w:w="985" w:type="dxa"/>
            <w:tcBorders>
              <w:top w:val="nil"/>
              <w:left w:val="nil"/>
              <w:bottom w:val="single" w:sz="4" w:space="0" w:color="auto"/>
              <w:right w:val="single" w:sz="4" w:space="0" w:color="auto"/>
            </w:tcBorders>
            <w:shd w:val="clear" w:color="000000" w:fill="FFFFFF"/>
            <w:noWrap/>
            <w:vAlign w:val="center"/>
            <w:hideMark/>
          </w:tcPr>
          <w:p w14:paraId="4E477094"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0,0</w:t>
            </w:r>
          </w:p>
        </w:tc>
        <w:tc>
          <w:tcPr>
            <w:tcW w:w="481" w:type="dxa"/>
            <w:tcBorders>
              <w:top w:val="nil"/>
              <w:left w:val="nil"/>
              <w:bottom w:val="single" w:sz="4" w:space="0" w:color="auto"/>
              <w:right w:val="single" w:sz="4" w:space="0" w:color="auto"/>
            </w:tcBorders>
            <w:shd w:val="clear" w:color="000000" w:fill="FFFFFF"/>
            <w:noWrap/>
            <w:vAlign w:val="center"/>
            <w:hideMark/>
          </w:tcPr>
          <w:p w14:paraId="25B6C70B"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х</w:t>
            </w:r>
          </w:p>
        </w:tc>
        <w:tc>
          <w:tcPr>
            <w:tcW w:w="1032" w:type="dxa"/>
            <w:tcBorders>
              <w:top w:val="nil"/>
              <w:left w:val="nil"/>
              <w:bottom w:val="single" w:sz="4" w:space="0" w:color="auto"/>
              <w:right w:val="single" w:sz="4" w:space="0" w:color="auto"/>
            </w:tcBorders>
            <w:shd w:val="clear" w:color="000000" w:fill="FFFFFF"/>
            <w:vAlign w:val="center"/>
            <w:hideMark/>
          </w:tcPr>
          <w:p w14:paraId="6FFEAC56"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121 749,8</w:t>
            </w:r>
          </w:p>
        </w:tc>
      </w:tr>
      <w:tr w:rsidR="00A43521" w:rsidRPr="004032F4" w14:paraId="424E4EDC" w14:textId="77777777" w:rsidTr="00D24461">
        <w:trPr>
          <w:trHeight w:val="476"/>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1259737A" w14:textId="77777777" w:rsidR="00A43521" w:rsidRPr="004032F4" w:rsidRDefault="00A43521" w:rsidP="00A43521">
            <w:pPr>
              <w:spacing w:after="0" w:line="240" w:lineRule="auto"/>
              <w:ind w:left="-57" w:right="-113"/>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 xml:space="preserve">безвозмездные </w:t>
            </w:r>
            <w:proofErr w:type="gramStart"/>
            <w:r w:rsidRPr="004032F4">
              <w:rPr>
                <w:rFonts w:ascii="Times New Roman" w:eastAsia="Times New Roman" w:hAnsi="Times New Roman" w:cs="Times New Roman"/>
                <w:color w:val="000000"/>
                <w:sz w:val="18"/>
                <w:szCs w:val="18"/>
                <w:lang w:eastAsia="ru-RU"/>
              </w:rPr>
              <w:t>поступления,</w:t>
            </w:r>
            <w:r w:rsidRPr="004032F4">
              <w:rPr>
                <w:rFonts w:ascii="Times New Roman" w:eastAsia="Times New Roman" w:hAnsi="Times New Roman" w:cs="Times New Roman"/>
                <w:color w:val="000000"/>
                <w:sz w:val="18"/>
                <w:szCs w:val="18"/>
                <w:lang w:eastAsia="ru-RU"/>
              </w:rPr>
              <w:br/>
              <w:t>из</w:t>
            </w:r>
            <w:proofErr w:type="gramEnd"/>
            <w:r w:rsidRPr="004032F4">
              <w:rPr>
                <w:rFonts w:ascii="Times New Roman" w:eastAsia="Times New Roman" w:hAnsi="Times New Roman" w:cs="Times New Roman"/>
                <w:color w:val="000000"/>
                <w:sz w:val="18"/>
                <w:szCs w:val="18"/>
                <w:lang w:eastAsia="ru-RU"/>
              </w:rPr>
              <w:t xml:space="preserve"> них </w:t>
            </w:r>
          </w:p>
        </w:tc>
        <w:tc>
          <w:tcPr>
            <w:tcW w:w="937" w:type="dxa"/>
            <w:tcBorders>
              <w:top w:val="nil"/>
              <w:left w:val="nil"/>
              <w:bottom w:val="single" w:sz="4" w:space="0" w:color="auto"/>
              <w:right w:val="single" w:sz="4" w:space="0" w:color="auto"/>
            </w:tcBorders>
            <w:shd w:val="clear" w:color="000000" w:fill="FFFFFF"/>
            <w:vAlign w:val="center"/>
            <w:hideMark/>
          </w:tcPr>
          <w:p w14:paraId="0CAFBF21"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12 791,7</w:t>
            </w:r>
          </w:p>
        </w:tc>
        <w:tc>
          <w:tcPr>
            <w:tcW w:w="1117" w:type="dxa"/>
            <w:tcBorders>
              <w:top w:val="nil"/>
              <w:left w:val="nil"/>
              <w:bottom w:val="single" w:sz="4" w:space="0" w:color="auto"/>
              <w:right w:val="single" w:sz="4" w:space="0" w:color="auto"/>
            </w:tcBorders>
            <w:shd w:val="clear" w:color="000000" w:fill="FFFFFF"/>
            <w:noWrap/>
            <w:vAlign w:val="center"/>
            <w:hideMark/>
          </w:tcPr>
          <w:p w14:paraId="4D44041E" w14:textId="66D20413" w:rsidR="00A43521" w:rsidRPr="004032F4" w:rsidRDefault="00A43521" w:rsidP="004014D4">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16 888,</w:t>
            </w:r>
            <w:r w:rsidR="004014D4" w:rsidRPr="004032F4">
              <w:rPr>
                <w:rFonts w:ascii="Times New Roman" w:eastAsia="Times New Roman" w:hAnsi="Times New Roman" w:cs="Times New Roman"/>
                <w:color w:val="000000"/>
                <w:sz w:val="18"/>
                <w:szCs w:val="18"/>
                <w:lang w:eastAsia="ru-RU"/>
              </w:rPr>
              <w:t>5</w:t>
            </w:r>
          </w:p>
        </w:tc>
        <w:tc>
          <w:tcPr>
            <w:tcW w:w="986" w:type="dxa"/>
            <w:tcBorders>
              <w:top w:val="nil"/>
              <w:left w:val="nil"/>
              <w:bottom w:val="single" w:sz="4" w:space="0" w:color="auto"/>
              <w:right w:val="single" w:sz="4" w:space="0" w:color="auto"/>
            </w:tcBorders>
            <w:shd w:val="clear" w:color="000000" w:fill="FFFFFF"/>
            <w:noWrap/>
            <w:vAlign w:val="center"/>
            <w:hideMark/>
          </w:tcPr>
          <w:p w14:paraId="455ED667" w14:textId="0D54FCD2" w:rsidR="00A43521" w:rsidRPr="004032F4" w:rsidRDefault="00A43521" w:rsidP="004014D4">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4 096,</w:t>
            </w:r>
            <w:r w:rsidR="004014D4" w:rsidRPr="004032F4">
              <w:rPr>
                <w:rFonts w:ascii="Times New Roman" w:eastAsia="Times New Roman" w:hAnsi="Times New Roman" w:cs="Times New Roman"/>
                <w:color w:val="000000"/>
                <w:sz w:val="18"/>
                <w:szCs w:val="18"/>
                <w:lang w:eastAsia="ru-RU"/>
              </w:rPr>
              <w:t>8</w:t>
            </w:r>
          </w:p>
        </w:tc>
        <w:tc>
          <w:tcPr>
            <w:tcW w:w="470" w:type="dxa"/>
            <w:tcBorders>
              <w:top w:val="nil"/>
              <w:left w:val="nil"/>
              <w:bottom w:val="single" w:sz="4" w:space="0" w:color="auto"/>
              <w:right w:val="single" w:sz="4" w:space="0" w:color="auto"/>
            </w:tcBorders>
            <w:shd w:val="clear" w:color="000000" w:fill="FFFFFF"/>
            <w:noWrap/>
            <w:vAlign w:val="center"/>
            <w:hideMark/>
          </w:tcPr>
          <w:p w14:paraId="62540FA6" w14:textId="3C2FC84E"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32,0</w:t>
            </w:r>
          </w:p>
        </w:tc>
        <w:tc>
          <w:tcPr>
            <w:tcW w:w="1218" w:type="dxa"/>
            <w:tcBorders>
              <w:top w:val="nil"/>
              <w:left w:val="nil"/>
              <w:bottom w:val="single" w:sz="4" w:space="0" w:color="auto"/>
              <w:right w:val="single" w:sz="4" w:space="0" w:color="auto"/>
            </w:tcBorders>
            <w:shd w:val="clear" w:color="000000" w:fill="FFFFFF"/>
            <w:vAlign w:val="center"/>
            <w:hideMark/>
          </w:tcPr>
          <w:p w14:paraId="4DE9322A"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8 853,0</w:t>
            </w:r>
          </w:p>
        </w:tc>
        <w:tc>
          <w:tcPr>
            <w:tcW w:w="1126" w:type="dxa"/>
            <w:tcBorders>
              <w:top w:val="nil"/>
              <w:left w:val="nil"/>
              <w:bottom w:val="single" w:sz="4" w:space="0" w:color="auto"/>
              <w:right w:val="single" w:sz="4" w:space="0" w:color="auto"/>
            </w:tcBorders>
            <w:shd w:val="clear" w:color="000000" w:fill="FFFFFF"/>
            <w:vAlign w:val="center"/>
            <w:hideMark/>
          </w:tcPr>
          <w:p w14:paraId="06364D74"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15 175,1</w:t>
            </w:r>
          </w:p>
        </w:tc>
        <w:tc>
          <w:tcPr>
            <w:tcW w:w="985" w:type="dxa"/>
            <w:tcBorders>
              <w:top w:val="nil"/>
              <w:left w:val="nil"/>
              <w:bottom w:val="single" w:sz="4" w:space="0" w:color="auto"/>
              <w:right w:val="single" w:sz="4" w:space="0" w:color="auto"/>
            </w:tcBorders>
            <w:shd w:val="clear" w:color="000000" w:fill="FFFFFF"/>
            <w:noWrap/>
            <w:vAlign w:val="center"/>
            <w:hideMark/>
          </w:tcPr>
          <w:p w14:paraId="6C460699" w14:textId="5D1B6773"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6 322,1</w:t>
            </w:r>
          </w:p>
        </w:tc>
        <w:tc>
          <w:tcPr>
            <w:tcW w:w="481" w:type="dxa"/>
            <w:tcBorders>
              <w:top w:val="nil"/>
              <w:left w:val="nil"/>
              <w:bottom w:val="single" w:sz="4" w:space="0" w:color="auto"/>
              <w:right w:val="single" w:sz="4" w:space="0" w:color="auto"/>
            </w:tcBorders>
            <w:shd w:val="clear" w:color="000000" w:fill="FFFFFF"/>
            <w:noWrap/>
            <w:vAlign w:val="center"/>
            <w:hideMark/>
          </w:tcPr>
          <w:p w14:paraId="557802E8" w14:textId="20E1DE05"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71,4</w:t>
            </w:r>
          </w:p>
        </w:tc>
        <w:tc>
          <w:tcPr>
            <w:tcW w:w="1032" w:type="dxa"/>
            <w:tcBorders>
              <w:top w:val="nil"/>
              <w:left w:val="nil"/>
              <w:bottom w:val="single" w:sz="4" w:space="0" w:color="auto"/>
              <w:right w:val="single" w:sz="4" w:space="0" w:color="auto"/>
            </w:tcBorders>
            <w:shd w:val="clear" w:color="000000" w:fill="FFFFFF"/>
            <w:vAlign w:val="center"/>
            <w:hideMark/>
          </w:tcPr>
          <w:p w14:paraId="78146AB3"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3 971,2</w:t>
            </w:r>
          </w:p>
        </w:tc>
      </w:tr>
      <w:tr w:rsidR="00A43521" w:rsidRPr="004032F4" w14:paraId="3DAB27CB" w14:textId="77777777" w:rsidTr="00D24461">
        <w:trPr>
          <w:trHeight w:val="634"/>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5134353F" w14:textId="77777777" w:rsidR="00A43521" w:rsidRPr="004032F4" w:rsidRDefault="00A43521" w:rsidP="00A43521">
            <w:pPr>
              <w:spacing w:after="0" w:line="240" w:lineRule="auto"/>
              <w:ind w:left="-57" w:right="-113"/>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 xml:space="preserve">безвозмездные поступления из </w:t>
            </w:r>
            <w:r w:rsidRPr="004032F4">
              <w:rPr>
                <w:rFonts w:ascii="Times New Roman" w:eastAsia="Times New Roman" w:hAnsi="Times New Roman" w:cs="Times New Roman"/>
                <w:b/>
                <w:bCs/>
                <w:i/>
                <w:iCs/>
                <w:color w:val="000000"/>
                <w:sz w:val="18"/>
                <w:szCs w:val="18"/>
                <w:lang w:eastAsia="ru-RU"/>
              </w:rPr>
              <w:t>федерального бюджета</w:t>
            </w:r>
          </w:p>
        </w:tc>
        <w:tc>
          <w:tcPr>
            <w:tcW w:w="937" w:type="dxa"/>
            <w:tcBorders>
              <w:top w:val="nil"/>
              <w:left w:val="nil"/>
              <w:bottom w:val="single" w:sz="4" w:space="0" w:color="auto"/>
              <w:right w:val="single" w:sz="4" w:space="0" w:color="auto"/>
            </w:tcBorders>
            <w:shd w:val="clear" w:color="000000" w:fill="FFFFFF"/>
            <w:vAlign w:val="center"/>
            <w:hideMark/>
          </w:tcPr>
          <w:p w14:paraId="5AEB9E3B"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12 621,7</w:t>
            </w:r>
          </w:p>
        </w:tc>
        <w:tc>
          <w:tcPr>
            <w:tcW w:w="1117" w:type="dxa"/>
            <w:tcBorders>
              <w:top w:val="nil"/>
              <w:left w:val="nil"/>
              <w:bottom w:val="single" w:sz="4" w:space="0" w:color="auto"/>
              <w:right w:val="single" w:sz="4" w:space="0" w:color="auto"/>
            </w:tcBorders>
            <w:shd w:val="clear" w:color="000000" w:fill="FFFFFF"/>
            <w:noWrap/>
            <w:vAlign w:val="center"/>
            <w:hideMark/>
          </w:tcPr>
          <w:p w14:paraId="1C22304D"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16 718,5</w:t>
            </w:r>
          </w:p>
        </w:tc>
        <w:tc>
          <w:tcPr>
            <w:tcW w:w="986" w:type="dxa"/>
            <w:tcBorders>
              <w:top w:val="nil"/>
              <w:left w:val="nil"/>
              <w:bottom w:val="single" w:sz="4" w:space="0" w:color="auto"/>
              <w:right w:val="single" w:sz="4" w:space="0" w:color="auto"/>
            </w:tcBorders>
            <w:shd w:val="clear" w:color="auto" w:fill="E7E6E6" w:themeFill="background2"/>
            <w:noWrap/>
            <w:vAlign w:val="center"/>
            <w:hideMark/>
          </w:tcPr>
          <w:p w14:paraId="66A3BEE8"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4 096,9</w:t>
            </w:r>
          </w:p>
        </w:tc>
        <w:tc>
          <w:tcPr>
            <w:tcW w:w="470" w:type="dxa"/>
            <w:tcBorders>
              <w:top w:val="nil"/>
              <w:left w:val="nil"/>
              <w:bottom w:val="single" w:sz="4" w:space="0" w:color="auto"/>
              <w:right w:val="single" w:sz="4" w:space="0" w:color="auto"/>
            </w:tcBorders>
            <w:shd w:val="clear" w:color="auto" w:fill="E7E6E6" w:themeFill="background2"/>
            <w:noWrap/>
            <w:vAlign w:val="center"/>
            <w:hideMark/>
          </w:tcPr>
          <w:p w14:paraId="32DFA851" w14:textId="10241CF9"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32,5</w:t>
            </w:r>
          </w:p>
        </w:tc>
        <w:tc>
          <w:tcPr>
            <w:tcW w:w="1218" w:type="dxa"/>
            <w:tcBorders>
              <w:top w:val="nil"/>
              <w:left w:val="nil"/>
              <w:bottom w:val="single" w:sz="4" w:space="0" w:color="auto"/>
              <w:right w:val="single" w:sz="4" w:space="0" w:color="auto"/>
            </w:tcBorders>
            <w:shd w:val="clear" w:color="000000" w:fill="FFFFFF"/>
            <w:vAlign w:val="center"/>
            <w:hideMark/>
          </w:tcPr>
          <w:p w14:paraId="494903B1" w14:textId="43D07B31" w:rsidR="00A43521" w:rsidRPr="004032F4" w:rsidRDefault="00A43521" w:rsidP="004014D4">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8 609,</w:t>
            </w:r>
            <w:r w:rsidR="004014D4" w:rsidRPr="004032F4">
              <w:rPr>
                <w:rFonts w:ascii="Times New Roman" w:eastAsia="Times New Roman" w:hAnsi="Times New Roman" w:cs="Times New Roman"/>
                <w:color w:val="000000"/>
                <w:sz w:val="18"/>
                <w:szCs w:val="18"/>
                <w:lang w:eastAsia="ru-RU"/>
              </w:rPr>
              <w:t>0</w:t>
            </w:r>
          </w:p>
        </w:tc>
        <w:tc>
          <w:tcPr>
            <w:tcW w:w="1126" w:type="dxa"/>
            <w:tcBorders>
              <w:top w:val="nil"/>
              <w:left w:val="nil"/>
              <w:bottom w:val="single" w:sz="4" w:space="0" w:color="auto"/>
              <w:right w:val="single" w:sz="4" w:space="0" w:color="auto"/>
            </w:tcBorders>
            <w:shd w:val="clear" w:color="000000" w:fill="FFFFFF"/>
            <w:vAlign w:val="center"/>
            <w:hideMark/>
          </w:tcPr>
          <w:p w14:paraId="111F7618"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14 931,1</w:t>
            </w:r>
          </w:p>
        </w:tc>
        <w:tc>
          <w:tcPr>
            <w:tcW w:w="985" w:type="dxa"/>
            <w:tcBorders>
              <w:top w:val="nil"/>
              <w:left w:val="nil"/>
              <w:bottom w:val="single" w:sz="4" w:space="0" w:color="auto"/>
              <w:right w:val="single" w:sz="4" w:space="0" w:color="auto"/>
            </w:tcBorders>
            <w:shd w:val="clear" w:color="auto" w:fill="E7E6E6" w:themeFill="background2"/>
            <w:noWrap/>
            <w:vAlign w:val="center"/>
            <w:hideMark/>
          </w:tcPr>
          <w:p w14:paraId="7F02338F" w14:textId="60015C95" w:rsidR="00A43521" w:rsidRPr="004032F4" w:rsidRDefault="00A43521" w:rsidP="004014D4">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6 322,</w:t>
            </w:r>
            <w:r w:rsidR="004014D4" w:rsidRPr="004032F4">
              <w:rPr>
                <w:rFonts w:ascii="Times New Roman" w:eastAsia="Times New Roman" w:hAnsi="Times New Roman" w:cs="Times New Roman"/>
                <w:color w:val="000000"/>
                <w:sz w:val="18"/>
                <w:szCs w:val="18"/>
                <w:lang w:eastAsia="ru-RU"/>
              </w:rPr>
              <w:t>1</w:t>
            </w:r>
          </w:p>
        </w:tc>
        <w:tc>
          <w:tcPr>
            <w:tcW w:w="481" w:type="dxa"/>
            <w:tcBorders>
              <w:top w:val="nil"/>
              <w:left w:val="nil"/>
              <w:bottom w:val="single" w:sz="4" w:space="0" w:color="auto"/>
              <w:right w:val="single" w:sz="4" w:space="0" w:color="auto"/>
            </w:tcBorders>
            <w:shd w:val="clear" w:color="auto" w:fill="E7E6E6" w:themeFill="background2"/>
            <w:noWrap/>
            <w:vAlign w:val="center"/>
            <w:hideMark/>
          </w:tcPr>
          <w:p w14:paraId="1280E1AC" w14:textId="140F2E80"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73,4</w:t>
            </w:r>
          </w:p>
        </w:tc>
        <w:tc>
          <w:tcPr>
            <w:tcW w:w="1032" w:type="dxa"/>
            <w:tcBorders>
              <w:top w:val="nil"/>
              <w:left w:val="nil"/>
              <w:bottom w:val="single" w:sz="4" w:space="0" w:color="auto"/>
              <w:right w:val="single" w:sz="4" w:space="0" w:color="auto"/>
            </w:tcBorders>
            <w:shd w:val="clear" w:color="000000" w:fill="FFFFFF"/>
            <w:noWrap/>
            <w:vAlign w:val="center"/>
            <w:hideMark/>
          </w:tcPr>
          <w:p w14:paraId="755E4C89" w14:textId="77777777" w:rsidR="00A43521" w:rsidRPr="004032F4" w:rsidRDefault="00A43521" w:rsidP="00A43521">
            <w:pPr>
              <w:spacing w:after="0" w:line="240" w:lineRule="auto"/>
              <w:ind w:left="-57" w:right="-57"/>
              <w:jc w:val="right"/>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3 760,4</w:t>
            </w:r>
          </w:p>
        </w:tc>
      </w:tr>
      <w:tr w:rsidR="00A43521" w:rsidRPr="004032F4" w14:paraId="70C0BA9B" w14:textId="77777777" w:rsidTr="00D24461">
        <w:trPr>
          <w:trHeight w:val="198"/>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6A2272AE" w14:textId="77777777" w:rsidR="00A43521" w:rsidRPr="004032F4" w:rsidRDefault="00A43521" w:rsidP="00A43521">
            <w:pPr>
              <w:spacing w:after="0" w:line="240" w:lineRule="auto"/>
              <w:ind w:left="-57" w:right="-113"/>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Расходы</w:t>
            </w:r>
          </w:p>
        </w:tc>
        <w:tc>
          <w:tcPr>
            <w:tcW w:w="937" w:type="dxa"/>
            <w:tcBorders>
              <w:top w:val="nil"/>
              <w:left w:val="nil"/>
              <w:bottom w:val="single" w:sz="4" w:space="0" w:color="auto"/>
              <w:right w:val="single" w:sz="4" w:space="0" w:color="auto"/>
            </w:tcBorders>
            <w:shd w:val="clear" w:color="000000" w:fill="FFFFFF"/>
            <w:vAlign w:val="center"/>
            <w:hideMark/>
          </w:tcPr>
          <w:p w14:paraId="4696788B" w14:textId="77777777"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107 844,2</w:t>
            </w:r>
          </w:p>
        </w:tc>
        <w:tc>
          <w:tcPr>
            <w:tcW w:w="1117" w:type="dxa"/>
            <w:tcBorders>
              <w:top w:val="nil"/>
              <w:left w:val="nil"/>
              <w:bottom w:val="single" w:sz="4" w:space="0" w:color="auto"/>
              <w:right w:val="single" w:sz="4" w:space="0" w:color="auto"/>
            </w:tcBorders>
            <w:shd w:val="clear" w:color="000000" w:fill="FFFFFF"/>
            <w:noWrap/>
            <w:vAlign w:val="center"/>
            <w:hideMark/>
          </w:tcPr>
          <w:p w14:paraId="159B4597" w14:textId="77777777"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113 205,4</w:t>
            </w:r>
          </w:p>
        </w:tc>
        <w:tc>
          <w:tcPr>
            <w:tcW w:w="986" w:type="dxa"/>
            <w:tcBorders>
              <w:top w:val="nil"/>
              <w:left w:val="nil"/>
              <w:bottom w:val="single" w:sz="4" w:space="0" w:color="auto"/>
              <w:right w:val="single" w:sz="4" w:space="0" w:color="auto"/>
            </w:tcBorders>
            <w:shd w:val="clear" w:color="000000" w:fill="FFFFFF"/>
            <w:noWrap/>
            <w:vAlign w:val="center"/>
            <w:hideMark/>
          </w:tcPr>
          <w:p w14:paraId="00C96436" w14:textId="77777777"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5 361,2</w:t>
            </w:r>
          </w:p>
        </w:tc>
        <w:tc>
          <w:tcPr>
            <w:tcW w:w="470" w:type="dxa"/>
            <w:tcBorders>
              <w:top w:val="nil"/>
              <w:left w:val="nil"/>
              <w:bottom w:val="single" w:sz="4" w:space="0" w:color="auto"/>
              <w:right w:val="single" w:sz="4" w:space="0" w:color="auto"/>
            </w:tcBorders>
            <w:shd w:val="clear" w:color="000000" w:fill="FFFFFF"/>
            <w:noWrap/>
            <w:vAlign w:val="center"/>
            <w:hideMark/>
          </w:tcPr>
          <w:p w14:paraId="4916217E" w14:textId="54783E9E"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5,0</w:t>
            </w:r>
          </w:p>
        </w:tc>
        <w:tc>
          <w:tcPr>
            <w:tcW w:w="1218" w:type="dxa"/>
            <w:tcBorders>
              <w:top w:val="nil"/>
              <w:left w:val="nil"/>
              <w:bottom w:val="single" w:sz="4" w:space="0" w:color="auto"/>
              <w:right w:val="single" w:sz="4" w:space="0" w:color="auto"/>
            </w:tcBorders>
            <w:shd w:val="clear" w:color="000000" w:fill="FFFFFF"/>
            <w:vAlign w:val="center"/>
            <w:hideMark/>
          </w:tcPr>
          <w:p w14:paraId="710FA940" w14:textId="77777777"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114 050,5</w:t>
            </w:r>
          </w:p>
        </w:tc>
        <w:tc>
          <w:tcPr>
            <w:tcW w:w="1126" w:type="dxa"/>
            <w:tcBorders>
              <w:top w:val="nil"/>
              <w:left w:val="nil"/>
              <w:bottom w:val="single" w:sz="4" w:space="0" w:color="auto"/>
              <w:right w:val="single" w:sz="4" w:space="0" w:color="auto"/>
            </w:tcBorders>
            <w:shd w:val="clear" w:color="000000" w:fill="FFFFFF"/>
            <w:vAlign w:val="center"/>
            <w:hideMark/>
          </w:tcPr>
          <w:p w14:paraId="00DCF6B0" w14:textId="77777777"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122 616,0</w:t>
            </w:r>
          </w:p>
        </w:tc>
        <w:tc>
          <w:tcPr>
            <w:tcW w:w="985" w:type="dxa"/>
            <w:tcBorders>
              <w:top w:val="nil"/>
              <w:left w:val="nil"/>
              <w:bottom w:val="single" w:sz="4" w:space="0" w:color="auto"/>
              <w:right w:val="single" w:sz="4" w:space="0" w:color="auto"/>
            </w:tcBorders>
            <w:shd w:val="clear" w:color="000000" w:fill="FFFFFF"/>
            <w:noWrap/>
            <w:vAlign w:val="center"/>
            <w:hideMark/>
          </w:tcPr>
          <w:p w14:paraId="37F069EC" w14:textId="77777777"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5 361,2</w:t>
            </w:r>
          </w:p>
        </w:tc>
        <w:tc>
          <w:tcPr>
            <w:tcW w:w="481" w:type="dxa"/>
            <w:tcBorders>
              <w:top w:val="nil"/>
              <w:left w:val="nil"/>
              <w:bottom w:val="single" w:sz="4" w:space="0" w:color="auto"/>
              <w:right w:val="single" w:sz="4" w:space="0" w:color="auto"/>
            </w:tcBorders>
            <w:shd w:val="clear" w:color="000000" w:fill="FFFFFF"/>
            <w:noWrap/>
            <w:vAlign w:val="center"/>
            <w:hideMark/>
          </w:tcPr>
          <w:p w14:paraId="1D1C4E1E" w14:textId="62417E24"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4,7</w:t>
            </w:r>
          </w:p>
        </w:tc>
        <w:tc>
          <w:tcPr>
            <w:tcW w:w="1032" w:type="dxa"/>
            <w:tcBorders>
              <w:top w:val="nil"/>
              <w:left w:val="nil"/>
              <w:bottom w:val="single" w:sz="4" w:space="0" w:color="auto"/>
              <w:right w:val="single" w:sz="4" w:space="0" w:color="auto"/>
            </w:tcBorders>
            <w:shd w:val="clear" w:color="000000" w:fill="FFFFFF"/>
            <w:vAlign w:val="center"/>
            <w:hideMark/>
          </w:tcPr>
          <w:p w14:paraId="61ED897F" w14:textId="77777777" w:rsidR="00A43521" w:rsidRPr="004032F4" w:rsidRDefault="00A43521" w:rsidP="00A43521">
            <w:pPr>
              <w:spacing w:after="0" w:line="240" w:lineRule="auto"/>
              <w:ind w:left="-57" w:right="-57"/>
              <w:jc w:val="right"/>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114 050,5</w:t>
            </w:r>
          </w:p>
        </w:tc>
      </w:tr>
    </w:tbl>
    <w:p w14:paraId="4D20DDA4" w14:textId="1A73AD2F" w:rsidR="00A84ECB" w:rsidRPr="004032F4" w:rsidRDefault="00A84ECB" w:rsidP="00513089">
      <w:pPr>
        <w:tabs>
          <w:tab w:val="left" w:pos="993"/>
          <w:tab w:val="left" w:pos="1134"/>
          <w:tab w:val="left" w:pos="1276"/>
        </w:tabs>
        <w:spacing w:before="120" w:after="0" w:line="240" w:lineRule="auto"/>
        <w:ind w:firstLine="709"/>
        <w:jc w:val="both"/>
        <w:rPr>
          <w:rFonts w:ascii="Times New Roman" w:eastAsia="Calibri" w:hAnsi="Times New Roman" w:cs="Times New Roman"/>
          <w:kern w:val="28"/>
          <w:sz w:val="28"/>
          <w:szCs w:val="28"/>
        </w:rPr>
      </w:pPr>
      <w:r w:rsidRPr="004032F4">
        <w:rPr>
          <w:rFonts w:ascii="Times New Roman" w:eastAsia="Calibri" w:hAnsi="Times New Roman" w:cs="Times New Roman"/>
          <w:kern w:val="28"/>
          <w:sz w:val="28"/>
          <w:szCs w:val="28"/>
        </w:rPr>
        <w:t>Представленный анализ позволяет предположить, что ко второму чтению объем доходов, а</w:t>
      </w:r>
      <w:r w:rsidR="008760B4" w:rsidRPr="004032F4">
        <w:rPr>
          <w:rFonts w:ascii="Times New Roman" w:eastAsia="Calibri" w:hAnsi="Times New Roman" w:cs="Times New Roman"/>
          <w:kern w:val="28"/>
          <w:sz w:val="28"/>
          <w:szCs w:val="28"/>
        </w:rPr>
        <w:t>,</w:t>
      </w:r>
      <w:r w:rsidRPr="004032F4">
        <w:rPr>
          <w:rFonts w:ascii="Times New Roman" w:eastAsia="Calibri" w:hAnsi="Times New Roman" w:cs="Times New Roman"/>
          <w:kern w:val="28"/>
          <w:sz w:val="28"/>
          <w:szCs w:val="28"/>
        </w:rPr>
        <w:t xml:space="preserve"> следовательно</w:t>
      </w:r>
      <w:r w:rsidR="00406122" w:rsidRPr="004032F4">
        <w:rPr>
          <w:rFonts w:ascii="Times New Roman" w:eastAsia="Calibri" w:hAnsi="Times New Roman" w:cs="Times New Roman"/>
          <w:kern w:val="28"/>
          <w:sz w:val="28"/>
          <w:szCs w:val="28"/>
        </w:rPr>
        <w:t>,</w:t>
      </w:r>
      <w:r w:rsidRPr="004032F4">
        <w:rPr>
          <w:rFonts w:ascii="Times New Roman" w:eastAsia="Calibri" w:hAnsi="Times New Roman" w:cs="Times New Roman"/>
          <w:kern w:val="28"/>
          <w:sz w:val="28"/>
          <w:szCs w:val="28"/>
        </w:rPr>
        <w:t xml:space="preserve"> и </w:t>
      </w:r>
      <w:r w:rsidR="008760B4" w:rsidRPr="004032F4">
        <w:rPr>
          <w:rFonts w:ascii="Times New Roman" w:eastAsia="Calibri" w:hAnsi="Times New Roman" w:cs="Times New Roman"/>
          <w:kern w:val="28"/>
          <w:sz w:val="28"/>
          <w:szCs w:val="28"/>
        </w:rPr>
        <w:t xml:space="preserve">объем </w:t>
      </w:r>
      <w:r w:rsidRPr="004032F4">
        <w:rPr>
          <w:rFonts w:ascii="Times New Roman" w:eastAsia="Calibri" w:hAnsi="Times New Roman" w:cs="Times New Roman"/>
          <w:kern w:val="28"/>
          <w:sz w:val="28"/>
          <w:szCs w:val="28"/>
        </w:rPr>
        <w:t xml:space="preserve">расходов </w:t>
      </w:r>
      <w:r w:rsidR="00A43521" w:rsidRPr="004032F4">
        <w:rPr>
          <w:rFonts w:ascii="Times New Roman" w:eastAsia="Calibri" w:hAnsi="Times New Roman" w:cs="Times New Roman"/>
          <w:kern w:val="28"/>
          <w:sz w:val="28"/>
          <w:szCs w:val="28"/>
        </w:rPr>
        <w:t>буде</w:t>
      </w:r>
      <w:r w:rsidR="00384EB0" w:rsidRPr="004032F4">
        <w:rPr>
          <w:rFonts w:ascii="Times New Roman" w:eastAsia="Calibri" w:hAnsi="Times New Roman" w:cs="Times New Roman"/>
          <w:kern w:val="28"/>
          <w:sz w:val="28"/>
          <w:szCs w:val="28"/>
        </w:rPr>
        <w:t>т</w:t>
      </w:r>
      <w:r w:rsidRPr="004032F4">
        <w:rPr>
          <w:rFonts w:ascii="Times New Roman" w:eastAsia="Calibri" w:hAnsi="Times New Roman" w:cs="Times New Roman"/>
          <w:kern w:val="28"/>
          <w:sz w:val="28"/>
          <w:szCs w:val="28"/>
        </w:rPr>
        <w:t xml:space="preserve"> увеличен </w:t>
      </w:r>
      <w:r w:rsidR="00E159F1" w:rsidRPr="004032F4">
        <w:rPr>
          <w:rFonts w:ascii="Times New Roman" w:eastAsia="Calibri" w:hAnsi="Times New Roman" w:cs="Times New Roman"/>
          <w:kern w:val="28"/>
          <w:sz w:val="28"/>
          <w:szCs w:val="28"/>
        </w:rPr>
        <w:t>на средства из федерального бюджета</w:t>
      </w:r>
      <w:r w:rsidR="007C1A3F" w:rsidRPr="004032F4">
        <w:rPr>
          <w:rFonts w:ascii="Times New Roman" w:eastAsia="Calibri" w:hAnsi="Times New Roman" w:cs="Times New Roman"/>
          <w:kern w:val="28"/>
          <w:sz w:val="28"/>
          <w:szCs w:val="28"/>
        </w:rPr>
        <w:t>.</w:t>
      </w:r>
      <w:r w:rsidR="00E159F1" w:rsidRPr="004032F4">
        <w:rPr>
          <w:rFonts w:ascii="Times New Roman" w:eastAsia="Calibri" w:hAnsi="Times New Roman" w:cs="Times New Roman"/>
          <w:kern w:val="28"/>
          <w:sz w:val="28"/>
          <w:szCs w:val="28"/>
        </w:rPr>
        <w:t xml:space="preserve"> </w:t>
      </w:r>
    </w:p>
    <w:p w14:paraId="2C4A8D09" w14:textId="294BE2E6" w:rsidR="0047604B" w:rsidRPr="004032F4" w:rsidRDefault="0047604B" w:rsidP="0047604B">
      <w:pPr>
        <w:spacing w:before="120" w:after="0" w:line="240" w:lineRule="auto"/>
        <w:ind w:firstLine="709"/>
        <w:jc w:val="both"/>
        <w:rPr>
          <w:rFonts w:ascii="Times New Roman" w:eastAsia="Calibri" w:hAnsi="Times New Roman" w:cs="Times New Roman"/>
          <w:spacing w:val="-2"/>
          <w:sz w:val="28"/>
          <w:szCs w:val="28"/>
        </w:rPr>
      </w:pPr>
      <w:r w:rsidRPr="004032F4">
        <w:rPr>
          <w:rFonts w:ascii="Times New Roman" w:eastAsia="Calibri" w:hAnsi="Times New Roman" w:cs="Times New Roman"/>
          <w:spacing w:val="-2"/>
          <w:sz w:val="28"/>
          <w:szCs w:val="28"/>
        </w:rPr>
        <w:t xml:space="preserve">Расходы бюджета области на </w:t>
      </w:r>
      <w:r w:rsidR="00933509" w:rsidRPr="004032F4">
        <w:rPr>
          <w:rFonts w:ascii="Times New Roman" w:eastAsia="Calibri" w:hAnsi="Times New Roman" w:cs="Times New Roman"/>
          <w:spacing w:val="-2"/>
          <w:sz w:val="28"/>
          <w:szCs w:val="28"/>
        </w:rPr>
        <w:t>2025</w:t>
      </w:r>
      <w:r w:rsidR="00DF15BE" w:rsidRPr="004032F4">
        <w:rPr>
          <w:rFonts w:ascii="Times New Roman" w:eastAsia="Calibri" w:hAnsi="Times New Roman" w:cs="Times New Roman"/>
          <w:spacing w:val="-2"/>
          <w:sz w:val="28"/>
          <w:szCs w:val="28"/>
        </w:rPr>
        <w:t xml:space="preserve"> год предусматриваются </w:t>
      </w:r>
      <w:r w:rsidRPr="004032F4">
        <w:rPr>
          <w:rFonts w:ascii="Times New Roman" w:eastAsia="Calibri" w:hAnsi="Times New Roman" w:cs="Times New Roman"/>
          <w:spacing w:val="-2"/>
          <w:sz w:val="28"/>
          <w:szCs w:val="28"/>
        </w:rPr>
        <w:t>со снижением к ожидаемой оценке исполнения бюджета за 202</w:t>
      </w:r>
      <w:r w:rsidR="005E55B2" w:rsidRPr="004032F4">
        <w:rPr>
          <w:rFonts w:ascii="Times New Roman" w:eastAsia="Calibri" w:hAnsi="Times New Roman" w:cs="Times New Roman"/>
          <w:spacing w:val="-2"/>
          <w:sz w:val="28"/>
          <w:szCs w:val="28"/>
        </w:rPr>
        <w:t>4</w:t>
      </w:r>
      <w:r w:rsidRPr="004032F4">
        <w:rPr>
          <w:rFonts w:ascii="Times New Roman" w:eastAsia="Calibri" w:hAnsi="Times New Roman" w:cs="Times New Roman"/>
          <w:spacing w:val="-2"/>
          <w:sz w:val="28"/>
          <w:szCs w:val="28"/>
        </w:rPr>
        <w:t xml:space="preserve"> год на </w:t>
      </w:r>
      <w:r w:rsidR="005E55B2" w:rsidRPr="004032F4">
        <w:rPr>
          <w:rFonts w:ascii="Times New Roman" w:eastAsia="Calibri" w:hAnsi="Times New Roman" w:cs="Times New Roman"/>
          <w:spacing w:val="-2"/>
          <w:sz w:val="28"/>
          <w:szCs w:val="28"/>
        </w:rPr>
        <w:t>12</w:t>
      </w:r>
      <w:r w:rsidR="0064763F" w:rsidRPr="004032F4">
        <w:rPr>
          <w:rFonts w:ascii="Times New Roman" w:eastAsia="Calibri" w:hAnsi="Times New Roman" w:cs="Times New Roman"/>
          <w:spacing w:val="-2"/>
          <w:sz w:val="28"/>
          <w:szCs w:val="28"/>
        </w:rPr>
        <w:t>%</w:t>
      </w:r>
      <w:r w:rsidRPr="004032F4">
        <w:rPr>
          <w:rFonts w:ascii="Times New Roman" w:eastAsia="Calibri" w:hAnsi="Times New Roman" w:cs="Times New Roman"/>
          <w:spacing w:val="-2"/>
          <w:sz w:val="28"/>
          <w:szCs w:val="28"/>
        </w:rPr>
        <w:t xml:space="preserve">. Расходы бюджета области на </w:t>
      </w:r>
      <w:r w:rsidR="00933509" w:rsidRPr="004032F4">
        <w:rPr>
          <w:rFonts w:ascii="Times New Roman" w:eastAsia="Calibri" w:hAnsi="Times New Roman" w:cs="Times New Roman"/>
          <w:spacing w:val="-2"/>
          <w:kern w:val="28"/>
          <w:sz w:val="28"/>
          <w:szCs w:val="28"/>
        </w:rPr>
        <w:t>2026</w:t>
      </w:r>
      <w:r w:rsidRPr="004032F4">
        <w:rPr>
          <w:rFonts w:ascii="Times New Roman" w:eastAsia="Calibri" w:hAnsi="Times New Roman" w:cs="Times New Roman"/>
          <w:spacing w:val="-2"/>
          <w:kern w:val="28"/>
          <w:sz w:val="28"/>
          <w:szCs w:val="28"/>
        </w:rPr>
        <w:t xml:space="preserve"> </w:t>
      </w:r>
      <w:r w:rsidR="008760B4" w:rsidRPr="004032F4">
        <w:rPr>
          <w:rFonts w:ascii="Times New Roman" w:eastAsia="Calibri" w:hAnsi="Times New Roman" w:cs="Times New Roman"/>
          <w:spacing w:val="-2"/>
          <w:kern w:val="28"/>
          <w:sz w:val="28"/>
          <w:szCs w:val="28"/>
        </w:rPr>
        <w:t>год прогнозируются с</w:t>
      </w:r>
      <w:r w:rsidR="005E55B2" w:rsidRPr="004032F4">
        <w:rPr>
          <w:rFonts w:ascii="Times New Roman" w:eastAsia="Calibri" w:hAnsi="Times New Roman" w:cs="Times New Roman"/>
          <w:spacing w:val="-2"/>
          <w:kern w:val="28"/>
          <w:sz w:val="28"/>
          <w:szCs w:val="28"/>
        </w:rPr>
        <w:t xml:space="preserve"> ростом</w:t>
      </w:r>
      <w:r w:rsidR="008760B4" w:rsidRPr="004032F4">
        <w:rPr>
          <w:rFonts w:ascii="Times New Roman" w:eastAsia="Calibri" w:hAnsi="Times New Roman" w:cs="Times New Roman"/>
          <w:spacing w:val="-2"/>
          <w:kern w:val="28"/>
          <w:sz w:val="28"/>
          <w:szCs w:val="28"/>
        </w:rPr>
        <w:t xml:space="preserve"> к предыдущему году на </w:t>
      </w:r>
      <w:r w:rsidR="005E55B2" w:rsidRPr="004032F4">
        <w:rPr>
          <w:rFonts w:ascii="Times New Roman" w:eastAsia="Calibri" w:hAnsi="Times New Roman" w:cs="Times New Roman"/>
          <w:spacing w:val="-2"/>
          <w:kern w:val="28"/>
          <w:sz w:val="28"/>
          <w:szCs w:val="28"/>
        </w:rPr>
        <w:t>1,6</w:t>
      </w:r>
      <w:r w:rsidR="008760B4" w:rsidRPr="004032F4">
        <w:rPr>
          <w:rFonts w:ascii="Times New Roman" w:eastAsia="Calibri" w:hAnsi="Times New Roman" w:cs="Times New Roman"/>
          <w:spacing w:val="-2"/>
          <w:kern w:val="28"/>
          <w:sz w:val="28"/>
          <w:szCs w:val="28"/>
        </w:rPr>
        <w:t xml:space="preserve">%, на </w:t>
      </w:r>
      <w:r w:rsidR="00933509" w:rsidRPr="004032F4">
        <w:rPr>
          <w:rFonts w:ascii="Times New Roman" w:eastAsia="Calibri" w:hAnsi="Times New Roman" w:cs="Times New Roman"/>
          <w:spacing w:val="-2"/>
          <w:kern w:val="28"/>
          <w:sz w:val="28"/>
          <w:szCs w:val="28"/>
        </w:rPr>
        <w:t>2027</w:t>
      </w:r>
      <w:r w:rsidR="008760B4" w:rsidRPr="004032F4">
        <w:rPr>
          <w:rFonts w:ascii="Times New Roman" w:eastAsia="Calibri" w:hAnsi="Times New Roman" w:cs="Times New Roman"/>
          <w:spacing w:val="-2"/>
          <w:kern w:val="28"/>
          <w:sz w:val="28"/>
          <w:szCs w:val="28"/>
        </w:rPr>
        <w:t xml:space="preserve"> год – с </w:t>
      </w:r>
      <w:r w:rsidR="005E55B2" w:rsidRPr="004032F4">
        <w:rPr>
          <w:rFonts w:ascii="Times New Roman" w:eastAsia="Calibri" w:hAnsi="Times New Roman" w:cs="Times New Roman"/>
          <w:spacing w:val="-2"/>
          <w:kern w:val="28"/>
          <w:sz w:val="28"/>
          <w:szCs w:val="28"/>
        </w:rPr>
        <w:t>ростом</w:t>
      </w:r>
      <w:r w:rsidR="008760B4" w:rsidRPr="004032F4">
        <w:rPr>
          <w:rFonts w:ascii="Times New Roman" w:eastAsia="Calibri" w:hAnsi="Times New Roman" w:cs="Times New Roman"/>
          <w:spacing w:val="-2"/>
          <w:kern w:val="28"/>
          <w:sz w:val="28"/>
          <w:szCs w:val="28"/>
        </w:rPr>
        <w:t xml:space="preserve"> к предыдущему году на </w:t>
      </w:r>
      <w:r w:rsidR="005E55B2" w:rsidRPr="004032F4">
        <w:rPr>
          <w:rFonts w:ascii="Times New Roman" w:eastAsia="Calibri" w:hAnsi="Times New Roman" w:cs="Times New Roman"/>
          <w:spacing w:val="-2"/>
          <w:kern w:val="28"/>
          <w:sz w:val="28"/>
          <w:szCs w:val="28"/>
        </w:rPr>
        <w:t>5,8</w:t>
      </w:r>
      <w:r w:rsidR="008760B4" w:rsidRPr="004032F4">
        <w:rPr>
          <w:rFonts w:ascii="Times New Roman" w:eastAsia="Calibri" w:hAnsi="Times New Roman" w:cs="Times New Roman"/>
          <w:spacing w:val="-2"/>
          <w:kern w:val="28"/>
          <w:sz w:val="28"/>
          <w:szCs w:val="28"/>
        </w:rPr>
        <w:t>%</w:t>
      </w:r>
      <w:r w:rsidRPr="004032F4">
        <w:rPr>
          <w:rFonts w:ascii="Times New Roman" w:eastAsia="Calibri" w:hAnsi="Times New Roman" w:cs="Times New Roman"/>
          <w:spacing w:val="-2"/>
          <w:kern w:val="28"/>
          <w:sz w:val="28"/>
          <w:szCs w:val="28"/>
        </w:rPr>
        <w:t xml:space="preserve">. </w:t>
      </w:r>
    </w:p>
    <w:p w14:paraId="5EB8B0EF" w14:textId="0597C94E" w:rsidR="0047604B" w:rsidRPr="004032F4" w:rsidRDefault="0047604B" w:rsidP="0047604B">
      <w:pPr>
        <w:pStyle w:val="af8"/>
        <w:spacing w:before="120"/>
      </w:pPr>
      <w:r w:rsidRPr="004032F4">
        <w:t xml:space="preserve">Условно утверждаемые расходы бюджета области (не распределенные в плановом периоде в соответствии с классификацией расходов бюджетов бюджетные ассигнования) предусматриваются на </w:t>
      </w:r>
      <w:r w:rsidR="00933509" w:rsidRPr="004032F4">
        <w:t>2026</w:t>
      </w:r>
      <w:r w:rsidRPr="004032F4">
        <w:t xml:space="preserve"> год в сумме </w:t>
      </w:r>
      <w:r w:rsidR="005E55B2" w:rsidRPr="004032F4">
        <w:t>3 350</w:t>
      </w:r>
      <w:r w:rsidRPr="004032F4">
        <w:t xml:space="preserve">,0 млн. рублей, что составляет </w:t>
      </w:r>
      <w:r w:rsidR="0042247D" w:rsidRPr="004032F4">
        <w:t>2,</w:t>
      </w:r>
      <w:r w:rsidR="00C03787" w:rsidRPr="004032F4">
        <w:t>5</w:t>
      </w:r>
      <w:r w:rsidR="00CD724F" w:rsidRPr="004032F4">
        <w:t>5</w:t>
      </w:r>
      <w:r w:rsidRPr="004032F4">
        <w:t>% от общего объема расходов бюджета</w:t>
      </w:r>
      <w:r w:rsidR="00116BB9" w:rsidRPr="004032F4">
        <w:t xml:space="preserve"> без </w:t>
      </w:r>
      <w:r w:rsidR="00116BB9" w:rsidRPr="004032F4">
        <w:lastRenderedPageBreak/>
        <w:t>учета расходов бюджета, предусмотренных за счет межбюджетных трансфертов из других бюджетов бюджетной системы РФ, имеющих целевое назначение</w:t>
      </w:r>
      <w:r w:rsidRPr="004032F4">
        <w:t xml:space="preserve">, на </w:t>
      </w:r>
      <w:r w:rsidR="00933509" w:rsidRPr="004032F4">
        <w:t>2027</w:t>
      </w:r>
      <w:r w:rsidR="0042247D" w:rsidRPr="004032F4">
        <w:t xml:space="preserve"> </w:t>
      </w:r>
      <w:r w:rsidRPr="004032F4">
        <w:t xml:space="preserve">год в сумме </w:t>
      </w:r>
      <w:r w:rsidR="005E55B2" w:rsidRPr="004032F4">
        <w:t>7 200</w:t>
      </w:r>
      <w:r w:rsidRPr="004032F4">
        <w:t xml:space="preserve">,0 млн. рублей, или </w:t>
      </w:r>
      <w:r w:rsidR="0042247D" w:rsidRPr="004032F4">
        <w:t>5,</w:t>
      </w:r>
      <w:r w:rsidR="00C03787" w:rsidRPr="004032F4">
        <w:t>1</w:t>
      </w:r>
      <w:r w:rsidR="00900F6F" w:rsidRPr="004032F4">
        <w:t>7</w:t>
      </w:r>
      <w:r w:rsidRPr="004032F4">
        <w:t>%, что соответствует норме, определенной</w:t>
      </w:r>
      <w:r w:rsidR="00046909" w:rsidRPr="004032F4">
        <w:t xml:space="preserve"> в</w:t>
      </w:r>
      <w:r w:rsidRPr="004032F4">
        <w:t xml:space="preserve"> </w:t>
      </w:r>
      <w:r w:rsidR="00046909" w:rsidRPr="004032F4">
        <w:t>пункте 3</w:t>
      </w:r>
      <w:r w:rsidRPr="004032F4">
        <w:t xml:space="preserve"> статьи 184.1 БК РФ</w:t>
      </w:r>
      <w:r w:rsidRPr="004032F4">
        <w:rPr>
          <w:rStyle w:val="a5"/>
        </w:rPr>
        <w:footnoteReference w:id="1"/>
      </w:r>
      <w:r w:rsidRPr="004032F4">
        <w:t>.</w:t>
      </w:r>
    </w:p>
    <w:p w14:paraId="1BDFFB9A" w14:textId="034DD9B3" w:rsidR="00770E19" w:rsidRPr="004032F4" w:rsidRDefault="00770E19" w:rsidP="00DE3B80">
      <w:pPr>
        <w:pStyle w:val="af8"/>
        <w:spacing w:before="120" w:after="80"/>
        <w:rPr>
          <w:spacing w:val="-4"/>
        </w:rPr>
      </w:pPr>
      <w:r w:rsidRPr="004032F4">
        <w:rPr>
          <w:spacing w:val="-4"/>
        </w:rPr>
        <w:t>Параметры бюджета</w:t>
      </w:r>
      <w:r w:rsidR="00DF15BE" w:rsidRPr="004032F4">
        <w:rPr>
          <w:spacing w:val="-4"/>
        </w:rPr>
        <w:t xml:space="preserve"> области </w:t>
      </w:r>
      <w:r w:rsidRPr="004032F4">
        <w:rPr>
          <w:spacing w:val="-4"/>
        </w:rPr>
        <w:t>согласно представленно</w:t>
      </w:r>
      <w:r w:rsidR="00195658" w:rsidRPr="004032F4">
        <w:rPr>
          <w:spacing w:val="-4"/>
        </w:rPr>
        <w:t>му</w:t>
      </w:r>
      <w:r w:rsidRPr="004032F4">
        <w:rPr>
          <w:spacing w:val="-4"/>
        </w:rPr>
        <w:t xml:space="preserve"> Законопроект</w:t>
      </w:r>
      <w:r w:rsidR="00195658" w:rsidRPr="004032F4">
        <w:rPr>
          <w:spacing w:val="-4"/>
        </w:rPr>
        <w:t>у</w:t>
      </w:r>
      <w:r w:rsidRPr="004032F4">
        <w:rPr>
          <w:spacing w:val="-4"/>
        </w:rPr>
        <w:t xml:space="preserve"> и действующе</w:t>
      </w:r>
      <w:r w:rsidR="00195658" w:rsidRPr="004032F4">
        <w:rPr>
          <w:spacing w:val="-4"/>
        </w:rPr>
        <w:t>му</w:t>
      </w:r>
      <w:r w:rsidRPr="004032F4">
        <w:rPr>
          <w:spacing w:val="-4"/>
        </w:rPr>
        <w:t xml:space="preserve"> Закон</w:t>
      </w:r>
      <w:r w:rsidR="00195658" w:rsidRPr="004032F4">
        <w:rPr>
          <w:spacing w:val="-4"/>
        </w:rPr>
        <w:t>у</w:t>
      </w:r>
      <w:r w:rsidRPr="004032F4">
        <w:rPr>
          <w:spacing w:val="-4"/>
        </w:rPr>
        <w:t xml:space="preserve"> о бюджете области на 202</w:t>
      </w:r>
      <w:r w:rsidR="009F1325" w:rsidRPr="004032F4">
        <w:rPr>
          <w:spacing w:val="-4"/>
        </w:rPr>
        <w:t>4</w:t>
      </w:r>
      <w:r w:rsidRPr="004032F4">
        <w:rPr>
          <w:spacing w:val="-4"/>
        </w:rPr>
        <w:t xml:space="preserve"> год </w:t>
      </w:r>
      <w:r w:rsidRPr="004032F4">
        <w:rPr>
          <w:i/>
          <w:spacing w:val="-4"/>
        </w:rPr>
        <w:t xml:space="preserve">в части планового периода </w:t>
      </w:r>
      <w:r w:rsidR="00933509" w:rsidRPr="004032F4">
        <w:rPr>
          <w:i/>
          <w:spacing w:val="-4"/>
        </w:rPr>
        <w:t>2025</w:t>
      </w:r>
      <w:r w:rsidRPr="004032F4">
        <w:rPr>
          <w:i/>
          <w:spacing w:val="-4"/>
        </w:rPr>
        <w:t xml:space="preserve"> и </w:t>
      </w:r>
      <w:r w:rsidR="00933509" w:rsidRPr="004032F4">
        <w:rPr>
          <w:i/>
          <w:spacing w:val="-4"/>
        </w:rPr>
        <w:t>2026</w:t>
      </w:r>
      <w:r w:rsidR="0044087A" w:rsidRPr="004032F4">
        <w:rPr>
          <w:i/>
          <w:spacing w:val="-4"/>
        </w:rPr>
        <w:t xml:space="preserve"> </w:t>
      </w:r>
      <w:r w:rsidRPr="004032F4">
        <w:rPr>
          <w:i/>
          <w:spacing w:val="-4"/>
        </w:rPr>
        <w:t>годов</w:t>
      </w:r>
      <w:r w:rsidRPr="004032F4">
        <w:rPr>
          <w:spacing w:val="-4"/>
        </w:rPr>
        <w:t xml:space="preserve"> представлены в таблице.</w:t>
      </w: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434"/>
        <w:gridCol w:w="1276"/>
        <w:gridCol w:w="1275"/>
        <w:gridCol w:w="1276"/>
        <w:gridCol w:w="1276"/>
        <w:gridCol w:w="1331"/>
      </w:tblGrid>
      <w:tr w:rsidR="004B1339" w:rsidRPr="004032F4" w14:paraId="527FD99B" w14:textId="77777777" w:rsidTr="00533D2D">
        <w:trPr>
          <w:trHeight w:val="375"/>
          <w:tblHeader/>
          <w:jc w:val="center"/>
        </w:trPr>
        <w:tc>
          <w:tcPr>
            <w:tcW w:w="1680" w:type="dxa"/>
            <w:vMerge w:val="restart"/>
            <w:shd w:val="clear" w:color="auto" w:fill="auto"/>
            <w:vAlign w:val="center"/>
          </w:tcPr>
          <w:p w14:paraId="2BAC2F02" w14:textId="74DF34F7" w:rsidR="004B1339" w:rsidRPr="004032F4" w:rsidRDefault="004B1339" w:rsidP="00770E19">
            <w:pPr>
              <w:spacing w:after="0" w:line="240" w:lineRule="auto"/>
              <w:ind w:left="-57" w:right="-57"/>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Показатель</w:t>
            </w:r>
          </w:p>
        </w:tc>
        <w:tc>
          <w:tcPr>
            <w:tcW w:w="2710" w:type="dxa"/>
            <w:gridSpan w:val="2"/>
            <w:shd w:val="clear" w:color="auto" w:fill="auto"/>
            <w:vAlign w:val="center"/>
          </w:tcPr>
          <w:p w14:paraId="232C60E7" w14:textId="5955CD6D" w:rsidR="004B1339" w:rsidRPr="004032F4" w:rsidRDefault="004B1339" w:rsidP="00DE3B80">
            <w:pPr>
              <w:spacing w:after="0" w:line="240" w:lineRule="auto"/>
              <w:ind w:left="-113" w:right="-113"/>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Предыдущий бюджетный цикл 202</w:t>
            </w:r>
            <w:r w:rsidR="009F1325" w:rsidRPr="004032F4">
              <w:rPr>
                <w:rFonts w:ascii="Times New Roman" w:eastAsia="Times New Roman" w:hAnsi="Times New Roman" w:cs="Times New Roman"/>
                <w:color w:val="000000"/>
                <w:spacing w:val="-4"/>
                <w:sz w:val="18"/>
                <w:szCs w:val="18"/>
                <w:lang w:eastAsia="ru-RU"/>
              </w:rPr>
              <w:t>4</w:t>
            </w:r>
            <w:r w:rsidRPr="004032F4">
              <w:rPr>
                <w:rFonts w:ascii="Times New Roman" w:eastAsia="Times New Roman" w:hAnsi="Times New Roman" w:cs="Times New Roman"/>
                <w:color w:val="000000"/>
                <w:spacing w:val="-4"/>
                <w:sz w:val="18"/>
                <w:szCs w:val="18"/>
                <w:lang w:eastAsia="ru-RU"/>
              </w:rPr>
              <w:t>-</w:t>
            </w:r>
            <w:r w:rsidR="00933509" w:rsidRPr="004032F4">
              <w:rPr>
                <w:rFonts w:ascii="Times New Roman" w:eastAsia="Times New Roman" w:hAnsi="Times New Roman" w:cs="Times New Roman"/>
                <w:color w:val="000000"/>
                <w:spacing w:val="-4"/>
                <w:sz w:val="18"/>
                <w:szCs w:val="18"/>
                <w:lang w:eastAsia="ru-RU"/>
              </w:rPr>
              <w:t>202</w:t>
            </w:r>
            <w:r w:rsidR="009F1325" w:rsidRPr="004032F4">
              <w:rPr>
                <w:rFonts w:ascii="Times New Roman" w:eastAsia="Times New Roman" w:hAnsi="Times New Roman" w:cs="Times New Roman"/>
                <w:color w:val="000000"/>
                <w:spacing w:val="-4"/>
                <w:sz w:val="18"/>
                <w:szCs w:val="18"/>
                <w:lang w:eastAsia="ru-RU"/>
              </w:rPr>
              <w:t>6</w:t>
            </w:r>
            <w:r w:rsidRPr="004032F4">
              <w:rPr>
                <w:rFonts w:ascii="Times New Roman" w:eastAsia="Times New Roman" w:hAnsi="Times New Roman" w:cs="Times New Roman"/>
                <w:color w:val="000000"/>
                <w:spacing w:val="-4"/>
                <w:sz w:val="18"/>
                <w:szCs w:val="18"/>
                <w:lang w:eastAsia="ru-RU"/>
              </w:rPr>
              <w:t xml:space="preserve"> согласно Закону о бюджете области на 202</w:t>
            </w:r>
            <w:r w:rsidR="009F1325" w:rsidRPr="004032F4">
              <w:rPr>
                <w:rFonts w:ascii="Times New Roman" w:eastAsia="Times New Roman" w:hAnsi="Times New Roman" w:cs="Times New Roman"/>
                <w:color w:val="000000"/>
                <w:spacing w:val="-4"/>
                <w:sz w:val="18"/>
                <w:szCs w:val="18"/>
                <w:lang w:eastAsia="ru-RU"/>
              </w:rPr>
              <w:t>4</w:t>
            </w:r>
            <w:r w:rsidRPr="004032F4">
              <w:rPr>
                <w:rFonts w:ascii="Times New Roman" w:eastAsia="Times New Roman" w:hAnsi="Times New Roman" w:cs="Times New Roman"/>
                <w:color w:val="000000"/>
                <w:spacing w:val="-4"/>
                <w:sz w:val="18"/>
                <w:szCs w:val="18"/>
                <w:lang w:eastAsia="ru-RU"/>
              </w:rPr>
              <w:t xml:space="preserve"> год</w:t>
            </w:r>
          </w:p>
          <w:p w14:paraId="07941860" w14:textId="0AD51C34" w:rsidR="00317A7A" w:rsidRPr="004032F4" w:rsidRDefault="00317A7A" w:rsidP="009F1325">
            <w:pPr>
              <w:spacing w:after="0" w:line="240" w:lineRule="auto"/>
              <w:ind w:left="-113" w:right="-113"/>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 xml:space="preserve">(в ред. от </w:t>
            </w:r>
            <w:r w:rsidR="009F1325" w:rsidRPr="004032F4">
              <w:rPr>
                <w:rFonts w:ascii="Times New Roman" w:eastAsia="Times New Roman" w:hAnsi="Times New Roman" w:cs="Times New Roman"/>
                <w:color w:val="000000"/>
                <w:spacing w:val="-4"/>
                <w:sz w:val="18"/>
                <w:szCs w:val="18"/>
                <w:lang w:eastAsia="ru-RU"/>
              </w:rPr>
              <w:t>07.10.2024</w:t>
            </w:r>
            <w:r w:rsidRPr="004032F4">
              <w:rPr>
                <w:rFonts w:ascii="Times New Roman" w:eastAsia="Times New Roman" w:hAnsi="Times New Roman" w:cs="Times New Roman"/>
                <w:color w:val="000000"/>
                <w:spacing w:val="-4"/>
                <w:sz w:val="18"/>
                <w:szCs w:val="18"/>
                <w:lang w:eastAsia="ru-RU"/>
              </w:rPr>
              <w:t>)</w:t>
            </w:r>
          </w:p>
        </w:tc>
        <w:tc>
          <w:tcPr>
            <w:tcW w:w="2551" w:type="dxa"/>
            <w:gridSpan w:val="2"/>
            <w:shd w:val="clear" w:color="auto" w:fill="auto"/>
            <w:vAlign w:val="center"/>
          </w:tcPr>
          <w:p w14:paraId="5777DAA3" w14:textId="77777777" w:rsidR="004B1339" w:rsidRPr="004032F4" w:rsidRDefault="004B1339" w:rsidP="00770E19">
            <w:pPr>
              <w:spacing w:after="0" w:line="240" w:lineRule="auto"/>
              <w:ind w:left="-57" w:right="-57"/>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Законопроект</w:t>
            </w:r>
          </w:p>
        </w:tc>
        <w:tc>
          <w:tcPr>
            <w:tcW w:w="2607" w:type="dxa"/>
            <w:gridSpan w:val="2"/>
          </w:tcPr>
          <w:p w14:paraId="2C0B8F29" w14:textId="2ECA2A44" w:rsidR="004B1339" w:rsidRPr="004032F4" w:rsidRDefault="004B1339" w:rsidP="009F1325">
            <w:pPr>
              <w:spacing w:after="0" w:line="240" w:lineRule="auto"/>
              <w:ind w:left="-57" w:right="-57"/>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 xml:space="preserve">Изменение </w:t>
            </w:r>
            <w:r w:rsidR="00847C65" w:rsidRPr="004032F4">
              <w:rPr>
                <w:rFonts w:ascii="Times New Roman" w:eastAsia="Times New Roman" w:hAnsi="Times New Roman" w:cs="Times New Roman"/>
                <w:color w:val="000000"/>
                <w:spacing w:val="-4"/>
                <w:sz w:val="18"/>
                <w:szCs w:val="18"/>
                <w:lang w:eastAsia="ru-RU"/>
              </w:rPr>
              <w:t>З</w:t>
            </w:r>
            <w:r w:rsidRPr="004032F4">
              <w:rPr>
                <w:rFonts w:ascii="Times New Roman" w:eastAsia="Times New Roman" w:hAnsi="Times New Roman" w:cs="Times New Roman"/>
                <w:color w:val="000000"/>
                <w:spacing w:val="-4"/>
                <w:sz w:val="18"/>
                <w:szCs w:val="18"/>
                <w:lang w:eastAsia="ru-RU"/>
              </w:rPr>
              <w:t>аконопроекта по отношению к Закону о бюджете на 202</w:t>
            </w:r>
            <w:r w:rsidR="009F1325" w:rsidRPr="004032F4">
              <w:rPr>
                <w:rFonts w:ascii="Times New Roman" w:eastAsia="Times New Roman" w:hAnsi="Times New Roman" w:cs="Times New Roman"/>
                <w:color w:val="000000"/>
                <w:spacing w:val="-4"/>
                <w:sz w:val="18"/>
                <w:szCs w:val="18"/>
                <w:lang w:eastAsia="ru-RU"/>
              </w:rPr>
              <w:t>4</w:t>
            </w:r>
            <w:r w:rsidRPr="004032F4">
              <w:rPr>
                <w:rFonts w:ascii="Times New Roman" w:eastAsia="Times New Roman" w:hAnsi="Times New Roman" w:cs="Times New Roman"/>
                <w:color w:val="000000"/>
                <w:spacing w:val="-4"/>
                <w:sz w:val="18"/>
                <w:szCs w:val="18"/>
                <w:lang w:eastAsia="ru-RU"/>
              </w:rPr>
              <w:t xml:space="preserve"> год</w:t>
            </w:r>
          </w:p>
        </w:tc>
      </w:tr>
      <w:tr w:rsidR="00DE3B80" w:rsidRPr="004032F4" w14:paraId="6DFB60C1" w14:textId="77777777" w:rsidTr="00533D2D">
        <w:trPr>
          <w:trHeight w:val="123"/>
          <w:tblHeader/>
          <w:jc w:val="center"/>
        </w:trPr>
        <w:tc>
          <w:tcPr>
            <w:tcW w:w="1680" w:type="dxa"/>
            <w:vMerge/>
            <w:shd w:val="clear" w:color="auto" w:fill="auto"/>
            <w:vAlign w:val="center"/>
            <w:hideMark/>
          </w:tcPr>
          <w:p w14:paraId="0DCBF49D" w14:textId="7D565A9D" w:rsidR="00DE3B80" w:rsidRPr="004032F4" w:rsidRDefault="00DE3B80" w:rsidP="00DE3B80">
            <w:pPr>
              <w:spacing w:after="0" w:line="240" w:lineRule="auto"/>
              <w:ind w:left="-57" w:right="-57"/>
              <w:jc w:val="center"/>
              <w:rPr>
                <w:rFonts w:ascii="Times New Roman" w:eastAsia="Times New Roman" w:hAnsi="Times New Roman" w:cs="Times New Roman"/>
                <w:color w:val="000000"/>
                <w:spacing w:val="-4"/>
                <w:sz w:val="18"/>
                <w:szCs w:val="18"/>
                <w:lang w:eastAsia="ru-RU"/>
              </w:rPr>
            </w:pPr>
          </w:p>
        </w:tc>
        <w:tc>
          <w:tcPr>
            <w:tcW w:w="1434" w:type="dxa"/>
            <w:shd w:val="clear" w:color="auto" w:fill="auto"/>
            <w:vAlign w:val="center"/>
            <w:hideMark/>
          </w:tcPr>
          <w:p w14:paraId="6473F4B0" w14:textId="37090C47" w:rsidR="00DE3B80" w:rsidRPr="004032F4" w:rsidRDefault="00933509" w:rsidP="009F1325">
            <w:pPr>
              <w:spacing w:before="40" w:after="0" w:line="240" w:lineRule="auto"/>
              <w:ind w:left="-57" w:right="-57"/>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202</w:t>
            </w:r>
            <w:r w:rsidR="009F1325" w:rsidRPr="004032F4">
              <w:rPr>
                <w:rFonts w:ascii="Times New Roman" w:eastAsia="Times New Roman" w:hAnsi="Times New Roman" w:cs="Times New Roman"/>
                <w:color w:val="000000"/>
                <w:spacing w:val="-4"/>
                <w:sz w:val="18"/>
                <w:szCs w:val="18"/>
                <w:lang w:eastAsia="ru-RU"/>
              </w:rPr>
              <w:t>5</w:t>
            </w:r>
            <w:r w:rsidR="00DE3B80" w:rsidRPr="004032F4">
              <w:rPr>
                <w:rFonts w:ascii="Times New Roman" w:eastAsia="Times New Roman" w:hAnsi="Times New Roman" w:cs="Times New Roman"/>
                <w:color w:val="000000"/>
                <w:spacing w:val="-4"/>
                <w:sz w:val="18"/>
                <w:szCs w:val="18"/>
                <w:lang w:eastAsia="ru-RU"/>
              </w:rPr>
              <w:t xml:space="preserve"> год</w:t>
            </w:r>
          </w:p>
        </w:tc>
        <w:tc>
          <w:tcPr>
            <w:tcW w:w="1276" w:type="dxa"/>
            <w:shd w:val="clear" w:color="auto" w:fill="auto"/>
            <w:vAlign w:val="center"/>
            <w:hideMark/>
          </w:tcPr>
          <w:p w14:paraId="4F7EF2FB" w14:textId="475D0B95" w:rsidR="00DE3B80" w:rsidRPr="004032F4" w:rsidRDefault="00933509" w:rsidP="009F1325">
            <w:pPr>
              <w:spacing w:before="40" w:after="0" w:line="240" w:lineRule="auto"/>
              <w:ind w:left="-57" w:right="-57"/>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202</w:t>
            </w:r>
            <w:r w:rsidR="009F1325" w:rsidRPr="004032F4">
              <w:rPr>
                <w:rFonts w:ascii="Times New Roman" w:eastAsia="Times New Roman" w:hAnsi="Times New Roman" w:cs="Times New Roman"/>
                <w:color w:val="000000"/>
                <w:spacing w:val="-4"/>
                <w:sz w:val="18"/>
                <w:szCs w:val="18"/>
                <w:lang w:eastAsia="ru-RU"/>
              </w:rPr>
              <w:t>6</w:t>
            </w:r>
            <w:r w:rsidR="00DE3B80" w:rsidRPr="004032F4">
              <w:rPr>
                <w:rFonts w:ascii="Times New Roman" w:eastAsia="Times New Roman" w:hAnsi="Times New Roman" w:cs="Times New Roman"/>
                <w:color w:val="000000"/>
                <w:spacing w:val="-4"/>
                <w:sz w:val="18"/>
                <w:szCs w:val="18"/>
                <w:lang w:eastAsia="ru-RU"/>
              </w:rPr>
              <w:t xml:space="preserve"> год</w:t>
            </w:r>
          </w:p>
        </w:tc>
        <w:tc>
          <w:tcPr>
            <w:tcW w:w="1275" w:type="dxa"/>
            <w:shd w:val="clear" w:color="auto" w:fill="auto"/>
            <w:vAlign w:val="center"/>
            <w:hideMark/>
          </w:tcPr>
          <w:p w14:paraId="543C685D" w14:textId="20019EAE" w:rsidR="00DE3B80" w:rsidRPr="004032F4" w:rsidRDefault="00933509" w:rsidP="009F1325">
            <w:pPr>
              <w:spacing w:before="40" w:after="0" w:line="240" w:lineRule="auto"/>
              <w:ind w:left="-57" w:right="-57"/>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202</w:t>
            </w:r>
            <w:r w:rsidR="009F1325" w:rsidRPr="004032F4">
              <w:rPr>
                <w:rFonts w:ascii="Times New Roman" w:eastAsia="Times New Roman" w:hAnsi="Times New Roman" w:cs="Times New Roman"/>
                <w:color w:val="000000"/>
                <w:spacing w:val="-4"/>
                <w:sz w:val="18"/>
                <w:szCs w:val="18"/>
                <w:lang w:eastAsia="ru-RU"/>
              </w:rPr>
              <w:t>5</w:t>
            </w:r>
            <w:r w:rsidR="00DE3B80" w:rsidRPr="004032F4">
              <w:rPr>
                <w:rFonts w:ascii="Times New Roman" w:eastAsia="Times New Roman" w:hAnsi="Times New Roman" w:cs="Times New Roman"/>
                <w:color w:val="000000"/>
                <w:spacing w:val="-4"/>
                <w:sz w:val="18"/>
                <w:szCs w:val="18"/>
                <w:lang w:eastAsia="ru-RU"/>
              </w:rPr>
              <w:t xml:space="preserve"> год</w:t>
            </w:r>
          </w:p>
        </w:tc>
        <w:tc>
          <w:tcPr>
            <w:tcW w:w="1276" w:type="dxa"/>
            <w:shd w:val="clear" w:color="auto" w:fill="auto"/>
            <w:vAlign w:val="center"/>
            <w:hideMark/>
          </w:tcPr>
          <w:p w14:paraId="2C7CA82E" w14:textId="6F66A3C7" w:rsidR="00DE3B80" w:rsidRPr="004032F4" w:rsidRDefault="00933509" w:rsidP="009F1325">
            <w:pPr>
              <w:spacing w:before="40" w:after="0" w:line="240" w:lineRule="auto"/>
              <w:ind w:left="-57" w:right="-57"/>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202</w:t>
            </w:r>
            <w:r w:rsidR="009F1325" w:rsidRPr="004032F4">
              <w:rPr>
                <w:rFonts w:ascii="Times New Roman" w:eastAsia="Times New Roman" w:hAnsi="Times New Roman" w:cs="Times New Roman"/>
                <w:color w:val="000000"/>
                <w:spacing w:val="-4"/>
                <w:sz w:val="18"/>
                <w:szCs w:val="18"/>
                <w:lang w:eastAsia="ru-RU"/>
              </w:rPr>
              <w:t>6</w:t>
            </w:r>
            <w:r w:rsidR="00DE3B80" w:rsidRPr="004032F4">
              <w:rPr>
                <w:rFonts w:ascii="Times New Roman" w:eastAsia="Times New Roman" w:hAnsi="Times New Roman" w:cs="Times New Roman"/>
                <w:color w:val="000000"/>
                <w:spacing w:val="-4"/>
                <w:sz w:val="18"/>
                <w:szCs w:val="18"/>
                <w:lang w:eastAsia="ru-RU"/>
              </w:rPr>
              <w:t xml:space="preserve"> год</w:t>
            </w:r>
          </w:p>
        </w:tc>
        <w:tc>
          <w:tcPr>
            <w:tcW w:w="1276" w:type="dxa"/>
            <w:shd w:val="clear" w:color="auto" w:fill="auto"/>
            <w:vAlign w:val="center"/>
          </w:tcPr>
          <w:p w14:paraId="454CB1DF" w14:textId="2F8E7B21" w:rsidR="00DE3B80" w:rsidRPr="004032F4" w:rsidRDefault="00933509" w:rsidP="009F1325">
            <w:pPr>
              <w:spacing w:before="40" w:after="0" w:line="240" w:lineRule="auto"/>
              <w:ind w:left="-57" w:right="-57"/>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202</w:t>
            </w:r>
            <w:r w:rsidR="009F1325" w:rsidRPr="004032F4">
              <w:rPr>
                <w:rFonts w:ascii="Times New Roman" w:eastAsia="Times New Roman" w:hAnsi="Times New Roman" w:cs="Times New Roman"/>
                <w:color w:val="000000"/>
                <w:spacing w:val="-4"/>
                <w:sz w:val="18"/>
                <w:szCs w:val="18"/>
                <w:lang w:eastAsia="ru-RU"/>
              </w:rPr>
              <w:t>5</w:t>
            </w:r>
            <w:r w:rsidR="00DE3B80" w:rsidRPr="004032F4">
              <w:rPr>
                <w:rFonts w:ascii="Times New Roman" w:eastAsia="Times New Roman" w:hAnsi="Times New Roman" w:cs="Times New Roman"/>
                <w:color w:val="000000"/>
                <w:spacing w:val="-4"/>
                <w:sz w:val="18"/>
                <w:szCs w:val="18"/>
                <w:lang w:eastAsia="ru-RU"/>
              </w:rPr>
              <w:t xml:space="preserve"> год</w:t>
            </w:r>
          </w:p>
        </w:tc>
        <w:tc>
          <w:tcPr>
            <w:tcW w:w="1331" w:type="dxa"/>
            <w:shd w:val="clear" w:color="auto" w:fill="auto"/>
            <w:vAlign w:val="center"/>
          </w:tcPr>
          <w:p w14:paraId="2A508497" w14:textId="5FD7DB2E" w:rsidR="00DE3B80" w:rsidRPr="004032F4" w:rsidRDefault="00933509" w:rsidP="009F1325">
            <w:pPr>
              <w:spacing w:before="40" w:after="0" w:line="240" w:lineRule="auto"/>
              <w:ind w:left="-57" w:right="-57"/>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202</w:t>
            </w:r>
            <w:r w:rsidR="009F1325" w:rsidRPr="004032F4">
              <w:rPr>
                <w:rFonts w:ascii="Times New Roman" w:eastAsia="Times New Roman" w:hAnsi="Times New Roman" w:cs="Times New Roman"/>
                <w:color w:val="000000"/>
                <w:spacing w:val="-4"/>
                <w:sz w:val="18"/>
                <w:szCs w:val="18"/>
                <w:lang w:eastAsia="ru-RU"/>
              </w:rPr>
              <w:t>6</w:t>
            </w:r>
            <w:r w:rsidR="00DE3B80" w:rsidRPr="004032F4">
              <w:rPr>
                <w:rFonts w:ascii="Times New Roman" w:eastAsia="Times New Roman" w:hAnsi="Times New Roman" w:cs="Times New Roman"/>
                <w:color w:val="000000"/>
                <w:spacing w:val="-4"/>
                <w:sz w:val="18"/>
                <w:szCs w:val="18"/>
                <w:lang w:eastAsia="ru-RU"/>
              </w:rPr>
              <w:t>год</w:t>
            </w:r>
          </w:p>
        </w:tc>
      </w:tr>
      <w:tr w:rsidR="004B1339" w:rsidRPr="004032F4" w14:paraId="14F49BFA" w14:textId="77777777" w:rsidTr="00533D2D">
        <w:trPr>
          <w:trHeight w:val="126"/>
          <w:tblHeader/>
          <w:jc w:val="center"/>
        </w:trPr>
        <w:tc>
          <w:tcPr>
            <w:tcW w:w="1680" w:type="dxa"/>
            <w:vMerge/>
            <w:vAlign w:val="center"/>
            <w:hideMark/>
          </w:tcPr>
          <w:p w14:paraId="5FBBCC64" w14:textId="77777777" w:rsidR="004B1339" w:rsidRPr="004032F4" w:rsidRDefault="004B1339" w:rsidP="00770E19">
            <w:pPr>
              <w:spacing w:after="0" w:line="240" w:lineRule="auto"/>
              <w:ind w:left="-57" w:right="-57"/>
              <w:rPr>
                <w:rFonts w:ascii="Times New Roman" w:eastAsia="Times New Roman" w:hAnsi="Times New Roman" w:cs="Times New Roman"/>
                <w:color w:val="000000"/>
                <w:spacing w:val="-4"/>
                <w:sz w:val="18"/>
                <w:szCs w:val="18"/>
                <w:lang w:eastAsia="ru-RU"/>
              </w:rPr>
            </w:pPr>
          </w:p>
        </w:tc>
        <w:tc>
          <w:tcPr>
            <w:tcW w:w="1434" w:type="dxa"/>
            <w:shd w:val="clear" w:color="auto" w:fill="auto"/>
            <w:vAlign w:val="center"/>
          </w:tcPr>
          <w:p w14:paraId="429CF0F8" w14:textId="77777777" w:rsidR="004B1339" w:rsidRPr="004032F4" w:rsidRDefault="004B1339" w:rsidP="000F688B">
            <w:pPr>
              <w:spacing w:before="40" w:after="0" w:line="240" w:lineRule="auto"/>
              <w:ind w:left="-113" w:right="-113"/>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млн. рублей</w:t>
            </w:r>
          </w:p>
        </w:tc>
        <w:tc>
          <w:tcPr>
            <w:tcW w:w="1276" w:type="dxa"/>
            <w:shd w:val="clear" w:color="auto" w:fill="auto"/>
            <w:vAlign w:val="center"/>
          </w:tcPr>
          <w:p w14:paraId="19D52F5D" w14:textId="77777777" w:rsidR="004B1339" w:rsidRPr="004032F4" w:rsidRDefault="004B1339" w:rsidP="000F688B">
            <w:pPr>
              <w:spacing w:before="40" w:after="0" w:line="240" w:lineRule="auto"/>
              <w:ind w:left="-113" w:right="-113"/>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млн. рублей</w:t>
            </w:r>
          </w:p>
        </w:tc>
        <w:tc>
          <w:tcPr>
            <w:tcW w:w="1275" w:type="dxa"/>
            <w:shd w:val="clear" w:color="auto" w:fill="auto"/>
            <w:vAlign w:val="center"/>
            <w:hideMark/>
          </w:tcPr>
          <w:p w14:paraId="2286D163" w14:textId="77777777" w:rsidR="004B1339" w:rsidRPr="004032F4" w:rsidRDefault="004B1339" w:rsidP="000F688B">
            <w:pPr>
              <w:spacing w:before="40" w:after="0" w:line="240" w:lineRule="auto"/>
              <w:ind w:left="-113" w:right="-113"/>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млн. рублей</w:t>
            </w:r>
          </w:p>
        </w:tc>
        <w:tc>
          <w:tcPr>
            <w:tcW w:w="1276" w:type="dxa"/>
            <w:shd w:val="clear" w:color="auto" w:fill="auto"/>
            <w:vAlign w:val="center"/>
            <w:hideMark/>
          </w:tcPr>
          <w:p w14:paraId="291B8B33" w14:textId="77777777" w:rsidR="004B1339" w:rsidRPr="004032F4" w:rsidRDefault="004B1339" w:rsidP="000F688B">
            <w:pPr>
              <w:spacing w:before="40" w:after="0" w:line="240" w:lineRule="auto"/>
              <w:ind w:left="-113" w:right="-113"/>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млн. рублей</w:t>
            </w:r>
          </w:p>
        </w:tc>
        <w:tc>
          <w:tcPr>
            <w:tcW w:w="1276" w:type="dxa"/>
            <w:shd w:val="clear" w:color="auto" w:fill="auto"/>
            <w:vAlign w:val="center"/>
          </w:tcPr>
          <w:p w14:paraId="20B7DAE7" w14:textId="77777777" w:rsidR="004B1339" w:rsidRPr="004032F4" w:rsidRDefault="004B1339" w:rsidP="000F688B">
            <w:pPr>
              <w:spacing w:before="40" w:after="0" w:line="240" w:lineRule="auto"/>
              <w:ind w:left="-113" w:right="-113"/>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млн. рублей/%</w:t>
            </w:r>
          </w:p>
        </w:tc>
        <w:tc>
          <w:tcPr>
            <w:tcW w:w="1331" w:type="dxa"/>
            <w:shd w:val="clear" w:color="auto" w:fill="auto"/>
            <w:vAlign w:val="center"/>
          </w:tcPr>
          <w:p w14:paraId="48558C4F" w14:textId="77777777" w:rsidR="004B1339" w:rsidRPr="004032F4" w:rsidRDefault="004B1339" w:rsidP="000F688B">
            <w:pPr>
              <w:spacing w:before="40" w:after="0" w:line="240" w:lineRule="auto"/>
              <w:ind w:left="-113" w:right="-113"/>
              <w:jc w:val="center"/>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млн. рублей/%</w:t>
            </w:r>
          </w:p>
        </w:tc>
      </w:tr>
      <w:tr w:rsidR="00C70785" w:rsidRPr="004032F4" w14:paraId="5950510F" w14:textId="77777777" w:rsidTr="00533D2D">
        <w:trPr>
          <w:trHeight w:val="212"/>
          <w:jc w:val="center"/>
        </w:trPr>
        <w:tc>
          <w:tcPr>
            <w:tcW w:w="1680" w:type="dxa"/>
            <w:shd w:val="clear" w:color="auto" w:fill="auto"/>
            <w:hideMark/>
          </w:tcPr>
          <w:p w14:paraId="0710812B" w14:textId="77777777" w:rsidR="00C70785" w:rsidRPr="004032F4" w:rsidRDefault="00C70785" w:rsidP="0079375A">
            <w:pPr>
              <w:spacing w:after="0" w:line="240" w:lineRule="auto"/>
              <w:ind w:left="-113" w:right="-57"/>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b/>
                <w:bCs/>
                <w:color w:val="000000"/>
                <w:spacing w:val="-4"/>
                <w:sz w:val="18"/>
                <w:szCs w:val="18"/>
                <w:lang w:eastAsia="ru-RU"/>
              </w:rPr>
              <w:t>Доходы,</w:t>
            </w:r>
            <w:r w:rsidRPr="004032F4">
              <w:rPr>
                <w:rFonts w:ascii="Times New Roman" w:eastAsia="Times New Roman" w:hAnsi="Times New Roman" w:cs="Times New Roman"/>
                <w:color w:val="000000"/>
                <w:spacing w:val="-4"/>
                <w:sz w:val="18"/>
                <w:szCs w:val="18"/>
                <w:lang w:eastAsia="ru-RU"/>
              </w:rPr>
              <w:t xml:space="preserve"> </w:t>
            </w:r>
          </w:p>
          <w:p w14:paraId="1F37FCB4" w14:textId="77777777" w:rsidR="00C70785" w:rsidRPr="004032F4" w:rsidRDefault="00C70785" w:rsidP="00C70785">
            <w:pPr>
              <w:widowControl w:val="0"/>
              <w:spacing w:before="40" w:after="0" w:line="240" w:lineRule="auto"/>
              <w:ind w:left="-113" w:right="-57"/>
              <w:rPr>
                <w:rFonts w:ascii="Times New Roman" w:eastAsia="Times New Roman" w:hAnsi="Times New Roman" w:cs="Times New Roman"/>
                <w:b/>
                <w:bCs/>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в том числе:</w:t>
            </w:r>
          </w:p>
        </w:tc>
        <w:tc>
          <w:tcPr>
            <w:tcW w:w="1434" w:type="dxa"/>
            <w:tcBorders>
              <w:top w:val="single" w:sz="8" w:space="0" w:color="auto"/>
              <w:left w:val="single" w:sz="8" w:space="0" w:color="auto"/>
              <w:bottom w:val="nil"/>
              <w:right w:val="single" w:sz="8" w:space="0" w:color="auto"/>
            </w:tcBorders>
            <w:shd w:val="clear" w:color="000000" w:fill="FFFFFF"/>
            <w:vAlign w:val="center"/>
          </w:tcPr>
          <w:p w14:paraId="41E65411" w14:textId="069F7E82" w:rsidR="00C70785" w:rsidRPr="004032F4" w:rsidRDefault="00C70785" w:rsidP="00C70785">
            <w:pPr>
              <w:spacing w:before="40" w:after="0" w:line="240" w:lineRule="auto"/>
              <w:ind w:left="-113" w:right="-68"/>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118 714,4</w:t>
            </w:r>
          </w:p>
        </w:tc>
        <w:tc>
          <w:tcPr>
            <w:tcW w:w="1276" w:type="dxa"/>
            <w:tcBorders>
              <w:top w:val="single" w:sz="8" w:space="0" w:color="auto"/>
              <w:left w:val="nil"/>
              <w:bottom w:val="nil"/>
              <w:right w:val="single" w:sz="8" w:space="0" w:color="auto"/>
            </w:tcBorders>
            <w:shd w:val="clear" w:color="000000" w:fill="FFFFFF"/>
            <w:vAlign w:val="center"/>
          </w:tcPr>
          <w:p w14:paraId="3C33DF60" w14:textId="3076CB5F" w:rsidR="00C70785" w:rsidRPr="004032F4" w:rsidRDefault="00C70785" w:rsidP="00C70785">
            <w:pPr>
              <w:spacing w:before="40" w:after="0" w:line="240" w:lineRule="auto"/>
              <w:ind w:left="-113" w:right="-68"/>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123 026,2</w:t>
            </w:r>
          </w:p>
        </w:tc>
        <w:tc>
          <w:tcPr>
            <w:tcW w:w="1275" w:type="dxa"/>
            <w:tcBorders>
              <w:top w:val="single" w:sz="8" w:space="0" w:color="auto"/>
              <w:left w:val="nil"/>
              <w:bottom w:val="nil"/>
              <w:right w:val="single" w:sz="8" w:space="0" w:color="auto"/>
            </w:tcBorders>
            <w:shd w:val="clear" w:color="000000" w:fill="FFFFFF"/>
            <w:vAlign w:val="center"/>
            <w:hideMark/>
          </w:tcPr>
          <w:p w14:paraId="2D0D3F7E" w14:textId="30217661" w:rsidR="00C70785" w:rsidRPr="004032F4" w:rsidRDefault="00C70785" w:rsidP="00C70785">
            <w:pPr>
              <w:spacing w:before="40" w:after="0" w:line="240" w:lineRule="auto"/>
              <w:ind w:left="-113" w:right="-68"/>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125 721,0</w:t>
            </w:r>
          </w:p>
        </w:tc>
        <w:tc>
          <w:tcPr>
            <w:tcW w:w="1276" w:type="dxa"/>
            <w:tcBorders>
              <w:top w:val="single" w:sz="8" w:space="0" w:color="auto"/>
              <w:left w:val="nil"/>
              <w:bottom w:val="nil"/>
              <w:right w:val="single" w:sz="8" w:space="0" w:color="auto"/>
            </w:tcBorders>
            <w:shd w:val="clear" w:color="000000" w:fill="FFFFFF"/>
            <w:vAlign w:val="center"/>
            <w:hideMark/>
          </w:tcPr>
          <w:p w14:paraId="7049818A" w14:textId="0D380C85" w:rsidR="00C70785" w:rsidRPr="004032F4" w:rsidRDefault="00C70785" w:rsidP="00C70785">
            <w:pPr>
              <w:spacing w:before="40" w:after="0" w:line="240" w:lineRule="auto"/>
              <w:ind w:left="-113" w:right="-68"/>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135 655,9</w:t>
            </w:r>
          </w:p>
        </w:tc>
        <w:tc>
          <w:tcPr>
            <w:tcW w:w="1276" w:type="dxa"/>
            <w:tcBorders>
              <w:top w:val="single" w:sz="8" w:space="0" w:color="auto"/>
              <w:left w:val="nil"/>
              <w:bottom w:val="nil"/>
              <w:right w:val="single" w:sz="8" w:space="0" w:color="auto"/>
            </w:tcBorders>
            <w:shd w:val="clear" w:color="000000" w:fill="FFFFFF"/>
            <w:vAlign w:val="center"/>
          </w:tcPr>
          <w:p w14:paraId="7B4F40F3" w14:textId="77777777" w:rsidR="00C70785" w:rsidRPr="004032F4" w:rsidRDefault="00C70785" w:rsidP="00C70785">
            <w:pPr>
              <w:spacing w:before="40" w:after="0" w:line="240" w:lineRule="auto"/>
              <w:ind w:left="-113" w:right="-57"/>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7 006,6/</w:t>
            </w:r>
          </w:p>
          <w:p w14:paraId="1F2681B8" w14:textId="24DB3B9F" w:rsidR="00C70785" w:rsidRPr="004032F4" w:rsidRDefault="00C70785" w:rsidP="00C70785">
            <w:pPr>
              <w:spacing w:before="40" w:after="0" w:line="240" w:lineRule="auto"/>
              <w:ind w:left="-113" w:right="-57"/>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5,9%</w:t>
            </w:r>
          </w:p>
        </w:tc>
        <w:tc>
          <w:tcPr>
            <w:tcW w:w="1331" w:type="dxa"/>
            <w:tcBorders>
              <w:top w:val="single" w:sz="8" w:space="0" w:color="auto"/>
              <w:left w:val="nil"/>
              <w:bottom w:val="nil"/>
              <w:right w:val="single" w:sz="8" w:space="0" w:color="auto"/>
            </w:tcBorders>
            <w:shd w:val="clear" w:color="000000" w:fill="FFFFFF"/>
            <w:vAlign w:val="center"/>
          </w:tcPr>
          <w:p w14:paraId="098B1B8E" w14:textId="77777777" w:rsidR="00C70785" w:rsidRPr="004032F4" w:rsidRDefault="00C70785" w:rsidP="00C70785">
            <w:pPr>
              <w:spacing w:before="40" w:after="0" w:line="240" w:lineRule="auto"/>
              <w:ind w:left="-113" w:right="-57"/>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12 629,7/</w:t>
            </w:r>
          </w:p>
          <w:p w14:paraId="1626607D" w14:textId="50FEB7C5" w:rsidR="00C70785" w:rsidRPr="004032F4" w:rsidRDefault="00C70785" w:rsidP="00C70785">
            <w:pPr>
              <w:spacing w:before="40" w:after="0" w:line="240" w:lineRule="auto"/>
              <w:ind w:left="-113" w:right="-57"/>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10,3%</w:t>
            </w:r>
          </w:p>
        </w:tc>
      </w:tr>
      <w:tr w:rsidR="00C70785" w:rsidRPr="004032F4" w14:paraId="4A73F7DB" w14:textId="77777777" w:rsidTr="00533D2D">
        <w:trPr>
          <w:trHeight w:val="257"/>
          <w:jc w:val="center"/>
        </w:trPr>
        <w:tc>
          <w:tcPr>
            <w:tcW w:w="1680" w:type="dxa"/>
            <w:shd w:val="clear" w:color="auto" w:fill="auto"/>
            <w:hideMark/>
          </w:tcPr>
          <w:p w14:paraId="79428862" w14:textId="38ACD36E" w:rsidR="00C70785" w:rsidRPr="004032F4" w:rsidRDefault="00C70785" w:rsidP="0079375A">
            <w:pPr>
              <w:spacing w:after="0" w:line="240" w:lineRule="auto"/>
              <w:ind w:left="-113" w:right="-57"/>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налоговые и неналоговые</w:t>
            </w:r>
          </w:p>
        </w:tc>
        <w:tc>
          <w:tcPr>
            <w:tcW w:w="1434" w:type="dxa"/>
            <w:tcBorders>
              <w:top w:val="single" w:sz="8" w:space="0" w:color="auto"/>
              <w:left w:val="single" w:sz="8" w:space="0" w:color="auto"/>
              <w:bottom w:val="nil"/>
              <w:right w:val="single" w:sz="8" w:space="0" w:color="auto"/>
            </w:tcBorders>
            <w:shd w:val="clear" w:color="000000" w:fill="FFFFFF"/>
            <w:noWrap/>
            <w:vAlign w:val="center"/>
          </w:tcPr>
          <w:p w14:paraId="087712F0" w14:textId="2379DB08" w:rsidR="00C70785" w:rsidRPr="004032F4" w:rsidRDefault="00C70785" w:rsidP="00C70785">
            <w:pPr>
              <w:spacing w:before="40"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106 750,5</w:t>
            </w:r>
          </w:p>
        </w:tc>
        <w:tc>
          <w:tcPr>
            <w:tcW w:w="1276" w:type="dxa"/>
            <w:tcBorders>
              <w:top w:val="nil"/>
              <w:left w:val="nil"/>
              <w:bottom w:val="single" w:sz="8" w:space="0" w:color="auto"/>
              <w:right w:val="single" w:sz="8" w:space="0" w:color="auto"/>
            </w:tcBorders>
            <w:shd w:val="clear" w:color="000000" w:fill="FFFFFF"/>
            <w:noWrap/>
            <w:vAlign w:val="center"/>
          </w:tcPr>
          <w:p w14:paraId="5B1E3410" w14:textId="38AA5F9D" w:rsidR="00C70785" w:rsidRPr="004032F4" w:rsidRDefault="00C70785" w:rsidP="00C70785">
            <w:pPr>
              <w:spacing w:before="40"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113 107,8</w:t>
            </w:r>
          </w:p>
        </w:tc>
        <w:tc>
          <w:tcPr>
            <w:tcW w:w="1275" w:type="dxa"/>
            <w:tcBorders>
              <w:top w:val="single" w:sz="8" w:space="0" w:color="auto"/>
              <w:left w:val="nil"/>
              <w:bottom w:val="nil"/>
              <w:right w:val="single" w:sz="8" w:space="0" w:color="auto"/>
            </w:tcBorders>
            <w:shd w:val="clear" w:color="000000" w:fill="FFFFFF"/>
            <w:noWrap/>
            <w:vAlign w:val="center"/>
            <w:hideMark/>
          </w:tcPr>
          <w:p w14:paraId="30C03077" w14:textId="05B20CDC" w:rsidR="00C70785" w:rsidRPr="004032F4" w:rsidRDefault="00C70785" w:rsidP="00C70785">
            <w:pPr>
              <w:spacing w:before="40"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121 749,8</w:t>
            </w:r>
          </w:p>
        </w:tc>
        <w:tc>
          <w:tcPr>
            <w:tcW w:w="1276" w:type="dxa"/>
            <w:tcBorders>
              <w:top w:val="single" w:sz="8" w:space="0" w:color="auto"/>
              <w:left w:val="nil"/>
              <w:bottom w:val="nil"/>
              <w:right w:val="single" w:sz="8" w:space="0" w:color="auto"/>
            </w:tcBorders>
            <w:shd w:val="clear" w:color="000000" w:fill="FFFFFF"/>
            <w:noWrap/>
            <w:vAlign w:val="center"/>
            <w:hideMark/>
          </w:tcPr>
          <w:p w14:paraId="58101939" w14:textId="21EAA3A9" w:rsidR="00C70785" w:rsidRPr="004032F4" w:rsidRDefault="00C70785" w:rsidP="00C70785">
            <w:pPr>
              <w:spacing w:before="40"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132 453,5</w:t>
            </w:r>
          </w:p>
        </w:tc>
        <w:tc>
          <w:tcPr>
            <w:tcW w:w="1276" w:type="dxa"/>
            <w:tcBorders>
              <w:top w:val="single" w:sz="8" w:space="0" w:color="auto"/>
              <w:left w:val="nil"/>
              <w:bottom w:val="nil"/>
              <w:right w:val="single" w:sz="8" w:space="0" w:color="auto"/>
            </w:tcBorders>
            <w:shd w:val="clear" w:color="000000" w:fill="FFFFFF"/>
            <w:vAlign w:val="center"/>
          </w:tcPr>
          <w:p w14:paraId="56DCD742" w14:textId="77777777" w:rsidR="00C70785" w:rsidRPr="004032F4" w:rsidRDefault="00C70785" w:rsidP="00C70785">
            <w:pPr>
              <w:spacing w:before="40" w:after="0" w:line="240" w:lineRule="auto"/>
              <w:ind w:left="-113" w:right="-57"/>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14 999,3/</w:t>
            </w:r>
          </w:p>
          <w:p w14:paraId="5066F889" w14:textId="6C519730" w:rsidR="00C70785" w:rsidRPr="004032F4" w:rsidRDefault="00C70785" w:rsidP="00C70785">
            <w:pPr>
              <w:spacing w:before="40" w:after="0" w:line="240" w:lineRule="auto"/>
              <w:ind w:left="-113" w:right="-57"/>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14,1%</w:t>
            </w:r>
          </w:p>
        </w:tc>
        <w:tc>
          <w:tcPr>
            <w:tcW w:w="1331" w:type="dxa"/>
            <w:tcBorders>
              <w:top w:val="single" w:sz="8" w:space="0" w:color="auto"/>
              <w:left w:val="nil"/>
              <w:bottom w:val="nil"/>
              <w:right w:val="single" w:sz="8" w:space="0" w:color="auto"/>
            </w:tcBorders>
            <w:shd w:val="clear" w:color="000000" w:fill="FFFFFF"/>
            <w:vAlign w:val="center"/>
          </w:tcPr>
          <w:p w14:paraId="1122000E" w14:textId="77777777" w:rsidR="00C70785" w:rsidRPr="004032F4" w:rsidRDefault="00C70785" w:rsidP="00C70785">
            <w:pPr>
              <w:spacing w:before="40" w:after="0" w:line="240" w:lineRule="auto"/>
              <w:ind w:left="-113" w:right="-57"/>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19 345,7/</w:t>
            </w:r>
          </w:p>
          <w:p w14:paraId="183F2B7C" w14:textId="251562A2" w:rsidR="00C70785" w:rsidRPr="004032F4" w:rsidRDefault="00C70785" w:rsidP="00C70785">
            <w:pPr>
              <w:spacing w:before="40" w:after="0" w:line="240" w:lineRule="auto"/>
              <w:ind w:left="-113" w:right="-57"/>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17,1%</w:t>
            </w:r>
          </w:p>
        </w:tc>
      </w:tr>
      <w:tr w:rsidR="00C70785" w:rsidRPr="004032F4" w14:paraId="7FCDF83B" w14:textId="77777777" w:rsidTr="00533D2D">
        <w:trPr>
          <w:trHeight w:val="193"/>
          <w:jc w:val="center"/>
        </w:trPr>
        <w:tc>
          <w:tcPr>
            <w:tcW w:w="1680" w:type="dxa"/>
            <w:shd w:val="clear" w:color="auto" w:fill="auto"/>
            <w:hideMark/>
          </w:tcPr>
          <w:p w14:paraId="5DF87528" w14:textId="6068D70D" w:rsidR="00C70785" w:rsidRPr="004032F4" w:rsidRDefault="00C70785" w:rsidP="0079375A">
            <w:pPr>
              <w:spacing w:after="0" w:line="240" w:lineRule="auto"/>
              <w:ind w:left="-113" w:right="-57"/>
              <w:rPr>
                <w:rFonts w:ascii="Times New Roman" w:eastAsia="Times New Roman" w:hAnsi="Times New Roman" w:cs="Times New Roman"/>
                <w:color w:val="000000"/>
                <w:spacing w:val="-4"/>
                <w:sz w:val="18"/>
                <w:szCs w:val="18"/>
                <w:lang w:eastAsia="ru-RU"/>
              </w:rPr>
            </w:pPr>
            <w:r w:rsidRPr="004032F4">
              <w:rPr>
                <w:rFonts w:ascii="Times New Roman" w:eastAsia="Times New Roman" w:hAnsi="Times New Roman" w:cs="Times New Roman"/>
                <w:color w:val="000000"/>
                <w:spacing w:val="-4"/>
                <w:sz w:val="18"/>
                <w:szCs w:val="18"/>
                <w:lang w:eastAsia="ru-RU"/>
              </w:rPr>
              <w:t>безвозмездные поступления</w:t>
            </w:r>
          </w:p>
        </w:tc>
        <w:tc>
          <w:tcPr>
            <w:tcW w:w="1434" w:type="dxa"/>
            <w:tcBorders>
              <w:top w:val="single" w:sz="8" w:space="0" w:color="auto"/>
              <w:left w:val="single" w:sz="8" w:space="0" w:color="auto"/>
              <w:bottom w:val="nil"/>
              <w:right w:val="single" w:sz="8" w:space="0" w:color="auto"/>
            </w:tcBorders>
            <w:shd w:val="clear" w:color="000000" w:fill="FFFFFF"/>
            <w:noWrap/>
            <w:vAlign w:val="center"/>
          </w:tcPr>
          <w:p w14:paraId="1FB36F40" w14:textId="18D46C3C" w:rsidR="00C70785" w:rsidRPr="004032F4" w:rsidRDefault="00C70785" w:rsidP="00C70785">
            <w:pPr>
              <w:spacing w:before="40"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11 963,9</w:t>
            </w:r>
          </w:p>
        </w:tc>
        <w:tc>
          <w:tcPr>
            <w:tcW w:w="1276" w:type="dxa"/>
            <w:tcBorders>
              <w:top w:val="single" w:sz="8" w:space="0" w:color="auto"/>
              <w:left w:val="nil"/>
              <w:bottom w:val="nil"/>
              <w:right w:val="single" w:sz="8" w:space="0" w:color="auto"/>
            </w:tcBorders>
            <w:shd w:val="clear" w:color="000000" w:fill="FFFFFF"/>
            <w:noWrap/>
            <w:vAlign w:val="center"/>
          </w:tcPr>
          <w:p w14:paraId="41BFBD6C" w14:textId="12785472" w:rsidR="00C70785" w:rsidRPr="004032F4" w:rsidRDefault="00C70785" w:rsidP="00C70785">
            <w:pPr>
              <w:spacing w:before="40"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9 918,4</w:t>
            </w:r>
          </w:p>
        </w:tc>
        <w:tc>
          <w:tcPr>
            <w:tcW w:w="1275" w:type="dxa"/>
            <w:tcBorders>
              <w:top w:val="single" w:sz="8" w:space="0" w:color="auto"/>
              <w:left w:val="nil"/>
              <w:bottom w:val="nil"/>
              <w:right w:val="single" w:sz="8" w:space="0" w:color="auto"/>
            </w:tcBorders>
            <w:shd w:val="clear" w:color="000000" w:fill="FFFFFF"/>
            <w:noWrap/>
            <w:vAlign w:val="center"/>
          </w:tcPr>
          <w:p w14:paraId="73D2A389" w14:textId="66FA2CC9" w:rsidR="00C70785" w:rsidRPr="004032F4" w:rsidRDefault="00C70785" w:rsidP="00C70785">
            <w:pPr>
              <w:spacing w:before="40"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3 971,2</w:t>
            </w:r>
          </w:p>
        </w:tc>
        <w:tc>
          <w:tcPr>
            <w:tcW w:w="1276" w:type="dxa"/>
            <w:tcBorders>
              <w:top w:val="single" w:sz="8" w:space="0" w:color="auto"/>
              <w:left w:val="nil"/>
              <w:bottom w:val="nil"/>
              <w:right w:val="single" w:sz="8" w:space="0" w:color="auto"/>
            </w:tcBorders>
            <w:shd w:val="clear" w:color="000000" w:fill="FFFFFF"/>
            <w:noWrap/>
            <w:vAlign w:val="center"/>
          </w:tcPr>
          <w:p w14:paraId="72D8ADA9" w14:textId="3F6AC097" w:rsidR="00C70785" w:rsidRPr="004032F4" w:rsidRDefault="00C70785" w:rsidP="00C70785">
            <w:pPr>
              <w:spacing w:before="40"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3 202,4</w:t>
            </w:r>
          </w:p>
        </w:tc>
        <w:tc>
          <w:tcPr>
            <w:tcW w:w="1276" w:type="dxa"/>
            <w:tcBorders>
              <w:top w:val="single" w:sz="8" w:space="0" w:color="auto"/>
              <w:left w:val="nil"/>
              <w:bottom w:val="nil"/>
              <w:right w:val="single" w:sz="8" w:space="0" w:color="auto"/>
            </w:tcBorders>
            <w:shd w:val="clear" w:color="000000" w:fill="FFFFFF"/>
            <w:vAlign w:val="center"/>
          </w:tcPr>
          <w:p w14:paraId="4667AD38" w14:textId="77777777" w:rsidR="00C70785" w:rsidRPr="004032F4" w:rsidRDefault="00C70785" w:rsidP="00C70785">
            <w:pPr>
              <w:spacing w:before="40" w:after="0" w:line="240" w:lineRule="auto"/>
              <w:ind w:left="-113" w:right="-57"/>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-7 992,7/</w:t>
            </w:r>
          </w:p>
          <w:p w14:paraId="5E3DC6B5" w14:textId="126D1816" w:rsidR="00C70785" w:rsidRPr="004032F4" w:rsidRDefault="00C70785" w:rsidP="00C70785">
            <w:pPr>
              <w:spacing w:before="40" w:after="0" w:line="240" w:lineRule="auto"/>
              <w:ind w:left="-113" w:right="-57"/>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-66,8%</w:t>
            </w:r>
          </w:p>
        </w:tc>
        <w:tc>
          <w:tcPr>
            <w:tcW w:w="1331" w:type="dxa"/>
            <w:tcBorders>
              <w:top w:val="single" w:sz="8" w:space="0" w:color="auto"/>
              <w:left w:val="nil"/>
              <w:bottom w:val="nil"/>
              <w:right w:val="single" w:sz="8" w:space="0" w:color="auto"/>
            </w:tcBorders>
            <w:shd w:val="clear" w:color="000000" w:fill="FFFFFF"/>
            <w:vAlign w:val="center"/>
          </w:tcPr>
          <w:p w14:paraId="7E41B631" w14:textId="77777777" w:rsidR="00C70785" w:rsidRPr="004032F4" w:rsidRDefault="00C70785" w:rsidP="00C70785">
            <w:pPr>
              <w:spacing w:before="40" w:after="0" w:line="240" w:lineRule="auto"/>
              <w:ind w:left="-113" w:right="-57"/>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-6 716,0/</w:t>
            </w:r>
          </w:p>
          <w:p w14:paraId="3EE55A82" w14:textId="44A51D5E" w:rsidR="00C70785" w:rsidRPr="004032F4" w:rsidRDefault="00C70785" w:rsidP="00C70785">
            <w:pPr>
              <w:spacing w:before="40" w:after="0" w:line="240" w:lineRule="auto"/>
              <w:ind w:left="-113" w:right="-57"/>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-67,7%</w:t>
            </w:r>
          </w:p>
        </w:tc>
      </w:tr>
      <w:tr w:rsidR="00C70785" w:rsidRPr="004032F4" w14:paraId="55BD4BFE" w14:textId="77777777" w:rsidTr="00533D2D">
        <w:trPr>
          <w:trHeight w:val="212"/>
          <w:jc w:val="center"/>
        </w:trPr>
        <w:tc>
          <w:tcPr>
            <w:tcW w:w="1680" w:type="dxa"/>
            <w:tcBorders>
              <w:bottom w:val="single" w:sz="4" w:space="0" w:color="auto"/>
            </w:tcBorders>
            <w:shd w:val="clear" w:color="auto" w:fill="auto"/>
            <w:hideMark/>
          </w:tcPr>
          <w:p w14:paraId="1BB8D976" w14:textId="39F76A77" w:rsidR="00C70785" w:rsidRPr="004032F4" w:rsidRDefault="00C70785" w:rsidP="0079375A">
            <w:pPr>
              <w:spacing w:after="0" w:line="240" w:lineRule="auto"/>
              <w:ind w:left="-113" w:right="-113"/>
              <w:rPr>
                <w:rFonts w:ascii="Times New Roman" w:eastAsia="Times New Roman" w:hAnsi="Times New Roman" w:cs="Times New Roman"/>
                <w:b/>
                <w:bCs/>
                <w:color w:val="000000"/>
                <w:spacing w:val="-4"/>
                <w:sz w:val="18"/>
                <w:szCs w:val="18"/>
                <w:lang w:eastAsia="ru-RU"/>
              </w:rPr>
            </w:pPr>
            <w:r w:rsidRPr="004032F4">
              <w:rPr>
                <w:rFonts w:ascii="Times New Roman" w:eastAsia="Times New Roman" w:hAnsi="Times New Roman" w:cs="Times New Roman"/>
                <w:b/>
                <w:bCs/>
                <w:color w:val="000000"/>
                <w:spacing w:val="-4"/>
                <w:sz w:val="18"/>
                <w:szCs w:val="18"/>
                <w:lang w:eastAsia="ru-RU"/>
              </w:rPr>
              <w:t>Расходы,</w:t>
            </w:r>
          </w:p>
        </w:tc>
        <w:tc>
          <w:tcPr>
            <w:tcW w:w="1434" w:type="dxa"/>
            <w:tcBorders>
              <w:top w:val="single" w:sz="4" w:space="0" w:color="auto"/>
              <w:left w:val="single" w:sz="4" w:space="0" w:color="auto"/>
              <w:bottom w:val="single" w:sz="4" w:space="0" w:color="auto"/>
              <w:right w:val="single" w:sz="4" w:space="0" w:color="auto"/>
            </w:tcBorders>
            <w:shd w:val="clear" w:color="000000" w:fill="FFFFFF"/>
          </w:tcPr>
          <w:p w14:paraId="1D7B383F" w14:textId="5231A092" w:rsidR="00C70785" w:rsidRPr="004032F4" w:rsidRDefault="00C70785" w:rsidP="00C70785">
            <w:pPr>
              <w:spacing w:before="40" w:after="0" w:line="240" w:lineRule="auto"/>
              <w:ind w:left="-113" w:right="-68"/>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120 247,6</w:t>
            </w:r>
          </w:p>
        </w:tc>
        <w:tc>
          <w:tcPr>
            <w:tcW w:w="1276" w:type="dxa"/>
            <w:tcBorders>
              <w:top w:val="single" w:sz="4" w:space="0" w:color="auto"/>
              <w:left w:val="nil"/>
              <w:bottom w:val="single" w:sz="4" w:space="0" w:color="auto"/>
              <w:right w:val="single" w:sz="4" w:space="0" w:color="auto"/>
            </w:tcBorders>
            <w:shd w:val="clear" w:color="000000" w:fill="FFFFFF"/>
          </w:tcPr>
          <w:p w14:paraId="1B297B17" w14:textId="292E6A8B" w:rsidR="00C70785" w:rsidRPr="004032F4" w:rsidRDefault="00C70785" w:rsidP="00C70785">
            <w:pPr>
              <w:spacing w:before="40" w:after="0" w:line="240" w:lineRule="auto"/>
              <w:ind w:left="-113" w:right="-68"/>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122 588,2</w:t>
            </w:r>
          </w:p>
        </w:tc>
        <w:tc>
          <w:tcPr>
            <w:tcW w:w="1275" w:type="dxa"/>
            <w:tcBorders>
              <w:top w:val="single" w:sz="4" w:space="0" w:color="auto"/>
              <w:left w:val="nil"/>
              <w:bottom w:val="single" w:sz="4" w:space="0" w:color="auto"/>
              <w:right w:val="single" w:sz="4" w:space="0" w:color="auto"/>
            </w:tcBorders>
            <w:shd w:val="clear" w:color="000000" w:fill="FFFFFF"/>
            <w:hideMark/>
          </w:tcPr>
          <w:p w14:paraId="2163EFA8" w14:textId="2350A246" w:rsidR="00C70785" w:rsidRPr="004032F4" w:rsidRDefault="00C70785" w:rsidP="00C70785">
            <w:pPr>
              <w:spacing w:before="40" w:after="0" w:line="240" w:lineRule="auto"/>
              <w:ind w:left="-113" w:right="-68"/>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132 289,9</w:t>
            </w:r>
          </w:p>
        </w:tc>
        <w:tc>
          <w:tcPr>
            <w:tcW w:w="1276" w:type="dxa"/>
            <w:tcBorders>
              <w:top w:val="single" w:sz="4" w:space="0" w:color="auto"/>
              <w:left w:val="nil"/>
              <w:bottom w:val="single" w:sz="4" w:space="0" w:color="auto"/>
              <w:right w:val="single" w:sz="4" w:space="0" w:color="auto"/>
            </w:tcBorders>
            <w:shd w:val="clear" w:color="000000" w:fill="FFFFFF"/>
            <w:hideMark/>
          </w:tcPr>
          <w:p w14:paraId="11EDD2C1" w14:textId="05CD1F20" w:rsidR="00C70785" w:rsidRPr="004032F4" w:rsidRDefault="00C70785" w:rsidP="00C70785">
            <w:pPr>
              <w:spacing w:before="40" w:after="0" w:line="240" w:lineRule="auto"/>
              <w:ind w:left="-113" w:right="-68"/>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131 102,6</w:t>
            </w:r>
          </w:p>
        </w:tc>
        <w:tc>
          <w:tcPr>
            <w:tcW w:w="1276" w:type="dxa"/>
            <w:tcBorders>
              <w:top w:val="single" w:sz="4" w:space="0" w:color="auto"/>
              <w:left w:val="nil"/>
              <w:bottom w:val="single" w:sz="4" w:space="0" w:color="auto"/>
              <w:right w:val="single" w:sz="4" w:space="0" w:color="auto"/>
            </w:tcBorders>
            <w:shd w:val="clear" w:color="000000" w:fill="FFFFFF"/>
          </w:tcPr>
          <w:p w14:paraId="0D647C4A" w14:textId="1EB98EFC" w:rsidR="00C70785" w:rsidRPr="004032F4" w:rsidRDefault="00C70785" w:rsidP="00C70785">
            <w:pPr>
              <w:spacing w:before="40" w:after="0" w:line="240" w:lineRule="auto"/>
              <w:ind w:left="-113" w:right="-57"/>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12 042,</w:t>
            </w:r>
            <w:r w:rsidR="0022028E" w:rsidRPr="004032F4">
              <w:rPr>
                <w:rFonts w:ascii="Times New Roman" w:hAnsi="Times New Roman" w:cs="Times New Roman"/>
                <w:b/>
                <w:bCs/>
                <w:color w:val="000000"/>
                <w:sz w:val="18"/>
                <w:szCs w:val="18"/>
              </w:rPr>
              <w:t>3</w:t>
            </w:r>
            <w:r w:rsidRPr="004032F4">
              <w:rPr>
                <w:rFonts w:ascii="Times New Roman" w:hAnsi="Times New Roman" w:cs="Times New Roman"/>
                <w:b/>
                <w:bCs/>
                <w:color w:val="000000"/>
                <w:sz w:val="18"/>
                <w:szCs w:val="18"/>
              </w:rPr>
              <w:t>/</w:t>
            </w:r>
          </w:p>
          <w:p w14:paraId="7FADF459" w14:textId="3D4E0977" w:rsidR="00C70785" w:rsidRPr="004032F4" w:rsidRDefault="00C70785" w:rsidP="00C70785">
            <w:pPr>
              <w:spacing w:before="40" w:after="0" w:line="240" w:lineRule="auto"/>
              <w:ind w:left="-113" w:right="-57"/>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10%</w:t>
            </w:r>
          </w:p>
        </w:tc>
        <w:tc>
          <w:tcPr>
            <w:tcW w:w="1331" w:type="dxa"/>
            <w:tcBorders>
              <w:top w:val="single" w:sz="4" w:space="0" w:color="auto"/>
              <w:left w:val="nil"/>
              <w:bottom w:val="single" w:sz="4" w:space="0" w:color="auto"/>
              <w:right w:val="single" w:sz="4" w:space="0" w:color="auto"/>
            </w:tcBorders>
            <w:shd w:val="clear" w:color="000000" w:fill="FFFFFF"/>
          </w:tcPr>
          <w:p w14:paraId="75CDE47B" w14:textId="77777777" w:rsidR="00C70785" w:rsidRPr="004032F4" w:rsidRDefault="00C70785" w:rsidP="00C70785">
            <w:pPr>
              <w:spacing w:before="40" w:after="0" w:line="240" w:lineRule="auto"/>
              <w:ind w:left="-113" w:right="-57"/>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8 514,4/</w:t>
            </w:r>
          </w:p>
          <w:p w14:paraId="13E1BA85" w14:textId="5EBBA597" w:rsidR="00C70785" w:rsidRPr="004032F4" w:rsidRDefault="00C70785" w:rsidP="00C70785">
            <w:pPr>
              <w:spacing w:before="40" w:after="0" w:line="240" w:lineRule="auto"/>
              <w:ind w:left="-113" w:right="-57"/>
              <w:jc w:val="right"/>
              <w:rPr>
                <w:rFonts w:ascii="Times New Roman" w:hAnsi="Times New Roman" w:cs="Times New Roman"/>
                <w:b/>
                <w:bCs/>
                <w:color w:val="000000"/>
                <w:sz w:val="18"/>
                <w:szCs w:val="18"/>
              </w:rPr>
            </w:pPr>
            <w:r w:rsidRPr="004032F4">
              <w:rPr>
                <w:rFonts w:ascii="Times New Roman" w:hAnsi="Times New Roman" w:cs="Times New Roman"/>
                <w:b/>
                <w:bCs/>
                <w:color w:val="000000"/>
                <w:sz w:val="18"/>
                <w:szCs w:val="18"/>
              </w:rPr>
              <w:t>6,9%</w:t>
            </w:r>
          </w:p>
        </w:tc>
      </w:tr>
      <w:tr w:rsidR="00C70785" w:rsidRPr="004032F4" w14:paraId="72B88714" w14:textId="77777777" w:rsidTr="00533D2D">
        <w:trPr>
          <w:trHeight w:val="195"/>
          <w:jc w:val="center"/>
        </w:trPr>
        <w:tc>
          <w:tcPr>
            <w:tcW w:w="1680" w:type="dxa"/>
            <w:tcBorders>
              <w:top w:val="single" w:sz="4" w:space="0" w:color="auto"/>
              <w:bottom w:val="nil"/>
              <w:right w:val="single" w:sz="4" w:space="0" w:color="auto"/>
            </w:tcBorders>
            <w:shd w:val="clear" w:color="auto" w:fill="auto"/>
            <w:hideMark/>
          </w:tcPr>
          <w:p w14:paraId="5A193AA5" w14:textId="76C3431C" w:rsidR="00C70785" w:rsidRPr="004032F4" w:rsidRDefault="00C70785" w:rsidP="0079375A">
            <w:pPr>
              <w:spacing w:after="0" w:line="240" w:lineRule="auto"/>
              <w:ind w:left="-113" w:right="-57"/>
              <w:rPr>
                <w:rFonts w:ascii="Times New Roman" w:eastAsia="Times New Roman" w:hAnsi="Times New Roman" w:cs="Times New Roman"/>
                <w:b/>
                <w:bCs/>
                <w:color w:val="000000"/>
                <w:spacing w:val="-4"/>
                <w:sz w:val="18"/>
                <w:szCs w:val="18"/>
                <w:lang w:eastAsia="ru-RU"/>
              </w:rPr>
            </w:pPr>
            <w:r w:rsidRPr="004032F4">
              <w:rPr>
                <w:rFonts w:ascii="Times New Roman" w:eastAsia="Times New Roman" w:hAnsi="Times New Roman" w:cs="Times New Roman"/>
                <w:b/>
                <w:bCs/>
                <w:color w:val="000000"/>
                <w:spacing w:val="-4"/>
                <w:sz w:val="18"/>
                <w:szCs w:val="18"/>
                <w:lang w:eastAsia="ru-RU"/>
              </w:rPr>
              <w:t>Дефицит (- профицит)</w:t>
            </w:r>
          </w:p>
        </w:tc>
        <w:tc>
          <w:tcPr>
            <w:tcW w:w="1434" w:type="dxa"/>
            <w:tcBorders>
              <w:top w:val="single" w:sz="4" w:space="0" w:color="auto"/>
              <w:left w:val="single" w:sz="4" w:space="0" w:color="auto"/>
              <w:bottom w:val="nil"/>
              <w:right w:val="single" w:sz="4" w:space="0" w:color="auto"/>
            </w:tcBorders>
            <w:shd w:val="clear" w:color="auto" w:fill="auto"/>
            <w:vAlign w:val="center"/>
          </w:tcPr>
          <w:p w14:paraId="14EBB0F3" w14:textId="7F109D9A" w:rsidR="00C70785" w:rsidRPr="004032F4" w:rsidRDefault="00C70785" w:rsidP="00C70785">
            <w:pPr>
              <w:spacing w:before="40"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1 533,2</w:t>
            </w:r>
          </w:p>
        </w:tc>
        <w:tc>
          <w:tcPr>
            <w:tcW w:w="1276" w:type="dxa"/>
            <w:tcBorders>
              <w:top w:val="single" w:sz="4" w:space="0" w:color="auto"/>
              <w:left w:val="single" w:sz="4" w:space="0" w:color="auto"/>
              <w:bottom w:val="nil"/>
              <w:right w:val="single" w:sz="4" w:space="0" w:color="auto"/>
            </w:tcBorders>
            <w:shd w:val="clear" w:color="auto" w:fill="auto"/>
            <w:vAlign w:val="center"/>
          </w:tcPr>
          <w:p w14:paraId="30F0080F" w14:textId="7C73540D" w:rsidR="00C70785" w:rsidRPr="004032F4" w:rsidRDefault="00C70785" w:rsidP="00C70785">
            <w:pPr>
              <w:spacing w:before="40"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-438,0</w:t>
            </w:r>
          </w:p>
        </w:tc>
        <w:tc>
          <w:tcPr>
            <w:tcW w:w="1275" w:type="dxa"/>
            <w:tcBorders>
              <w:top w:val="single" w:sz="4" w:space="0" w:color="auto"/>
              <w:left w:val="single" w:sz="4" w:space="0" w:color="auto"/>
              <w:bottom w:val="nil"/>
              <w:right w:val="single" w:sz="4" w:space="0" w:color="auto"/>
            </w:tcBorders>
            <w:shd w:val="clear" w:color="auto" w:fill="auto"/>
            <w:vAlign w:val="center"/>
          </w:tcPr>
          <w:p w14:paraId="0372009E" w14:textId="2BA8BB79" w:rsidR="00C70785" w:rsidRPr="004032F4" w:rsidRDefault="00C70785" w:rsidP="00C70785">
            <w:pPr>
              <w:spacing w:before="40"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6 568,9</w:t>
            </w:r>
          </w:p>
        </w:tc>
        <w:tc>
          <w:tcPr>
            <w:tcW w:w="1276" w:type="dxa"/>
            <w:tcBorders>
              <w:top w:val="single" w:sz="4" w:space="0" w:color="auto"/>
              <w:left w:val="single" w:sz="4" w:space="0" w:color="auto"/>
              <w:bottom w:val="nil"/>
              <w:right w:val="single" w:sz="4" w:space="0" w:color="auto"/>
            </w:tcBorders>
            <w:shd w:val="clear" w:color="auto" w:fill="auto"/>
            <w:vAlign w:val="center"/>
          </w:tcPr>
          <w:p w14:paraId="478E66B8" w14:textId="6D0A67D9" w:rsidR="00C70785" w:rsidRPr="004032F4" w:rsidRDefault="00C70785" w:rsidP="00C70785">
            <w:pPr>
              <w:spacing w:before="40"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-4 553,3</w:t>
            </w:r>
          </w:p>
        </w:tc>
        <w:tc>
          <w:tcPr>
            <w:tcW w:w="1276" w:type="dxa"/>
            <w:tcBorders>
              <w:top w:val="single" w:sz="8" w:space="0" w:color="auto"/>
              <w:left w:val="single" w:sz="4" w:space="0" w:color="auto"/>
              <w:bottom w:val="nil"/>
              <w:right w:val="single" w:sz="8" w:space="0" w:color="auto"/>
            </w:tcBorders>
            <w:shd w:val="clear" w:color="000000" w:fill="FFFFFF"/>
            <w:vAlign w:val="center"/>
          </w:tcPr>
          <w:p w14:paraId="62B84038" w14:textId="71EC9BB2" w:rsidR="00C70785" w:rsidRPr="004032F4" w:rsidRDefault="00C70785" w:rsidP="0022028E">
            <w:pPr>
              <w:spacing w:before="40" w:after="0" w:line="240" w:lineRule="auto"/>
              <w:ind w:left="-113" w:right="-57"/>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5 035,</w:t>
            </w:r>
            <w:r w:rsidR="0022028E" w:rsidRPr="004032F4">
              <w:rPr>
                <w:rFonts w:ascii="Times New Roman" w:hAnsi="Times New Roman" w:cs="Times New Roman"/>
                <w:color w:val="000000"/>
                <w:sz w:val="18"/>
                <w:szCs w:val="18"/>
              </w:rPr>
              <w:t>7</w:t>
            </w:r>
          </w:p>
        </w:tc>
        <w:tc>
          <w:tcPr>
            <w:tcW w:w="1331" w:type="dxa"/>
            <w:tcBorders>
              <w:top w:val="single" w:sz="8" w:space="0" w:color="auto"/>
              <w:left w:val="nil"/>
              <w:bottom w:val="nil"/>
              <w:right w:val="single" w:sz="8" w:space="0" w:color="auto"/>
            </w:tcBorders>
            <w:shd w:val="clear" w:color="000000" w:fill="FFFFFF"/>
            <w:vAlign w:val="center"/>
          </w:tcPr>
          <w:p w14:paraId="658D245A" w14:textId="6513F1CB" w:rsidR="00C70785" w:rsidRPr="004032F4" w:rsidRDefault="00C70785" w:rsidP="00C70785">
            <w:pPr>
              <w:spacing w:before="40" w:after="0" w:line="240" w:lineRule="auto"/>
              <w:ind w:left="-113" w:right="-57"/>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-4 115,3</w:t>
            </w:r>
          </w:p>
        </w:tc>
      </w:tr>
      <w:tr w:rsidR="0022028E" w:rsidRPr="004032F4" w14:paraId="0BE3FDA9" w14:textId="77777777" w:rsidTr="00533D2D">
        <w:trPr>
          <w:trHeight w:val="212"/>
          <w:jc w:val="center"/>
        </w:trPr>
        <w:tc>
          <w:tcPr>
            <w:tcW w:w="1680" w:type="dxa"/>
            <w:tcBorders>
              <w:top w:val="nil"/>
              <w:bottom w:val="single" w:sz="4" w:space="0" w:color="auto"/>
            </w:tcBorders>
            <w:shd w:val="clear" w:color="auto" w:fill="auto"/>
            <w:vAlign w:val="center"/>
          </w:tcPr>
          <w:p w14:paraId="2C230A2B" w14:textId="309C900A" w:rsidR="0022028E" w:rsidRPr="004032F4" w:rsidRDefault="0022028E" w:rsidP="0022028E">
            <w:pPr>
              <w:spacing w:before="40" w:after="0" w:line="240" w:lineRule="auto"/>
              <w:ind w:left="-113" w:right="-57"/>
              <w:rPr>
                <w:rFonts w:ascii="Times New Roman" w:eastAsia="Times New Roman" w:hAnsi="Times New Roman" w:cs="Times New Roman"/>
                <w:b/>
                <w:bCs/>
                <w:color w:val="000000"/>
                <w:spacing w:val="-4"/>
                <w:sz w:val="18"/>
                <w:szCs w:val="18"/>
                <w:lang w:eastAsia="ru-RU"/>
              </w:rPr>
            </w:pPr>
            <w:r w:rsidRPr="004032F4">
              <w:rPr>
                <w:rFonts w:ascii="Times New Roman" w:eastAsia="Times New Roman" w:hAnsi="Times New Roman" w:cs="Times New Roman"/>
                <w:b/>
                <w:bCs/>
                <w:color w:val="000000"/>
                <w:spacing w:val="-4"/>
                <w:sz w:val="18"/>
                <w:szCs w:val="18"/>
                <w:lang w:eastAsia="ru-RU"/>
              </w:rPr>
              <w:t>%</w:t>
            </w:r>
          </w:p>
        </w:tc>
        <w:tc>
          <w:tcPr>
            <w:tcW w:w="1434" w:type="dxa"/>
            <w:tcBorders>
              <w:top w:val="nil"/>
              <w:left w:val="single" w:sz="4" w:space="0" w:color="auto"/>
              <w:bottom w:val="single" w:sz="4" w:space="0" w:color="auto"/>
              <w:right w:val="single" w:sz="4" w:space="0" w:color="auto"/>
            </w:tcBorders>
            <w:vAlign w:val="center"/>
          </w:tcPr>
          <w:p w14:paraId="5749EFDB" w14:textId="2387C81C" w:rsidR="0022028E" w:rsidRPr="004032F4" w:rsidRDefault="0022028E" w:rsidP="0079375A">
            <w:pPr>
              <w:spacing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1,4%</w:t>
            </w:r>
          </w:p>
        </w:tc>
        <w:tc>
          <w:tcPr>
            <w:tcW w:w="1276" w:type="dxa"/>
            <w:tcBorders>
              <w:top w:val="nil"/>
              <w:left w:val="single" w:sz="4" w:space="0" w:color="auto"/>
              <w:bottom w:val="single" w:sz="4" w:space="0" w:color="auto"/>
              <w:right w:val="single" w:sz="4" w:space="0" w:color="auto"/>
            </w:tcBorders>
            <w:vAlign w:val="center"/>
          </w:tcPr>
          <w:p w14:paraId="4A839566" w14:textId="7F3A6761" w:rsidR="0022028E" w:rsidRPr="004032F4" w:rsidRDefault="0022028E" w:rsidP="0079375A">
            <w:pPr>
              <w:spacing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х</w:t>
            </w:r>
          </w:p>
        </w:tc>
        <w:tc>
          <w:tcPr>
            <w:tcW w:w="1275" w:type="dxa"/>
            <w:tcBorders>
              <w:top w:val="nil"/>
              <w:left w:val="single" w:sz="4" w:space="0" w:color="auto"/>
              <w:bottom w:val="single" w:sz="4" w:space="0" w:color="auto"/>
              <w:right w:val="single" w:sz="4" w:space="0" w:color="auto"/>
            </w:tcBorders>
            <w:vAlign w:val="center"/>
          </w:tcPr>
          <w:p w14:paraId="35075906" w14:textId="651DCFC9" w:rsidR="0022028E" w:rsidRPr="004032F4" w:rsidRDefault="0022028E" w:rsidP="0079375A">
            <w:pPr>
              <w:spacing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5,4%</w:t>
            </w:r>
          </w:p>
        </w:tc>
        <w:tc>
          <w:tcPr>
            <w:tcW w:w="1276" w:type="dxa"/>
            <w:tcBorders>
              <w:top w:val="nil"/>
              <w:left w:val="single" w:sz="4" w:space="0" w:color="auto"/>
              <w:bottom w:val="single" w:sz="4" w:space="0" w:color="auto"/>
              <w:right w:val="single" w:sz="4" w:space="0" w:color="auto"/>
            </w:tcBorders>
            <w:vAlign w:val="center"/>
          </w:tcPr>
          <w:p w14:paraId="75EF1564" w14:textId="05F71A43" w:rsidR="0022028E" w:rsidRPr="004032F4" w:rsidRDefault="0022028E" w:rsidP="0079375A">
            <w:pPr>
              <w:spacing w:after="0" w:line="240" w:lineRule="auto"/>
              <w:ind w:left="-57" w:right="-57"/>
              <w:jc w:val="right"/>
              <w:rPr>
                <w:rFonts w:ascii="Times New Roman" w:eastAsia="Times New Roman" w:hAnsi="Times New Roman" w:cs="Times New Roman"/>
                <w:b/>
                <w:bCs/>
                <w:color w:val="000000"/>
                <w:spacing w:val="-4"/>
                <w:sz w:val="18"/>
                <w:szCs w:val="18"/>
                <w:lang w:eastAsia="ru-RU"/>
              </w:rPr>
            </w:pPr>
            <w:r w:rsidRPr="004032F4">
              <w:rPr>
                <w:rFonts w:ascii="Times New Roman" w:hAnsi="Times New Roman" w:cs="Times New Roman"/>
                <w:sz w:val="18"/>
                <w:szCs w:val="18"/>
              </w:rPr>
              <w:t>х</w:t>
            </w:r>
          </w:p>
        </w:tc>
        <w:tc>
          <w:tcPr>
            <w:tcW w:w="1276" w:type="dxa"/>
            <w:tcBorders>
              <w:top w:val="nil"/>
              <w:left w:val="single" w:sz="8" w:space="0" w:color="auto"/>
              <w:bottom w:val="single" w:sz="8" w:space="0" w:color="auto"/>
              <w:right w:val="single" w:sz="8" w:space="0" w:color="auto"/>
            </w:tcBorders>
            <w:shd w:val="clear" w:color="000000" w:fill="FFFFFF"/>
            <w:vAlign w:val="center"/>
          </w:tcPr>
          <w:p w14:paraId="701491D7" w14:textId="105F1B65" w:rsidR="0022028E" w:rsidRPr="004032F4" w:rsidRDefault="0022028E" w:rsidP="0079375A">
            <w:pPr>
              <w:spacing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х</w:t>
            </w:r>
          </w:p>
        </w:tc>
        <w:tc>
          <w:tcPr>
            <w:tcW w:w="1331" w:type="dxa"/>
            <w:tcBorders>
              <w:top w:val="nil"/>
              <w:left w:val="nil"/>
              <w:bottom w:val="single" w:sz="8" w:space="0" w:color="auto"/>
              <w:right w:val="single" w:sz="8" w:space="0" w:color="auto"/>
            </w:tcBorders>
            <w:shd w:val="clear" w:color="000000" w:fill="FFFFFF"/>
            <w:vAlign w:val="center"/>
          </w:tcPr>
          <w:p w14:paraId="602BD054" w14:textId="3B0795B6" w:rsidR="0022028E" w:rsidRPr="004032F4" w:rsidRDefault="0022028E" w:rsidP="0079375A">
            <w:pPr>
              <w:spacing w:after="0" w:line="240" w:lineRule="auto"/>
              <w:ind w:left="-113" w:right="-68"/>
              <w:jc w:val="right"/>
              <w:rPr>
                <w:rFonts w:ascii="Times New Roman" w:hAnsi="Times New Roman" w:cs="Times New Roman"/>
                <w:color w:val="000000"/>
                <w:sz w:val="18"/>
                <w:szCs w:val="18"/>
              </w:rPr>
            </w:pPr>
            <w:r w:rsidRPr="004032F4">
              <w:rPr>
                <w:rFonts w:ascii="Times New Roman" w:hAnsi="Times New Roman" w:cs="Times New Roman"/>
                <w:color w:val="000000"/>
                <w:sz w:val="18"/>
                <w:szCs w:val="18"/>
              </w:rPr>
              <w:t>х</w:t>
            </w:r>
          </w:p>
        </w:tc>
      </w:tr>
    </w:tbl>
    <w:p w14:paraId="3941FFD5" w14:textId="77777777" w:rsidR="0022028E" w:rsidRPr="004032F4" w:rsidRDefault="00770E19" w:rsidP="0047604B">
      <w:pPr>
        <w:pStyle w:val="af8"/>
        <w:spacing w:before="120"/>
        <w:rPr>
          <w:spacing w:val="-4"/>
        </w:rPr>
      </w:pPr>
      <w:r w:rsidRPr="004032F4">
        <w:rPr>
          <w:spacing w:val="-4"/>
        </w:rPr>
        <w:t>Анализ параметров бюджета</w:t>
      </w:r>
      <w:r w:rsidR="00DF15BE" w:rsidRPr="004032F4">
        <w:rPr>
          <w:spacing w:val="-4"/>
        </w:rPr>
        <w:t xml:space="preserve"> области </w:t>
      </w:r>
      <w:r w:rsidRPr="004032F4">
        <w:rPr>
          <w:spacing w:val="-4"/>
        </w:rPr>
        <w:t>согласно представленно</w:t>
      </w:r>
      <w:r w:rsidR="00195658" w:rsidRPr="004032F4">
        <w:rPr>
          <w:spacing w:val="-4"/>
        </w:rPr>
        <w:t>му</w:t>
      </w:r>
      <w:r w:rsidRPr="004032F4">
        <w:rPr>
          <w:spacing w:val="-4"/>
        </w:rPr>
        <w:t xml:space="preserve"> Законопроект</w:t>
      </w:r>
      <w:r w:rsidR="00195658" w:rsidRPr="004032F4">
        <w:rPr>
          <w:spacing w:val="-4"/>
        </w:rPr>
        <w:t>у</w:t>
      </w:r>
      <w:r w:rsidRPr="004032F4">
        <w:rPr>
          <w:spacing w:val="-4"/>
        </w:rPr>
        <w:t xml:space="preserve"> и действующе</w:t>
      </w:r>
      <w:r w:rsidR="00195658" w:rsidRPr="004032F4">
        <w:rPr>
          <w:spacing w:val="-4"/>
        </w:rPr>
        <w:t>му</w:t>
      </w:r>
      <w:r w:rsidRPr="004032F4">
        <w:rPr>
          <w:spacing w:val="-4"/>
        </w:rPr>
        <w:t xml:space="preserve"> Закон</w:t>
      </w:r>
      <w:r w:rsidR="00195658" w:rsidRPr="004032F4">
        <w:rPr>
          <w:spacing w:val="-4"/>
        </w:rPr>
        <w:t>у</w:t>
      </w:r>
      <w:r w:rsidRPr="004032F4">
        <w:rPr>
          <w:spacing w:val="-4"/>
        </w:rPr>
        <w:t xml:space="preserve"> о бюджете области на 202</w:t>
      </w:r>
      <w:r w:rsidR="00547B3B" w:rsidRPr="004032F4">
        <w:rPr>
          <w:spacing w:val="-4"/>
        </w:rPr>
        <w:t>4</w:t>
      </w:r>
      <w:r w:rsidRPr="004032F4">
        <w:rPr>
          <w:spacing w:val="-4"/>
        </w:rPr>
        <w:t xml:space="preserve"> год в части планового периода </w:t>
      </w:r>
      <w:r w:rsidR="00933509" w:rsidRPr="004032F4">
        <w:rPr>
          <w:spacing w:val="-4"/>
        </w:rPr>
        <w:t>2025</w:t>
      </w:r>
      <w:r w:rsidRPr="004032F4">
        <w:rPr>
          <w:spacing w:val="-4"/>
        </w:rPr>
        <w:t xml:space="preserve"> и </w:t>
      </w:r>
      <w:r w:rsidR="00933509" w:rsidRPr="004032F4">
        <w:rPr>
          <w:spacing w:val="-4"/>
        </w:rPr>
        <w:t>2026</w:t>
      </w:r>
      <w:r w:rsidRPr="004032F4">
        <w:rPr>
          <w:spacing w:val="-4"/>
        </w:rPr>
        <w:t xml:space="preserve"> годов позволяет отметить</w:t>
      </w:r>
      <w:r w:rsidR="0022028E" w:rsidRPr="004032F4">
        <w:rPr>
          <w:spacing w:val="-4"/>
        </w:rPr>
        <w:t>, что в представленном З</w:t>
      </w:r>
      <w:r w:rsidR="0063736B" w:rsidRPr="004032F4">
        <w:rPr>
          <w:spacing w:val="-4"/>
        </w:rPr>
        <w:t xml:space="preserve">аконопроекте все </w:t>
      </w:r>
      <w:r w:rsidR="000F688B" w:rsidRPr="004032F4">
        <w:rPr>
          <w:spacing w:val="-4"/>
        </w:rPr>
        <w:t xml:space="preserve">основные </w:t>
      </w:r>
      <w:r w:rsidR="0063736B" w:rsidRPr="004032F4">
        <w:rPr>
          <w:spacing w:val="-4"/>
        </w:rPr>
        <w:t xml:space="preserve">параметры бюджета </w:t>
      </w:r>
      <w:r w:rsidR="000F688B" w:rsidRPr="004032F4">
        <w:rPr>
          <w:spacing w:val="-4"/>
        </w:rPr>
        <w:t xml:space="preserve">(доходы, расходы, дефицит) </w:t>
      </w:r>
      <w:r w:rsidR="0063736B" w:rsidRPr="004032F4">
        <w:rPr>
          <w:spacing w:val="-4"/>
        </w:rPr>
        <w:t>выше</w:t>
      </w:r>
      <w:r w:rsidR="00C247A2" w:rsidRPr="004032F4">
        <w:rPr>
          <w:spacing w:val="-4"/>
        </w:rPr>
        <w:t xml:space="preserve"> </w:t>
      </w:r>
      <w:r w:rsidR="0063736B" w:rsidRPr="004032F4">
        <w:rPr>
          <w:spacing w:val="-4"/>
        </w:rPr>
        <w:t>параметров</w:t>
      </w:r>
      <w:r w:rsidR="00C247A2" w:rsidRPr="004032F4">
        <w:rPr>
          <w:spacing w:val="-4"/>
        </w:rPr>
        <w:t>, утвержденны</w:t>
      </w:r>
      <w:r w:rsidR="0063736B" w:rsidRPr="004032F4">
        <w:rPr>
          <w:spacing w:val="-4"/>
        </w:rPr>
        <w:t>х</w:t>
      </w:r>
      <w:r w:rsidR="00C247A2" w:rsidRPr="004032F4">
        <w:rPr>
          <w:spacing w:val="-4"/>
        </w:rPr>
        <w:t xml:space="preserve"> </w:t>
      </w:r>
      <w:r w:rsidR="00547B3B" w:rsidRPr="004032F4">
        <w:rPr>
          <w:spacing w:val="-4"/>
        </w:rPr>
        <w:t>в предыдущем бюджетном цикле</w:t>
      </w:r>
      <w:r w:rsidR="0022028E" w:rsidRPr="004032F4">
        <w:rPr>
          <w:spacing w:val="-4"/>
        </w:rPr>
        <w:t>, т.е. в действующем Законе о бюджете области на 2024 год</w:t>
      </w:r>
      <w:r w:rsidR="00547B3B" w:rsidRPr="004032F4">
        <w:rPr>
          <w:spacing w:val="-4"/>
        </w:rPr>
        <w:t xml:space="preserve">: </w:t>
      </w:r>
    </w:p>
    <w:p w14:paraId="48B7CCA6" w14:textId="34006C7D" w:rsidR="0063736B" w:rsidRPr="004032F4" w:rsidRDefault="00C247A2" w:rsidP="0022028E">
      <w:pPr>
        <w:pStyle w:val="af8"/>
        <w:spacing w:before="40"/>
        <w:rPr>
          <w:spacing w:val="-4"/>
        </w:rPr>
      </w:pPr>
      <w:r w:rsidRPr="004032F4">
        <w:rPr>
          <w:spacing w:val="-4"/>
        </w:rPr>
        <w:t xml:space="preserve">доходы </w:t>
      </w:r>
      <w:r w:rsidR="00DE3B80" w:rsidRPr="004032F4">
        <w:rPr>
          <w:spacing w:val="-4"/>
        </w:rPr>
        <w:t>на</w:t>
      </w:r>
      <w:r w:rsidRPr="004032F4">
        <w:rPr>
          <w:spacing w:val="-4"/>
        </w:rPr>
        <w:t xml:space="preserve"> </w:t>
      </w:r>
      <w:r w:rsidR="00933509" w:rsidRPr="004032F4">
        <w:rPr>
          <w:spacing w:val="-4"/>
        </w:rPr>
        <w:t>2025</w:t>
      </w:r>
      <w:r w:rsidR="00DE3B80" w:rsidRPr="004032F4">
        <w:rPr>
          <w:spacing w:val="-4"/>
        </w:rPr>
        <w:t xml:space="preserve"> год</w:t>
      </w:r>
      <w:r w:rsidRPr="004032F4">
        <w:rPr>
          <w:spacing w:val="-4"/>
        </w:rPr>
        <w:t xml:space="preserve"> </w:t>
      </w:r>
      <w:r w:rsidR="0063736B" w:rsidRPr="004032F4">
        <w:rPr>
          <w:spacing w:val="-4"/>
        </w:rPr>
        <w:t>увеличены</w:t>
      </w:r>
      <w:r w:rsidRPr="004032F4">
        <w:rPr>
          <w:spacing w:val="-4"/>
        </w:rPr>
        <w:t xml:space="preserve"> на </w:t>
      </w:r>
      <w:r w:rsidR="00547B3B" w:rsidRPr="004032F4">
        <w:rPr>
          <w:spacing w:val="-4"/>
        </w:rPr>
        <w:t>7 006,6</w:t>
      </w:r>
      <w:r w:rsidRPr="004032F4">
        <w:rPr>
          <w:spacing w:val="-4"/>
        </w:rPr>
        <w:t xml:space="preserve"> млн. рублей, или на </w:t>
      </w:r>
      <w:r w:rsidR="00547B3B" w:rsidRPr="004032F4">
        <w:rPr>
          <w:spacing w:val="-4"/>
        </w:rPr>
        <w:t>5</w:t>
      </w:r>
      <w:r w:rsidR="0063736B" w:rsidRPr="004032F4">
        <w:rPr>
          <w:spacing w:val="-4"/>
        </w:rPr>
        <w:t>,9</w:t>
      </w:r>
      <w:r w:rsidRPr="004032F4">
        <w:rPr>
          <w:spacing w:val="-4"/>
        </w:rPr>
        <w:t>%</w:t>
      </w:r>
      <w:r w:rsidR="00547B3B" w:rsidRPr="004032F4">
        <w:rPr>
          <w:spacing w:val="-4"/>
        </w:rPr>
        <w:t xml:space="preserve"> </w:t>
      </w:r>
      <w:r w:rsidR="00547B3B" w:rsidRPr="004032F4">
        <w:rPr>
          <w:spacing w:val="-4"/>
          <w:sz w:val="24"/>
          <w:szCs w:val="24"/>
        </w:rPr>
        <w:t>(в основном за счет налоговых и неналоговых доходов, объем по безвозмездным поступлениям меньше ввиду отсутствия распределения бюджетам субъектов РФ дотаций и отдельных межбюджетных трансфертов из федерального бюджета),</w:t>
      </w:r>
      <w:r w:rsidR="00547B3B" w:rsidRPr="004032F4">
        <w:rPr>
          <w:spacing w:val="-4"/>
        </w:rPr>
        <w:t xml:space="preserve"> </w:t>
      </w:r>
      <w:r w:rsidR="0063736B" w:rsidRPr="004032F4">
        <w:rPr>
          <w:spacing w:val="-4"/>
        </w:rPr>
        <w:t xml:space="preserve">расходы </w:t>
      </w:r>
      <w:r w:rsidR="0022028E" w:rsidRPr="004032F4">
        <w:rPr>
          <w:spacing w:val="-4"/>
        </w:rPr>
        <w:t>увеличены</w:t>
      </w:r>
      <w:r w:rsidR="0063736B" w:rsidRPr="004032F4">
        <w:rPr>
          <w:spacing w:val="-4"/>
        </w:rPr>
        <w:t xml:space="preserve"> на </w:t>
      </w:r>
      <w:r w:rsidR="0022028E" w:rsidRPr="004032F4">
        <w:rPr>
          <w:spacing w:val="-4"/>
        </w:rPr>
        <w:t>12 042,2</w:t>
      </w:r>
      <w:r w:rsidR="0063736B" w:rsidRPr="004032F4">
        <w:rPr>
          <w:spacing w:val="-4"/>
        </w:rPr>
        <w:t xml:space="preserve"> млн. рублей, или на </w:t>
      </w:r>
      <w:r w:rsidR="0022028E" w:rsidRPr="004032F4">
        <w:rPr>
          <w:spacing w:val="-4"/>
        </w:rPr>
        <w:t>10</w:t>
      </w:r>
      <w:r w:rsidR="0063736B" w:rsidRPr="004032F4">
        <w:rPr>
          <w:spacing w:val="-4"/>
        </w:rPr>
        <w:t xml:space="preserve">%, дефицит </w:t>
      </w:r>
      <w:r w:rsidR="0022028E" w:rsidRPr="004032F4">
        <w:rPr>
          <w:spacing w:val="-4"/>
        </w:rPr>
        <w:t>увеличен</w:t>
      </w:r>
      <w:r w:rsidR="0063736B" w:rsidRPr="004032F4">
        <w:rPr>
          <w:spacing w:val="-4"/>
        </w:rPr>
        <w:t xml:space="preserve"> на </w:t>
      </w:r>
      <w:r w:rsidR="0022028E" w:rsidRPr="004032F4">
        <w:rPr>
          <w:spacing w:val="-4"/>
        </w:rPr>
        <w:t>5 035,7</w:t>
      </w:r>
      <w:r w:rsidR="0063736B" w:rsidRPr="004032F4">
        <w:rPr>
          <w:spacing w:val="-4"/>
        </w:rPr>
        <w:t xml:space="preserve"> млн. рублей</w:t>
      </w:r>
      <w:r w:rsidR="0022028E" w:rsidRPr="004032F4">
        <w:rPr>
          <w:spacing w:val="-4"/>
        </w:rPr>
        <w:t>.</w:t>
      </w:r>
    </w:p>
    <w:p w14:paraId="6735184D" w14:textId="183F50FB" w:rsidR="0063736B" w:rsidRPr="004032F4" w:rsidRDefault="0022028E" w:rsidP="0022028E">
      <w:pPr>
        <w:pStyle w:val="af8"/>
        <w:spacing w:before="40"/>
        <w:rPr>
          <w:spacing w:val="-4"/>
        </w:rPr>
      </w:pPr>
      <w:r w:rsidRPr="004032F4">
        <w:rPr>
          <w:spacing w:val="-4"/>
        </w:rPr>
        <w:t xml:space="preserve">доходы на 2026 год увеличены на 12 629,7 млн. рублей, или на 10,3% </w:t>
      </w:r>
      <w:r w:rsidRPr="004032F4">
        <w:rPr>
          <w:spacing w:val="-4"/>
          <w:sz w:val="24"/>
          <w:szCs w:val="24"/>
        </w:rPr>
        <w:t>(в основном за счет налоговых и неналоговых доходов, объем по безвозмездным поступлениям меньше ввиду отсутствия распределения бюджетам субъектов РФ дотаций и отдельных межбюджетных трансфертов из федерального бюджета),</w:t>
      </w:r>
      <w:r w:rsidRPr="004032F4">
        <w:rPr>
          <w:spacing w:val="-4"/>
        </w:rPr>
        <w:t xml:space="preserve"> расходы увеличены на 8 514,4 млн. рублей, или на 6,9%. </w:t>
      </w:r>
      <w:r w:rsidR="000F688B" w:rsidRPr="004032F4">
        <w:rPr>
          <w:spacing w:val="-4"/>
        </w:rPr>
        <w:t>Б</w:t>
      </w:r>
      <w:r w:rsidR="0063736B" w:rsidRPr="004032F4">
        <w:rPr>
          <w:spacing w:val="-4"/>
        </w:rPr>
        <w:t xml:space="preserve">юджет на </w:t>
      </w:r>
      <w:r w:rsidR="00933509" w:rsidRPr="004032F4">
        <w:rPr>
          <w:spacing w:val="-4"/>
        </w:rPr>
        <w:t>2026</w:t>
      </w:r>
      <w:r w:rsidR="0063736B" w:rsidRPr="004032F4">
        <w:rPr>
          <w:spacing w:val="-4"/>
        </w:rPr>
        <w:t xml:space="preserve"> год спрогнозирован с профицитом.</w:t>
      </w:r>
    </w:p>
    <w:p w14:paraId="5116495B" w14:textId="651F7475" w:rsidR="00E70D2C" w:rsidRPr="004032F4" w:rsidRDefault="0047178B" w:rsidP="0022028E">
      <w:pPr>
        <w:widowControl w:val="0"/>
        <w:spacing w:before="240"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 xml:space="preserve">Во исполнение пункта 3 статьи 173 БК РФ прогноз социально-экономического развития одобрен высшим исполнительным органом государственной власти субъекта РФ (Распоряжение </w:t>
      </w:r>
      <w:r w:rsidR="00275E9C" w:rsidRPr="004032F4">
        <w:rPr>
          <w:rFonts w:ascii="Times New Roman" w:hAnsi="Times New Roman" w:cs="Times New Roman"/>
          <w:sz w:val="28"/>
          <w:szCs w:val="28"/>
        </w:rPr>
        <w:t>П</w:t>
      </w:r>
      <w:r w:rsidRPr="004032F4">
        <w:rPr>
          <w:rFonts w:ascii="Times New Roman" w:hAnsi="Times New Roman" w:cs="Times New Roman"/>
          <w:sz w:val="28"/>
          <w:szCs w:val="28"/>
        </w:rPr>
        <w:t xml:space="preserve">равительства Тульской области от </w:t>
      </w:r>
      <w:r w:rsidR="002F7FB1" w:rsidRPr="004032F4">
        <w:rPr>
          <w:rFonts w:ascii="Times New Roman" w:hAnsi="Times New Roman" w:cs="Times New Roman"/>
          <w:sz w:val="28"/>
          <w:szCs w:val="28"/>
        </w:rPr>
        <w:t>1</w:t>
      </w:r>
      <w:r w:rsidR="000E5541" w:rsidRPr="004032F4">
        <w:rPr>
          <w:rFonts w:ascii="Times New Roman" w:hAnsi="Times New Roman" w:cs="Times New Roman"/>
          <w:sz w:val="28"/>
          <w:szCs w:val="28"/>
        </w:rPr>
        <w:t>6</w:t>
      </w:r>
      <w:r w:rsidR="002F7FB1" w:rsidRPr="004032F4">
        <w:rPr>
          <w:rFonts w:ascii="Times New Roman" w:hAnsi="Times New Roman" w:cs="Times New Roman"/>
          <w:sz w:val="28"/>
          <w:szCs w:val="28"/>
        </w:rPr>
        <w:t>.09.202</w:t>
      </w:r>
      <w:r w:rsidR="000E5541" w:rsidRPr="004032F4">
        <w:rPr>
          <w:rFonts w:ascii="Times New Roman" w:hAnsi="Times New Roman" w:cs="Times New Roman"/>
          <w:sz w:val="28"/>
          <w:szCs w:val="28"/>
        </w:rPr>
        <w:t>4</w:t>
      </w:r>
      <w:r w:rsidR="00275E9C" w:rsidRPr="004032F4">
        <w:rPr>
          <w:rFonts w:ascii="Times New Roman" w:hAnsi="Times New Roman" w:cs="Times New Roman"/>
          <w:sz w:val="28"/>
          <w:szCs w:val="28"/>
        </w:rPr>
        <w:t xml:space="preserve"> №</w:t>
      </w:r>
      <w:r w:rsidR="000E5541" w:rsidRPr="004032F4">
        <w:rPr>
          <w:rFonts w:ascii="Times New Roman" w:hAnsi="Times New Roman" w:cs="Times New Roman"/>
          <w:sz w:val="28"/>
          <w:szCs w:val="28"/>
        </w:rPr>
        <w:t>3</w:t>
      </w:r>
      <w:r w:rsidR="002F7FB1" w:rsidRPr="004032F4">
        <w:rPr>
          <w:rFonts w:ascii="Times New Roman" w:hAnsi="Times New Roman" w:cs="Times New Roman"/>
          <w:sz w:val="28"/>
          <w:szCs w:val="28"/>
        </w:rPr>
        <w:t>91</w:t>
      </w:r>
      <w:r w:rsidR="00275E9C" w:rsidRPr="004032F4">
        <w:rPr>
          <w:rFonts w:ascii="Times New Roman" w:hAnsi="Times New Roman" w:cs="Times New Roman"/>
          <w:sz w:val="28"/>
          <w:szCs w:val="28"/>
        </w:rPr>
        <w:t xml:space="preserve">-р </w:t>
      </w:r>
      <w:r w:rsidRPr="004032F4">
        <w:rPr>
          <w:rFonts w:ascii="Times New Roman" w:hAnsi="Times New Roman" w:cs="Times New Roman"/>
          <w:sz w:val="28"/>
          <w:szCs w:val="28"/>
        </w:rPr>
        <w:t>«Об одобрении прогноза социально-</w:t>
      </w:r>
      <w:r w:rsidRPr="004032F4">
        <w:rPr>
          <w:rFonts w:ascii="Times New Roman" w:hAnsi="Times New Roman" w:cs="Times New Roman"/>
          <w:sz w:val="28"/>
          <w:szCs w:val="28"/>
        </w:rPr>
        <w:lastRenderedPageBreak/>
        <w:t xml:space="preserve">экономического развития Тульской области </w:t>
      </w:r>
      <w:r w:rsidR="00734051" w:rsidRPr="004032F4">
        <w:rPr>
          <w:rFonts w:ascii="Times New Roman" w:hAnsi="Times New Roman" w:cs="Times New Roman"/>
          <w:sz w:val="28"/>
          <w:szCs w:val="28"/>
        </w:rPr>
        <w:t xml:space="preserve">на </w:t>
      </w:r>
      <w:r w:rsidR="00933509" w:rsidRPr="004032F4">
        <w:rPr>
          <w:rFonts w:ascii="Times New Roman" w:hAnsi="Times New Roman" w:cs="Times New Roman"/>
          <w:sz w:val="28"/>
          <w:szCs w:val="28"/>
        </w:rPr>
        <w:t>2025</w:t>
      </w:r>
      <w:r w:rsidR="00734051" w:rsidRPr="004032F4">
        <w:rPr>
          <w:rFonts w:ascii="Times New Roman" w:hAnsi="Times New Roman" w:cs="Times New Roman"/>
          <w:sz w:val="28"/>
          <w:szCs w:val="28"/>
        </w:rPr>
        <w:t xml:space="preserve"> год и на плановый период </w:t>
      </w:r>
      <w:r w:rsidR="00933509" w:rsidRPr="004032F4">
        <w:rPr>
          <w:rFonts w:ascii="Times New Roman" w:hAnsi="Times New Roman" w:cs="Times New Roman"/>
          <w:sz w:val="28"/>
          <w:szCs w:val="28"/>
        </w:rPr>
        <w:t>2026</w:t>
      </w:r>
      <w:r w:rsidR="00734051" w:rsidRPr="004032F4">
        <w:rPr>
          <w:rFonts w:ascii="Times New Roman" w:hAnsi="Times New Roman" w:cs="Times New Roman"/>
          <w:sz w:val="28"/>
          <w:szCs w:val="28"/>
        </w:rPr>
        <w:t xml:space="preserve"> и </w:t>
      </w:r>
      <w:r w:rsidR="00933509" w:rsidRPr="004032F4">
        <w:rPr>
          <w:rFonts w:ascii="Times New Roman" w:hAnsi="Times New Roman" w:cs="Times New Roman"/>
          <w:sz w:val="28"/>
          <w:szCs w:val="28"/>
        </w:rPr>
        <w:t>2027</w:t>
      </w:r>
      <w:r w:rsidR="002F7FB1" w:rsidRPr="004032F4">
        <w:rPr>
          <w:rFonts w:ascii="Times New Roman" w:hAnsi="Times New Roman" w:cs="Times New Roman"/>
          <w:sz w:val="28"/>
          <w:szCs w:val="28"/>
        </w:rPr>
        <w:t xml:space="preserve"> </w:t>
      </w:r>
      <w:r w:rsidRPr="004032F4">
        <w:rPr>
          <w:rFonts w:ascii="Times New Roman" w:hAnsi="Times New Roman" w:cs="Times New Roman"/>
          <w:sz w:val="28"/>
          <w:szCs w:val="28"/>
        </w:rPr>
        <w:t xml:space="preserve">годов»). Прогноз социально-экономического развития Тульской области </w:t>
      </w:r>
      <w:r w:rsidR="00734051" w:rsidRPr="004032F4">
        <w:rPr>
          <w:rFonts w:ascii="Times New Roman" w:hAnsi="Times New Roman" w:cs="Times New Roman"/>
          <w:sz w:val="28"/>
          <w:szCs w:val="28"/>
        </w:rPr>
        <w:t>на 202</w:t>
      </w:r>
      <w:r w:rsidR="000E5541" w:rsidRPr="004032F4">
        <w:rPr>
          <w:rFonts w:ascii="Times New Roman" w:hAnsi="Times New Roman" w:cs="Times New Roman"/>
          <w:sz w:val="28"/>
          <w:szCs w:val="28"/>
        </w:rPr>
        <w:t>5</w:t>
      </w:r>
      <w:r w:rsidR="00734051" w:rsidRPr="004032F4">
        <w:rPr>
          <w:rFonts w:ascii="Times New Roman" w:hAnsi="Times New Roman" w:cs="Times New Roman"/>
          <w:sz w:val="28"/>
          <w:szCs w:val="28"/>
        </w:rPr>
        <w:t xml:space="preserve"> год и на плановый период </w:t>
      </w:r>
      <w:r w:rsidR="00933509" w:rsidRPr="004032F4">
        <w:rPr>
          <w:rFonts w:ascii="Times New Roman" w:hAnsi="Times New Roman" w:cs="Times New Roman"/>
          <w:sz w:val="28"/>
          <w:szCs w:val="28"/>
        </w:rPr>
        <w:t>202</w:t>
      </w:r>
      <w:r w:rsidR="000E5541" w:rsidRPr="004032F4">
        <w:rPr>
          <w:rFonts w:ascii="Times New Roman" w:hAnsi="Times New Roman" w:cs="Times New Roman"/>
          <w:sz w:val="28"/>
          <w:szCs w:val="28"/>
        </w:rPr>
        <w:t>6</w:t>
      </w:r>
      <w:r w:rsidR="00734051" w:rsidRPr="004032F4">
        <w:rPr>
          <w:rFonts w:ascii="Times New Roman" w:hAnsi="Times New Roman" w:cs="Times New Roman"/>
          <w:sz w:val="28"/>
          <w:szCs w:val="28"/>
        </w:rPr>
        <w:t xml:space="preserve"> и </w:t>
      </w:r>
      <w:r w:rsidR="00933509" w:rsidRPr="004032F4">
        <w:rPr>
          <w:rFonts w:ascii="Times New Roman" w:hAnsi="Times New Roman" w:cs="Times New Roman"/>
          <w:sz w:val="28"/>
          <w:szCs w:val="28"/>
        </w:rPr>
        <w:t>202</w:t>
      </w:r>
      <w:r w:rsidR="000E5541" w:rsidRPr="004032F4">
        <w:rPr>
          <w:rFonts w:ascii="Times New Roman" w:hAnsi="Times New Roman" w:cs="Times New Roman"/>
          <w:sz w:val="28"/>
          <w:szCs w:val="28"/>
        </w:rPr>
        <w:t>7</w:t>
      </w:r>
      <w:r w:rsidR="009359DF" w:rsidRPr="004032F4">
        <w:rPr>
          <w:rFonts w:ascii="Times New Roman" w:hAnsi="Times New Roman" w:cs="Times New Roman"/>
          <w:sz w:val="28"/>
          <w:szCs w:val="28"/>
        </w:rPr>
        <w:t xml:space="preserve"> </w:t>
      </w:r>
      <w:r w:rsidRPr="004032F4">
        <w:rPr>
          <w:rFonts w:ascii="Times New Roman" w:hAnsi="Times New Roman" w:cs="Times New Roman"/>
          <w:sz w:val="28"/>
          <w:szCs w:val="28"/>
        </w:rPr>
        <w:t xml:space="preserve">годов содержит 2 варианта: 1 </w:t>
      </w:r>
      <w:r w:rsidR="0079375A" w:rsidRPr="004032F4">
        <w:rPr>
          <w:rFonts w:ascii="Times New Roman" w:hAnsi="Times New Roman" w:cs="Times New Roman"/>
          <w:sz w:val="28"/>
          <w:szCs w:val="28"/>
        </w:rPr>
        <w:t>–</w:t>
      </w:r>
      <w:r w:rsidRPr="004032F4">
        <w:rPr>
          <w:rFonts w:ascii="Times New Roman" w:hAnsi="Times New Roman" w:cs="Times New Roman"/>
          <w:sz w:val="28"/>
          <w:szCs w:val="28"/>
        </w:rPr>
        <w:t xml:space="preserve"> консервативный; 2 – базовый.</w:t>
      </w:r>
      <w:r w:rsidR="00275E9C" w:rsidRPr="004032F4">
        <w:rPr>
          <w:rFonts w:ascii="Times New Roman" w:hAnsi="Times New Roman" w:cs="Times New Roman"/>
          <w:sz w:val="28"/>
          <w:szCs w:val="28"/>
        </w:rPr>
        <w:t xml:space="preserve"> </w:t>
      </w:r>
    </w:p>
    <w:p w14:paraId="122BBAD9" w14:textId="2EC49ED4" w:rsidR="00E30346" w:rsidRPr="004032F4" w:rsidRDefault="0047178B" w:rsidP="000F688B">
      <w:pPr>
        <w:widowControl w:val="0"/>
        <w:spacing w:before="120"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 xml:space="preserve">В соответствии со статьей 184.2 БК РФ </w:t>
      </w:r>
      <w:r w:rsidR="00510227" w:rsidRPr="004032F4">
        <w:rPr>
          <w:rFonts w:ascii="Times New Roman" w:hAnsi="Times New Roman" w:cs="Times New Roman"/>
          <w:sz w:val="28"/>
          <w:szCs w:val="28"/>
        </w:rPr>
        <w:t>одновременно с проектом закона о бюджете в законодательный орган представлен</w:t>
      </w:r>
      <w:r w:rsidR="00CD4A2B" w:rsidRPr="004032F4">
        <w:rPr>
          <w:rFonts w:ascii="Times New Roman" w:hAnsi="Times New Roman" w:cs="Times New Roman"/>
          <w:sz w:val="28"/>
          <w:szCs w:val="28"/>
        </w:rPr>
        <w:t>ы</w:t>
      </w:r>
      <w:r w:rsidR="00510227" w:rsidRPr="004032F4">
        <w:rPr>
          <w:rFonts w:ascii="Times New Roman" w:hAnsi="Times New Roman" w:cs="Times New Roman"/>
          <w:sz w:val="28"/>
          <w:szCs w:val="28"/>
        </w:rPr>
        <w:t xml:space="preserve"> </w:t>
      </w:r>
      <w:r w:rsidR="00CD4A2B" w:rsidRPr="004032F4">
        <w:rPr>
          <w:rFonts w:ascii="Times New Roman" w:hAnsi="Times New Roman" w:cs="Times New Roman"/>
          <w:sz w:val="28"/>
          <w:szCs w:val="28"/>
        </w:rPr>
        <w:t>предварительные итоги социально-экономического развития Тульской области за истекший период текущего финансового года и ожидаемые итоги социально-экономического развития Тульской области за 2024 год</w:t>
      </w:r>
      <w:r w:rsidR="00CD4A2B" w:rsidRPr="004032F4">
        <w:rPr>
          <w:rStyle w:val="a5"/>
          <w:rFonts w:ascii="Times New Roman" w:hAnsi="Times New Roman" w:cs="Times New Roman"/>
          <w:sz w:val="28"/>
          <w:szCs w:val="28"/>
        </w:rPr>
        <w:footnoteReference w:id="2"/>
      </w:r>
      <w:r w:rsidR="00CD4A2B" w:rsidRPr="004032F4">
        <w:rPr>
          <w:rFonts w:ascii="Times New Roman" w:hAnsi="Times New Roman" w:cs="Times New Roman"/>
          <w:sz w:val="28"/>
          <w:szCs w:val="28"/>
        </w:rPr>
        <w:t xml:space="preserve"> и </w:t>
      </w:r>
      <w:r w:rsidR="003776C6" w:rsidRPr="004032F4">
        <w:rPr>
          <w:rFonts w:ascii="Times New Roman" w:hAnsi="Times New Roman" w:cs="Times New Roman"/>
          <w:sz w:val="28"/>
          <w:szCs w:val="28"/>
        </w:rPr>
        <w:t>П</w:t>
      </w:r>
      <w:r w:rsidR="00E30346" w:rsidRPr="004032F4">
        <w:rPr>
          <w:rFonts w:ascii="Times New Roman" w:hAnsi="Times New Roman" w:cs="Times New Roman"/>
          <w:sz w:val="28"/>
          <w:szCs w:val="28"/>
        </w:rPr>
        <w:t xml:space="preserve">рогноз социально-экономического развития </w:t>
      </w:r>
      <w:r w:rsidR="001A202E" w:rsidRPr="004032F4">
        <w:rPr>
          <w:rFonts w:ascii="Times New Roman" w:hAnsi="Times New Roman" w:cs="Times New Roman"/>
          <w:sz w:val="28"/>
          <w:szCs w:val="28"/>
        </w:rPr>
        <w:t xml:space="preserve">Тульской области </w:t>
      </w:r>
      <w:r w:rsidR="00734051" w:rsidRPr="004032F4">
        <w:rPr>
          <w:rFonts w:ascii="Times New Roman" w:hAnsi="Times New Roman" w:cs="Times New Roman"/>
          <w:sz w:val="28"/>
          <w:szCs w:val="28"/>
        </w:rPr>
        <w:t xml:space="preserve">на </w:t>
      </w:r>
      <w:r w:rsidR="00933509" w:rsidRPr="004032F4">
        <w:rPr>
          <w:rFonts w:ascii="Times New Roman" w:hAnsi="Times New Roman" w:cs="Times New Roman"/>
          <w:sz w:val="28"/>
          <w:szCs w:val="28"/>
        </w:rPr>
        <w:t>2025</w:t>
      </w:r>
      <w:r w:rsidR="00734051" w:rsidRPr="004032F4">
        <w:rPr>
          <w:rFonts w:ascii="Times New Roman" w:hAnsi="Times New Roman" w:cs="Times New Roman"/>
          <w:sz w:val="28"/>
          <w:szCs w:val="28"/>
        </w:rPr>
        <w:t xml:space="preserve"> год и на плановый период </w:t>
      </w:r>
      <w:r w:rsidR="00933509" w:rsidRPr="004032F4">
        <w:rPr>
          <w:rFonts w:ascii="Times New Roman" w:hAnsi="Times New Roman" w:cs="Times New Roman"/>
          <w:sz w:val="28"/>
          <w:szCs w:val="28"/>
        </w:rPr>
        <w:t>2026</w:t>
      </w:r>
      <w:r w:rsidR="00734051" w:rsidRPr="004032F4">
        <w:rPr>
          <w:rFonts w:ascii="Times New Roman" w:hAnsi="Times New Roman" w:cs="Times New Roman"/>
          <w:sz w:val="28"/>
          <w:szCs w:val="28"/>
        </w:rPr>
        <w:t xml:space="preserve"> и </w:t>
      </w:r>
      <w:r w:rsidR="00933509" w:rsidRPr="004032F4">
        <w:rPr>
          <w:rFonts w:ascii="Times New Roman" w:hAnsi="Times New Roman" w:cs="Times New Roman"/>
          <w:sz w:val="28"/>
          <w:szCs w:val="28"/>
        </w:rPr>
        <w:t>2027</w:t>
      </w:r>
      <w:r w:rsidR="009359DF" w:rsidRPr="004032F4">
        <w:rPr>
          <w:rFonts w:ascii="Times New Roman" w:hAnsi="Times New Roman" w:cs="Times New Roman"/>
          <w:sz w:val="28"/>
          <w:szCs w:val="28"/>
        </w:rPr>
        <w:t xml:space="preserve"> </w:t>
      </w:r>
      <w:r w:rsidR="00184269" w:rsidRPr="004032F4">
        <w:rPr>
          <w:rFonts w:ascii="Times New Roman" w:hAnsi="Times New Roman" w:cs="Times New Roman"/>
          <w:sz w:val="28"/>
          <w:szCs w:val="28"/>
        </w:rPr>
        <w:t>годов (далее – прогноз социально-экономического развития Тульской области</w:t>
      </w:r>
      <w:r w:rsidR="001A69A8" w:rsidRPr="004032F4">
        <w:rPr>
          <w:rFonts w:ascii="Times New Roman" w:hAnsi="Times New Roman" w:cs="Times New Roman"/>
          <w:sz w:val="28"/>
          <w:szCs w:val="28"/>
        </w:rPr>
        <w:t>)</w:t>
      </w:r>
      <w:r w:rsidR="00CD4A2B" w:rsidRPr="004032F4">
        <w:rPr>
          <w:rStyle w:val="a5"/>
          <w:rFonts w:ascii="Times New Roman" w:hAnsi="Times New Roman" w:cs="Times New Roman"/>
          <w:sz w:val="28"/>
          <w:szCs w:val="28"/>
        </w:rPr>
        <w:footnoteReference w:id="3"/>
      </w:r>
      <w:r w:rsidR="00CD4A2B" w:rsidRPr="004032F4">
        <w:rPr>
          <w:rFonts w:ascii="Times New Roman" w:hAnsi="Times New Roman" w:cs="Times New Roman"/>
          <w:sz w:val="28"/>
          <w:szCs w:val="28"/>
        </w:rPr>
        <w:t xml:space="preserve">. </w:t>
      </w:r>
    </w:p>
    <w:p w14:paraId="7B2133B3" w14:textId="4D65E2A5" w:rsidR="00E1203C" w:rsidRPr="004032F4" w:rsidRDefault="00E70D2C" w:rsidP="0079375A">
      <w:pPr>
        <w:widowControl w:val="0"/>
        <w:spacing w:before="60" w:after="0" w:line="240" w:lineRule="auto"/>
        <w:ind w:firstLine="709"/>
        <w:jc w:val="both"/>
        <w:rPr>
          <w:rFonts w:ascii="Times New Roman" w:hAnsi="Times New Roman" w:cs="Times New Roman"/>
          <w:sz w:val="28"/>
          <w:szCs w:val="28"/>
        </w:rPr>
      </w:pPr>
      <w:r w:rsidRPr="004032F4">
        <w:rPr>
          <w:rFonts w:ascii="Times New Roman" w:eastAsia="Calibri" w:hAnsi="Times New Roman" w:cs="Times New Roman"/>
          <w:sz w:val="28"/>
          <w:szCs w:val="28"/>
        </w:rPr>
        <w:t>П</w:t>
      </w:r>
      <w:r w:rsidR="00242DCC" w:rsidRPr="004032F4">
        <w:rPr>
          <w:rFonts w:ascii="Times New Roman" w:eastAsia="Calibri" w:hAnsi="Times New Roman" w:cs="Times New Roman"/>
          <w:sz w:val="28"/>
          <w:szCs w:val="28"/>
        </w:rPr>
        <w:t xml:space="preserve">оказатели </w:t>
      </w:r>
      <w:r w:rsidRPr="004032F4">
        <w:rPr>
          <w:rFonts w:ascii="Times New Roman" w:eastAsia="Calibri" w:hAnsi="Times New Roman" w:cs="Times New Roman"/>
          <w:sz w:val="28"/>
          <w:szCs w:val="28"/>
        </w:rPr>
        <w:t>п</w:t>
      </w:r>
      <w:r w:rsidR="006B4831" w:rsidRPr="004032F4">
        <w:rPr>
          <w:rFonts w:ascii="Times New Roman" w:eastAsia="Calibri" w:hAnsi="Times New Roman" w:cs="Times New Roman"/>
          <w:sz w:val="28"/>
          <w:szCs w:val="28"/>
        </w:rPr>
        <w:t>рогноз</w:t>
      </w:r>
      <w:r w:rsidR="00242DCC" w:rsidRPr="004032F4">
        <w:rPr>
          <w:rFonts w:ascii="Times New Roman" w:eastAsia="Calibri" w:hAnsi="Times New Roman" w:cs="Times New Roman"/>
          <w:sz w:val="28"/>
          <w:szCs w:val="28"/>
        </w:rPr>
        <w:t>а</w:t>
      </w:r>
      <w:r w:rsidR="006B4831" w:rsidRPr="004032F4">
        <w:rPr>
          <w:rFonts w:ascii="Times New Roman" w:eastAsia="Calibri" w:hAnsi="Times New Roman" w:cs="Times New Roman"/>
          <w:sz w:val="28"/>
          <w:szCs w:val="28"/>
        </w:rPr>
        <w:t xml:space="preserve"> социально-экономического развития Тульской области </w:t>
      </w:r>
      <w:r w:rsidR="00734051" w:rsidRPr="004032F4">
        <w:rPr>
          <w:rFonts w:ascii="Times New Roman" w:eastAsia="Calibri" w:hAnsi="Times New Roman" w:cs="Times New Roman"/>
          <w:sz w:val="28"/>
          <w:szCs w:val="28"/>
        </w:rPr>
        <w:t xml:space="preserve">на </w:t>
      </w:r>
      <w:r w:rsidR="00933509" w:rsidRPr="004032F4">
        <w:rPr>
          <w:rFonts w:ascii="Times New Roman" w:eastAsia="Calibri" w:hAnsi="Times New Roman" w:cs="Times New Roman"/>
          <w:sz w:val="28"/>
          <w:szCs w:val="28"/>
        </w:rPr>
        <w:t>2025</w:t>
      </w:r>
      <w:r w:rsidR="00734051" w:rsidRPr="004032F4">
        <w:rPr>
          <w:rFonts w:ascii="Times New Roman" w:eastAsia="Calibri" w:hAnsi="Times New Roman" w:cs="Times New Roman"/>
          <w:sz w:val="28"/>
          <w:szCs w:val="28"/>
        </w:rPr>
        <w:t xml:space="preserve"> год и на плановый период </w:t>
      </w:r>
      <w:r w:rsidR="00933509" w:rsidRPr="004032F4">
        <w:rPr>
          <w:rFonts w:ascii="Times New Roman" w:eastAsia="Calibri" w:hAnsi="Times New Roman" w:cs="Times New Roman"/>
          <w:sz w:val="28"/>
          <w:szCs w:val="28"/>
        </w:rPr>
        <w:t>2026</w:t>
      </w:r>
      <w:r w:rsidR="00734051" w:rsidRPr="004032F4">
        <w:rPr>
          <w:rFonts w:ascii="Times New Roman" w:eastAsia="Calibri" w:hAnsi="Times New Roman" w:cs="Times New Roman"/>
          <w:sz w:val="28"/>
          <w:szCs w:val="28"/>
        </w:rPr>
        <w:t xml:space="preserve"> и </w:t>
      </w:r>
      <w:r w:rsidR="00933509" w:rsidRPr="004032F4">
        <w:rPr>
          <w:rFonts w:ascii="Times New Roman" w:eastAsia="Calibri" w:hAnsi="Times New Roman" w:cs="Times New Roman"/>
          <w:sz w:val="28"/>
          <w:szCs w:val="28"/>
        </w:rPr>
        <w:t>2027</w:t>
      </w:r>
      <w:r w:rsidR="00275E9C" w:rsidRPr="004032F4">
        <w:rPr>
          <w:rFonts w:ascii="Times New Roman" w:eastAsia="Calibri" w:hAnsi="Times New Roman" w:cs="Times New Roman"/>
          <w:sz w:val="28"/>
          <w:szCs w:val="28"/>
        </w:rPr>
        <w:t xml:space="preserve"> </w:t>
      </w:r>
      <w:r w:rsidR="006B4831" w:rsidRPr="004032F4">
        <w:rPr>
          <w:rFonts w:ascii="Times New Roman" w:eastAsia="Calibri" w:hAnsi="Times New Roman" w:cs="Times New Roman"/>
          <w:sz w:val="28"/>
          <w:szCs w:val="28"/>
        </w:rPr>
        <w:t>годов</w:t>
      </w:r>
      <w:r w:rsidR="00242DCC" w:rsidRPr="004032F4">
        <w:rPr>
          <w:rFonts w:ascii="Times New Roman" w:eastAsia="Calibri" w:hAnsi="Times New Roman" w:cs="Times New Roman"/>
          <w:sz w:val="28"/>
          <w:szCs w:val="28"/>
        </w:rPr>
        <w:t>, представленного в Тульскую областную Думу и счетную палату</w:t>
      </w:r>
      <w:r w:rsidR="006B4831" w:rsidRPr="004032F4">
        <w:rPr>
          <w:rFonts w:ascii="Times New Roman" w:eastAsia="Calibri" w:hAnsi="Times New Roman" w:cs="Times New Roman"/>
          <w:sz w:val="28"/>
          <w:szCs w:val="28"/>
        </w:rPr>
        <w:t xml:space="preserve"> (приложение 6 к письму Губернатора), </w:t>
      </w:r>
      <w:r w:rsidR="00F7788E" w:rsidRPr="004032F4">
        <w:rPr>
          <w:rFonts w:ascii="Times New Roman" w:eastAsia="Calibri" w:hAnsi="Times New Roman" w:cs="Times New Roman"/>
          <w:sz w:val="28"/>
          <w:szCs w:val="28"/>
        </w:rPr>
        <w:t xml:space="preserve">соответствуют прогнозу социально-экономического развития, </w:t>
      </w:r>
      <w:r w:rsidR="00237FB5" w:rsidRPr="004032F4">
        <w:rPr>
          <w:rFonts w:ascii="Times New Roman" w:eastAsia="Calibri" w:hAnsi="Times New Roman" w:cs="Times New Roman"/>
          <w:sz w:val="28"/>
          <w:szCs w:val="28"/>
        </w:rPr>
        <w:t>одобренному</w:t>
      </w:r>
      <w:r w:rsidR="00535E60" w:rsidRPr="004032F4">
        <w:rPr>
          <w:rFonts w:ascii="Times New Roman" w:hAnsi="Times New Roman" w:cs="Times New Roman"/>
        </w:rPr>
        <w:t xml:space="preserve"> </w:t>
      </w:r>
      <w:r w:rsidR="00047AC0" w:rsidRPr="004032F4">
        <w:rPr>
          <w:rFonts w:ascii="Times New Roman" w:eastAsia="Calibri" w:hAnsi="Times New Roman" w:cs="Times New Roman"/>
          <w:sz w:val="28"/>
          <w:szCs w:val="28"/>
        </w:rPr>
        <w:t>Р</w:t>
      </w:r>
      <w:r w:rsidR="00535E60" w:rsidRPr="004032F4">
        <w:rPr>
          <w:rFonts w:ascii="Times New Roman" w:eastAsia="Calibri" w:hAnsi="Times New Roman" w:cs="Times New Roman"/>
          <w:sz w:val="28"/>
          <w:szCs w:val="28"/>
        </w:rPr>
        <w:t xml:space="preserve">аспоряжением </w:t>
      </w:r>
      <w:r w:rsidR="00643F5C" w:rsidRPr="004032F4">
        <w:rPr>
          <w:rFonts w:ascii="Times New Roman" w:eastAsia="Calibri" w:hAnsi="Times New Roman" w:cs="Times New Roman"/>
          <w:sz w:val="28"/>
          <w:szCs w:val="28"/>
        </w:rPr>
        <w:t>П</w:t>
      </w:r>
      <w:r w:rsidR="00535E60" w:rsidRPr="004032F4">
        <w:rPr>
          <w:rFonts w:ascii="Times New Roman" w:eastAsia="Calibri" w:hAnsi="Times New Roman" w:cs="Times New Roman"/>
          <w:sz w:val="28"/>
          <w:szCs w:val="28"/>
        </w:rPr>
        <w:t xml:space="preserve">равительства Тульской области от </w:t>
      </w:r>
      <w:r w:rsidR="000E5541" w:rsidRPr="004032F4">
        <w:rPr>
          <w:rFonts w:ascii="Times New Roman" w:hAnsi="Times New Roman" w:cs="Times New Roman"/>
          <w:sz w:val="28"/>
          <w:szCs w:val="28"/>
        </w:rPr>
        <w:t>16.09.2024 №391-р</w:t>
      </w:r>
      <w:r w:rsidRPr="004032F4">
        <w:rPr>
          <w:rFonts w:ascii="Times New Roman" w:eastAsia="Calibri" w:hAnsi="Times New Roman" w:cs="Times New Roman"/>
          <w:sz w:val="28"/>
          <w:szCs w:val="28"/>
        </w:rPr>
        <w:t>.</w:t>
      </w:r>
      <w:r w:rsidR="00E1203C" w:rsidRPr="004032F4">
        <w:rPr>
          <w:rFonts w:ascii="Times New Roman" w:hAnsi="Times New Roman" w:cs="Times New Roman"/>
          <w:sz w:val="28"/>
          <w:szCs w:val="28"/>
        </w:rPr>
        <w:t xml:space="preserve"> </w:t>
      </w:r>
    </w:p>
    <w:p w14:paraId="19642AAF" w14:textId="0E088FB7" w:rsidR="00E1203C" w:rsidRPr="004032F4" w:rsidRDefault="00E1203C" w:rsidP="0079375A">
      <w:pPr>
        <w:widowControl w:val="0"/>
        <w:spacing w:before="60" w:after="0" w:line="240" w:lineRule="auto"/>
        <w:ind w:firstLine="709"/>
        <w:jc w:val="both"/>
        <w:rPr>
          <w:rFonts w:ascii="Times New Roman" w:eastAsia="Calibri" w:hAnsi="Times New Roman" w:cs="Times New Roman"/>
          <w:sz w:val="28"/>
          <w:szCs w:val="28"/>
        </w:rPr>
      </w:pPr>
      <w:r w:rsidRPr="004032F4">
        <w:rPr>
          <w:rFonts w:ascii="Times New Roman" w:hAnsi="Times New Roman" w:cs="Times New Roman"/>
          <w:sz w:val="28"/>
          <w:szCs w:val="28"/>
        </w:rPr>
        <w:t>П</w:t>
      </w:r>
      <w:r w:rsidRPr="004032F4">
        <w:rPr>
          <w:rFonts w:ascii="Times New Roman" w:eastAsia="Calibri" w:hAnsi="Times New Roman" w:cs="Times New Roman"/>
          <w:sz w:val="28"/>
          <w:szCs w:val="28"/>
        </w:rPr>
        <w:t xml:space="preserve">ри формировании </w:t>
      </w:r>
      <w:r w:rsidR="000F688B" w:rsidRPr="004032F4">
        <w:rPr>
          <w:rFonts w:ascii="Times New Roman" w:eastAsia="Calibri" w:hAnsi="Times New Roman" w:cs="Times New Roman"/>
          <w:sz w:val="28"/>
          <w:szCs w:val="28"/>
        </w:rPr>
        <w:t xml:space="preserve">доходов </w:t>
      </w:r>
      <w:r w:rsidRPr="004032F4">
        <w:rPr>
          <w:rFonts w:ascii="Times New Roman" w:eastAsia="Calibri" w:hAnsi="Times New Roman" w:cs="Times New Roman"/>
          <w:sz w:val="28"/>
          <w:szCs w:val="28"/>
        </w:rPr>
        <w:t>бюджета области на бюджетный цикл 202</w:t>
      </w:r>
      <w:r w:rsidR="00CD4A2B" w:rsidRPr="004032F4">
        <w:rPr>
          <w:rFonts w:ascii="Times New Roman" w:eastAsia="Calibri" w:hAnsi="Times New Roman" w:cs="Times New Roman"/>
          <w:sz w:val="28"/>
          <w:szCs w:val="28"/>
        </w:rPr>
        <w:t>5</w:t>
      </w:r>
      <w:r w:rsidRPr="004032F4">
        <w:rPr>
          <w:rFonts w:ascii="Times New Roman" w:eastAsia="Calibri" w:hAnsi="Times New Roman" w:cs="Times New Roman"/>
          <w:sz w:val="28"/>
          <w:szCs w:val="28"/>
        </w:rPr>
        <w:t>–</w:t>
      </w:r>
      <w:r w:rsidR="00933509" w:rsidRPr="004032F4">
        <w:rPr>
          <w:rFonts w:ascii="Times New Roman" w:eastAsia="Calibri" w:hAnsi="Times New Roman" w:cs="Times New Roman"/>
          <w:sz w:val="28"/>
          <w:szCs w:val="28"/>
        </w:rPr>
        <w:t>202</w:t>
      </w:r>
      <w:r w:rsidR="00CD4A2B" w:rsidRPr="004032F4">
        <w:rPr>
          <w:rFonts w:ascii="Times New Roman" w:eastAsia="Calibri" w:hAnsi="Times New Roman" w:cs="Times New Roman"/>
          <w:sz w:val="28"/>
          <w:szCs w:val="28"/>
        </w:rPr>
        <w:t>7</w:t>
      </w:r>
      <w:r w:rsidRPr="004032F4">
        <w:rPr>
          <w:rFonts w:ascii="Times New Roman" w:eastAsia="Calibri" w:hAnsi="Times New Roman" w:cs="Times New Roman"/>
          <w:sz w:val="28"/>
          <w:szCs w:val="28"/>
        </w:rPr>
        <w:t xml:space="preserve"> годов применялся базовый прогноз социально-экономического развития, спрогнозированный с сохранением темпов роста экономики, умеренных темпов деловой и инвестиционной активности.</w:t>
      </w:r>
    </w:p>
    <w:p w14:paraId="2DD35DC1" w14:textId="7D5FB8D1" w:rsidR="008C74CA" w:rsidRPr="004032F4" w:rsidRDefault="00064957" w:rsidP="00585D43">
      <w:pPr>
        <w:pStyle w:val="a3"/>
        <w:spacing w:before="120"/>
        <w:ind w:firstLine="709"/>
        <w:jc w:val="both"/>
        <w:rPr>
          <w:sz w:val="28"/>
          <w:szCs w:val="28"/>
        </w:rPr>
      </w:pPr>
      <w:r w:rsidRPr="004032F4">
        <w:rPr>
          <w:sz w:val="28"/>
          <w:szCs w:val="28"/>
        </w:rPr>
        <w:t xml:space="preserve">Согласно </w:t>
      </w:r>
      <w:proofErr w:type="gramStart"/>
      <w:r w:rsidR="00C80877" w:rsidRPr="004032F4">
        <w:rPr>
          <w:sz w:val="28"/>
          <w:szCs w:val="28"/>
        </w:rPr>
        <w:t>Прогноз</w:t>
      </w:r>
      <w:r w:rsidR="00900F6F" w:rsidRPr="004032F4">
        <w:rPr>
          <w:sz w:val="28"/>
          <w:szCs w:val="28"/>
        </w:rPr>
        <w:t>у</w:t>
      </w:r>
      <w:r w:rsidR="00C80877" w:rsidRPr="004032F4">
        <w:rPr>
          <w:sz w:val="28"/>
          <w:szCs w:val="28"/>
        </w:rPr>
        <w:t xml:space="preserve"> социально-экономического развития Тульской области</w:t>
      </w:r>
      <w:proofErr w:type="gramEnd"/>
      <w:r w:rsidR="00C80877" w:rsidRPr="004032F4">
        <w:rPr>
          <w:sz w:val="28"/>
          <w:szCs w:val="28"/>
        </w:rPr>
        <w:t xml:space="preserve"> на 2025 год и на плановый период 2026 и 2027 годов (</w:t>
      </w:r>
      <w:r w:rsidRPr="004032F4">
        <w:rPr>
          <w:sz w:val="28"/>
          <w:szCs w:val="28"/>
        </w:rPr>
        <w:t xml:space="preserve">приложению </w:t>
      </w:r>
      <w:r w:rsidR="00C80877" w:rsidRPr="004032F4">
        <w:rPr>
          <w:sz w:val="28"/>
          <w:szCs w:val="28"/>
        </w:rPr>
        <w:t>6</w:t>
      </w:r>
      <w:r w:rsidRPr="004032F4">
        <w:rPr>
          <w:sz w:val="28"/>
          <w:szCs w:val="28"/>
        </w:rPr>
        <w:t xml:space="preserve"> к письму Губернатора</w:t>
      </w:r>
      <w:r w:rsidR="00C80877" w:rsidRPr="004032F4">
        <w:rPr>
          <w:sz w:val="28"/>
          <w:szCs w:val="28"/>
        </w:rPr>
        <w:t>)</w:t>
      </w:r>
      <w:r w:rsidRPr="004032F4">
        <w:rPr>
          <w:sz w:val="28"/>
          <w:szCs w:val="28"/>
        </w:rPr>
        <w:t xml:space="preserve"> </w:t>
      </w:r>
      <w:r w:rsidR="00D676AD" w:rsidRPr="004032F4">
        <w:rPr>
          <w:sz w:val="28"/>
          <w:szCs w:val="28"/>
        </w:rPr>
        <w:t>уровень инфляции составит</w:t>
      </w:r>
      <w:r w:rsidRPr="004032F4">
        <w:rPr>
          <w:sz w:val="28"/>
          <w:szCs w:val="28"/>
        </w:rPr>
        <w:t xml:space="preserve"> </w:t>
      </w:r>
      <w:r w:rsidR="00D676AD" w:rsidRPr="008A00DD">
        <w:rPr>
          <w:b/>
          <w:sz w:val="28"/>
          <w:szCs w:val="28"/>
        </w:rPr>
        <w:t>в</w:t>
      </w:r>
      <w:r w:rsidR="00B210D9" w:rsidRPr="008A00DD">
        <w:rPr>
          <w:b/>
          <w:sz w:val="28"/>
          <w:szCs w:val="28"/>
        </w:rPr>
        <w:t xml:space="preserve"> </w:t>
      </w:r>
      <w:r w:rsidR="00D676AD" w:rsidRPr="008A00DD">
        <w:rPr>
          <w:b/>
          <w:sz w:val="28"/>
          <w:szCs w:val="28"/>
        </w:rPr>
        <w:t>2025 году</w:t>
      </w:r>
      <w:r w:rsidR="00D676AD" w:rsidRPr="004032F4">
        <w:rPr>
          <w:sz w:val="28"/>
          <w:szCs w:val="28"/>
        </w:rPr>
        <w:t xml:space="preserve"> </w:t>
      </w:r>
      <w:r w:rsidRPr="008A00DD">
        <w:rPr>
          <w:b/>
          <w:sz w:val="28"/>
          <w:szCs w:val="28"/>
        </w:rPr>
        <w:t>10</w:t>
      </w:r>
      <w:r w:rsidR="00B96D42" w:rsidRPr="008A00DD">
        <w:rPr>
          <w:b/>
          <w:sz w:val="28"/>
          <w:szCs w:val="28"/>
        </w:rPr>
        <w:t>4,</w:t>
      </w:r>
      <w:r w:rsidR="00AE5F0A" w:rsidRPr="008A00DD">
        <w:rPr>
          <w:b/>
          <w:sz w:val="28"/>
          <w:szCs w:val="28"/>
        </w:rPr>
        <w:t>7</w:t>
      </w:r>
      <w:r w:rsidRPr="008A00DD">
        <w:rPr>
          <w:b/>
          <w:sz w:val="28"/>
          <w:szCs w:val="28"/>
        </w:rPr>
        <w:t>%</w:t>
      </w:r>
      <w:r w:rsidR="00D676AD" w:rsidRPr="008A00DD">
        <w:rPr>
          <w:b/>
          <w:sz w:val="28"/>
          <w:szCs w:val="28"/>
        </w:rPr>
        <w:t>,</w:t>
      </w:r>
      <w:r w:rsidR="00D676AD" w:rsidRPr="004032F4">
        <w:rPr>
          <w:sz w:val="28"/>
          <w:szCs w:val="28"/>
        </w:rPr>
        <w:t xml:space="preserve"> в 2026 году – 104%,</w:t>
      </w:r>
      <w:r w:rsidRPr="004032F4">
        <w:rPr>
          <w:sz w:val="28"/>
          <w:szCs w:val="28"/>
        </w:rPr>
        <w:t xml:space="preserve"> </w:t>
      </w:r>
      <w:r w:rsidR="00D676AD" w:rsidRPr="004032F4">
        <w:rPr>
          <w:sz w:val="28"/>
          <w:szCs w:val="28"/>
        </w:rPr>
        <w:t xml:space="preserve">в 2027 году– </w:t>
      </w:r>
      <w:r w:rsidRPr="004032F4">
        <w:rPr>
          <w:sz w:val="28"/>
          <w:szCs w:val="28"/>
        </w:rPr>
        <w:t>104%</w:t>
      </w:r>
      <w:r w:rsidR="00D676AD" w:rsidRPr="004032F4">
        <w:rPr>
          <w:sz w:val="28"/>
          <w:szCs w:val="28"/>
        </w:rPr>
        <w:t xml:space="preserve"> (индекс потребительских цен в среднем за год</w:t>
      </w:r>
      <w:r w:rsidR="00D676AD" w:rsidRPr="004032F4">
        <w:rPr>
          <w:rStyle w:val="a5"/>
          <w:sz w:val="28"/>
          <w:szCs w:val="28"/>
        </w:rPr>
        <w:footnoteReference w:id="4"/>
      </w:r>
      <w:r w:rsidR="00D676AD" w:rsidRPr="004032F4">
        <w:rPr>
          <w:sz w:val="28"/>
          <w:szCs w:val="28"/>
        </w:rPr>
        <w:t>)</w:t>
      </w:r>
      <w:r w:rsidR="008C74CA" w:rsidRPr="004032F4">
        <w:rPr>
          <w:sz w:val="28"/>
          <w:szCs w:val="28"/>
        </w:rPr>
        <w:t>.</w:t>
      </w:r>
    </w:p>
    <w:p w14:paraId="73FC2951" w14:textId="189A9EBD" w:rsidR="008C74CA" w:rsidRPr="004032F4" w:rsidRDefault="008C74CA" w:rsidP="008C74CA">
      <w:pPr>
        <w:pStyle w:val="a3"/>
        <w:spacing w:before="120"/>
        <w:ind w:firstLine="709"/>
        <w:jc w:val="both"/>
        <w:rPr>
          <w:sz w:val="28"/>
          <w:szCs w:val="28"/>
        </w:rPr>
      </w:pPr>
      <w:r w:rsidRPr="004032F4">
        <w:rPr>
          <w:sz w:val="28"/>
          <w:szCs w:val="28"/>
        </w:rPr>
        <w:t xml:space="preserve">Согласно пояснительной записке к Законопроекту </w:t>
      </w:r>
      <w:r w:rsidR="00C80877" w:rsidRPr="004032F4">
        <w:rPr>
          <w:sz w:val="28"/>
          <w:szCs w:val="28"/>
        </w:rPr>
        <w:t>п</w:t>
      </w:r>
      <w:r w:rsidRPr="004032F4">
        <w:rPr>
          <w:sz w:val="28"/>
          <w:szCs w:val="28"/>
        </w:rPr>
        <w:t xml:space="preserve">ри планировании объемов </w:t>
      </w:r>
      <w:r w:rsidR="00900F6F" w:rsidRPr="004032F4">
        <w:rPr>
          <w:sz w:val="28"/>
          <w:szCs w:val="28"/>
        </w:rPr>
        <w:t>бюджетных ассигнований</w:t>
      </w:r>
      <w:r w:rsidRPr="004032F4">
        <w:rPr>
          <w:sz w:val="28"/>
          <w:szCs w:val="28"/>
        </w:rPr>
        <w:t xml:space="preserve"> бюджета Тульской области учт</w:t>
      </w:r>
      <w:r w:rsidR="00A44497" w:rsidRPr="004032F4">
        <w:rPr>
          <w:sz w:val="28"/>
          <w:szCs w:val="28"/>
        </w:rPr>
        <w:t>ена</w:t>
      </w:r>
      <w:r w:rsidRPr="004032F4">
        <w:rPr>
          <w:sz w:val="28"/>
          <w:szCs w:val="28"/>
        </w:rPr>
        <w:t xml:space="preserve"> ежегодная индексация на прогнозный уровень инфляции расходов на социальное обеспечение населения, </w:t>
      </w:r>
      <w:r w:rsidRPr="008A00DD">
        <w:rPr>
          <w:b/>
          <w:sz w:val="28"/>
          <w:szCs w:val="28"/>
        </w:rPr>
        <w:t>в</w:t>
      </w:r>
      <w:r w:rsidRPr="004032F4">
        <w:rPr>
          <w:sz w:val="28"/>
          <w:szCs w:val="28"/>
        </w:rPr>
        <w:t xml:space="preserve"> </w:t>
      </w:r>
      <w:r w:rsidRPr="008A00DD">
        <w:rPr>
          <w:b/>
          <w:sz w:val="28"/>
          <w:szCs w:val="28"/>
        </w:rPr>
        <w:t>2025 году</w:t>
      </w:r>
      <w:r w:rsidRPr="004032F4">
        <w:rPr>
          <w:sz w:val="28"/>
          <w:szCs w:val="28"/>
        </w:rPr>
        <w:t xml:space="preserve"> </w:t>
      </w:r>
      <w:r w:rsidR="00900F6F" w:rsidRPr="004032F4">
        <w:rPr>
          <w:sz w:val="28"/>
          <w:szCs w:val="28"/>
        </w:rPr>
        <w:t xml:space="preserve">– </w:t>
      </w:r>
      <w:r w:rsidRPr="004032F4">
        <w:rPr>
          <w:sz w:val="28"/>
          <w:szCs w:val="28"/>
        </w:rPr>
        <w:t xml:space="preserve">на </w:t>
      </w:r>
      <w:r w:rsidRPr="008A00DD">
        <w:rPr>
          <w:b/>
          <w:sz w:val="28"/>
          <w:szCs w:val="28"/>
        </w:rPr>
        <w:t>4,5%,</w:t>
      </w:r>
      <w:r w:rsidRPr="004032F4">
        <w:rPr>
          <w:sz w:val="28"/>
          <w:szCs w:val="28"/>
        </w:rPr>
        <w:t xml:space="preserve"> в 2026-2027 годах</w:t>
      </w:r>
      <w:r w:rsidR="00900F6F" w:rsidRPr="004032F4">
        <w:rPr>
          <w:sz w:val="28"/>
          <w:szCs w:val="28"/>
        </w:rPr>
        <w:t xml:space="preserve"> –</w:t>
      </w:r>
      <w:r w:rsidRPr="004032F4">
        <w:rPr>
          <w:sz w:val="28"/>
          <w:szCs w:val="28"/>
        </w:rPr>
        <w:t xml:space="preserve"> на 4,0%</w:t>
      </w:r>
      <w:r w:rsidR="00A44497" w:rsidRPr="004032F4">
        <w:rPr>
          <w:sz w:val="28"/>
          <w:szCs w:val="28"/>
        </w:rPr>
        <w:t>.</w:t>
      </w:r>
    </w:p>
    <w:p w14:paraId="2350F2CF" w14:textId="7EC87007" w:rsidR="00A44497" w:rsidRPr="004032F4" w:rsidRDefault="00A44497" w:rsidP="008C74CA">
      <w:pPr>
        <w:pStyle w:val="a3"/>
        <w:spacing w:before="120"/>
        <w:ind w:firstLine="709"/>
        <w:jc w:val="both"/>
        <w:rPr>
          <w:sz w:val="24"/>
          <w:szCs w:val="24"/>
        </w:rPr>
      </w:pPr>
      <w:r w:rsidRPr="004032F4">
        <w:rPr>
          <w:sz w:val="24"/>
          <w:szCs w:val="24"/>
        </w:rPr>
        <w:t>Справочно: в проекте федерального закона о федеральном бюджете на 2025-20</w:t>
      </w:r>
      <w:r w:rsidR="00900F6F" w:rsidRPr="004032F4">
        <w:rPr>
          <w:sz w:val="24"/>
          <w:szCs w:val="24"/>
        </w:rPr>
        <w:t>2</w:t>
      </w:r>
      <w:r w:rsidRPr="004032F4">
        <w:rPr>
          <w:sz w:val="24"/>
          <w:szCs w:val="24"/>
        </w:rPr>
        <w:t>7 годы уровень инфляции (индекс роста потребительских цен) учтен в размере 4,5% (декабрь к декабрю) на 2025 год, по 4% на 2026 и 2027 годы.</w:t>
      </w:r>
    </w:p>
    <w:p w14:paraId="6559FAC4" w14:textId="391DBD51" w:rsidR="00A44497" w:rsidRPr="004032F4" w:rsidRDefault="00A44497" w:rsidP="008C74CA">
      <w:pPr>
        <w:pStyle w:val="a3"/>
        <w:spacing w:before="120"/>
        <w:ind w:firstLine="709"/>
        <w:jc w:val="both"/>
        <w:rPr>
          <w:sz w:val="28"/>
          <w:szCs w:val="28"/>
        </w:rPr>
      </w:pPr>
      <w:r w:rsidRPr="004032F4">
        <w:rPr>
          <w:sz w:val="28"/>
          <w:szCs w:val="28"/>
        </w:rPr>
        <w:t xml:space="preserve">Таким образом, расчет параметров бюджета области </w:t>
      </w:r>
      <w:r w:rsidR="00C673F5" w:rsidRPr="004032F4">
        <w:rPr>
          <w:sz w:val="28"/>
          <w:szCs w:val="28"/>
        </w:rPr>
        <w:t xml:space="preserve">на 2025 год </w:t>
      </w:r>
      <w:r w:rsidR="00900F6F" w:rsidRPr="004032F4">
        <w:rPr>
          <w:sz w:val="28"/>
          <w:szCs w:val="28"/>
        </w:rPr>
        <w:t>в ос</w:t>
      </w:r>
      <w:r w:rsidR="008E0A79" w:rsidRPr="004032F4">
        <w:rPr>
          <w:sz w:val="28"/>
          <w:szCs w:val="28"/>
        </w:rPr>
        <w:t>но</w:t>
      </w:r>
      <w:r w:rsidR="00900F6F" w:rsidRPr="004032F4">
        <w:rPr>
          <w:sz w:val="28"/>
          <w:szCs w:val="28"/>
        </w:rPr>
        <w:t xml:space="preserve">вном </w:t>
      </w:r>
      <w:r w:rsidRPr="004032F4">
        <w:rPr>
          <w:sz w:val="28"/>
          <w:szCs w:val="28"/>
        </w:rPr>
        <w:t xml:space="preserve">произведен в соответствии с </w:t>
      </w:r>
      <w:r w:rsidR="004D3F36" w:rsidRPr="004032F4">
        <w:rPr>
          <w:sz w:val="28"/>
          <w:szCs w:val="28"/>
        </w:rPr>
        <w:t xml:space="preserve">параметрами </w:t>
      </w:r>
      <w:r w:rsidRPr="004032F4">
        <w:rPr>
          <w:sz w:val="28"/>
          <w:szCs w:val="28"/>
        </w:rPr>
        <w:t xml:space="preserve">проектом федерального </w:t>
      </w:r>
      <w:r w:rsidRPr="004032F4">
        <w:rPr>
          <w:sz w:val="28"/>
          <w:szCs w:val="28"/>
        </w:rPr>
        <w:lastRenderedPageBreak/>
        <w:t xml:space="preserve">бюджета, а не </w:t>
      </w:r>
      <w:r w:rsidR="00B210D9" w:rsidRPr="004032F4">
        <w:rPr>
          <w:sz w:val="28"/>
          <w:szCs w:val="28"/>
        </w:rPr>
        <w:t>на основании характеристик прогноза социально-экономического развития Тульской области.</w:t>
      </w:r>
    </w:p>
    <w:p w14:paraId="32ABC211" w14:textId="77777777" w:rsidR="0068135F" w:rsidRPr="004032F4" w:rsidRDefault="0068135F" w:rsidP="00B559DB">
      <w:pPr>
        <w:widowControl w:val="0"/>
        <w:pBdr>
          <w:bottom w:val="thinThickSmallGap" w:sz="18" w:space="10" w:color="auto"/>
        </w:pBdr>
        <w:suppressAutoHyphens/>
        <w:spacing w:before="360" w:after="0" w:line="240" w:lineRule="auto"/>
        <w:jc w:val="center"/>
        <w:rPr>
          <w:rFonts w:ascii="Times New Roman" w:eastAsia="Calibri" w:hAnsi="Times New Roman" w:cs="Times New Roman"/>
          <w:b/>
          <w:caps/>
          <w:spacing w:val="30"/>
          <w:w w:val="150"/>
          <w:sz w:val="24"/>
          <w:szCs w:val="24"/>
        </w:rPr>
      </w:pPr>
      <w:r w:rsidRPr="004032F4">
        <w:rPr>
          <w:rFonts w:ascii="Times New Roman" w:eastAsia="Calibri" w:hAnsi="Times New Roman" w:cs="Times New Roman"/>
          <w:b/>
          <w:caps/>
          <w:spacing w:val="30"/>
          <w:w w:val="150"/>
          <w:sz w:val="24"/>
          <w:szCs w:val="24"/>
        </w:rPr>
        <w:t>2.доходы бюджета области</w:t>
      </w:r>
    </w:p>
    <w:p w14:paraId="1B3AAF1D" w14:textId="77777777" w:rsidR="00E70D2C" w:rsidRPr="004032F4" w:rsidRDefault="00294A55" w:rsidP="00294A55">
      <w:pPr>
        <w:spacing w:before="40" w:after="0" w:line="240" w:lineRule="auto"/>
        <w:ind w:firstLine="709"/>
        <w:jc w:val="both"/>
        <w:rPr>
          <w:rFonts w:ascii="Times New Roman" w:eastAsia="Calibri" w:hAnsi="Times New Roman" w:cs="Times New Roman"/>
          <w:spacing w:val="-4"/>
          <w:sz w:val="28"/>
        </w:rPr>
      </w:pPr>
      <w:r w:rsidRPr="004032F4">
        <w:rPr>
          <w:rFonts w:ascii="Times New Roman" w:eastAsia="Calibri" w:hAnsi="Times New Roman" w:cs="Times New Roman"/>
          <w:spacing w:val="-4"/>
          <w:sz w:val="28"/>
        </w:rPr>
        <w:t>Объемы доходов бюджета области в разрезе налоговых и неналоговых доходов, безвозмездных поступлений и их доли в объеме доходов в динамике по годам проиллюстрированы следующей диаграммой</w:t>
      </w:r>
      <w:r w:rsidR="00E70D2C" w:rsidRPr="004032F4">
        <w:rPr>
          <w:rFonts w:ascii="Times New Roman" w:eastAsia="Calibri" w:hAnsi="Times New Roman" w:cs="Times New Roman"/>
          <w:spacing w:val="-4"/>
          <w:sz w:val="28"/>
        </w:rPr>
        <w:t>.</w:t>
      </w:r>
      <w:r w:rsidRPr="004032F4">
        <w:rPr>
          <w:rFonts w:ascii="Times New Roman" w:eastAsia="Calibri" w:hAnsi="Times New Roman" w:cs="Times New Roman"/>
          <w:spacing w:val="-4"/>
          <w:sz w:val="28"/>
        </w:rPr>
        <w:t xml:space="preserve"> </w:t>
      </w:r>
    </w:p>
    <w:p w14:paraId="75912C7C" w14:textId="355CA335" w:rsidR="00294A55" w:rsidRPr="004032F4" w:rsidRDefault="00294A55" w:rsidP="00E70D2C">
      <w:pPr>
        <w:spacing w:before="40" w:after="0" w:line="240" w:lineRule="auto"/>
        <w:ind w:firstLine="709"/>
        <w:jc w:val="right"/>
        <w:rPr>
          <w:rFonts w:ascii="Times New Roman" w:eastAsia="Calibri" w:hAnsi="Times New Roman" w:cs="Times New Roman"/>
          <w:spacing w:val="-4"/>
        </w:rPr>
      </w:pPr>
      <w:r w:rsidRPr="004032F4">
        <w:rPr>
          <w:rFonts w:ascii="Times New Roman" w:eastAsia="Calibri" w:hAnsi="Times New Roman" w:cs="Times New Roman"/>
          <w:spacing w:val="-4"/>
        </w:rPr>
        <w:t>(млн. рублей)</w:t>
      </w:r>
    </w:p>
    <w:p w14:paraId="777CD277" w14:textId="5A21EEAC" w:rsidR="00317A7A" w:rsidRPr="004032F4" w:rsidRDefault="00317A7A" w:rsidP="00317A7A">
      <w:pPr>
        <w:spacing w:before="40" w:after="0" w:line="240" w:lineRule="auto"/>
        <w:jc w:val="right"/>
        <w:rPr>
          <w:rFonts w:ascii="Times New Roman" w:eastAsia="Calibri" w:hAnsi="Times New Roman" w:cs="Times New Roman"/>
          <w:spacing w:val="-4"/>
        </w:rPr>
      </w:pPr>
      <w:r w:rsidRPr="004032F4">
        <w:rPr>
          <w:rFonts w:ascii="Times New Roman" w:hAnsi="Times New Roman" w:cs="Times New Roman"/>
          <w:noProof/>
          <w:color w:val="FF0000"/>
          <w:lang w:eastAsia="ru-RU"/>
        </w:rPr>
        <w:drawing>
          <wp:inline distT="0" distB="0" distL="0" distR="0" wp14:anchorId="62CE1CC4" wp14:editId="51EF2F48">
            <wp:extent cx="5791200" cy="4257675"/>
            <wp:effectExtent l="57150" t="57150" r="38100" b="476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CACF3E" w14:textId="77777777" w:rsidR="00294A55" w:rsidRPr="004032F4" w:rsidRDefault="00294A55" w:rsidP="000F688B">
      <w:pPr>
        <w:spacing w:before="120" w:after="0" w:line="240" w:lineRule="auto"/>
        <w:ind w:firstLine="709"/>
        <w:jc w:val="both"/>
        <w:rPr>
          <w:rFonts w:ascii="Times New Roman" w:eastAsia="Calibri" w:hAnsi="Times New Roman" w:cs="Times New Roman"/>
          <w:spacing w:val="-4"/>
          <w:sz w:val="28"/>
          <w:szCs w:val="28"/>
        </w:rPr>
      </w:pPr>
      <w:r w:rsidRPr="004032F4">
        <w:rPr>
          <w:rFonts w:ascii="Times New Roman" w:eastAsia="Calibri" w:hAnsi="Times New Roman" w:cs="Times New Roman"/>
          <w:spacing w:val="-4"/>
          <w:sz w:val="28"/>
          <w:szCs w:val="28"/>
        </w:rPr>
        <w:t>Темпы роста (снижения) объемов доходов по группам (подгруппам) доходов представлены в таблице.</w:t>
      </w:r>
    </w:p>
    <w:tbl>
      <w:tblPr>
        <w:tblStyle w:val="af2"/>
        <w:tblW w:w="4776" w:type="pct"/>
        <w:jc w:val="center"/>
        <w:tblLayout w:type="fixed"/>
        <w:tblLook w:val="04A0" w:firstRow="1" w:lastRow="0" w:firstColumn="1" w:lastColumn="0" w:noHBand="0" w:noVBand="1"/>
      </w:tblPr>
      <w:tblGrid>
        <w:gridCol w:w="2971"/>
        <w:gridCol w:w="2097"/>
        <w:gridCol w:w="1872"/>
        <w:gridCol w:w="1985"/>
      </w:tblGrid>
      <w:tr w:rsidR="00294A55" w:rsidRPr="004032F4" w14:paraId="2AC6E0CB" w14:textId="77777777" w:rsidTr="009131FF">
        <w:trPr>
          <w:trHeight w:val="260"/>
          <w:jc w:val="center"/>
        </w:trPr>
        <w:tc>
          <w:tcPr>
            <w:tcW w:w="2972" w:type="dxa"/>
            <w:vMerge w:val="restart"/>
            <w:shd w:val="clear" w:color="auto" w:fill="F2F2F2" w:themeFill="background1" w:themeFillShade="F2"/>
          </w:tcPr>
          <w:p w14:paraId="687D8C1C" w14:textId="77777777" w:rsidR="00294A55" w:rsidRPr="004032F4" w:rsidRDefault="00294A55" w:rsidP="009131FF">
            <w:pPr>
              <w:jc w:val="center"/>
              <w:rPr>
                <w:rFonts w:eastAsia="Calibri"/>
                <w:spacing w:val="-4"/>
              </w:rPr>
            </w:pPr>
            <w:r w:rsidRPr="004032F4">
              <w:rPr>
                <w:rFonts w:eastAsia="Calibri"/>
                <w:spacing w:val="-4"/>
              </w:rPr>
              <w:t>Наименование групп (подгрупп) доходов</w:t>
            </w:r>
          </w:p>
        </w:tc>
        <w:tc>
          <w:tcPr>
            <w:tcW w:w="5954" w:type="dxa"/>
            <w:gridSpan w:val="3"/>
            <w:shd w:val="clear" w:color="auto" w:fill="F2F2F2" w:themeFill="background1" w:themeFillShade="F2"/>
            <w:vAlign w:val="center"/>
          </w:tcPr>
          <w:p w14:paraId="3375017D" w14:textId="77777777" w:rsidR="00294A55" w:rsidRPr="004032F4" w:rsidRDefault="00294A55" w:rsidP="009131FF">
            <w:pPr>
              <w:jc w:val="center"/>
              <w:rPr>
                <w:rFonts w:eastAsia="Calibri"/>
                <w:spacing w:val="-4"/>
              </w:rPr>
            </w:pPr>
            <w:r w:rsidRPr="004032F4">
              <w:rPr>
                <w:rFonts w:eastAsia="Calibri"/>
                <w:spacing w:val="-4"/>
              </w:rPr>
              <w:t>Темпы роста (снижения) доходов к предыдущему году, %</w:t>
            </w:r>
          </w:p>
        </w:tc>
      </w:tr>
      <w:tr w:rsidR="00294A55" w:rsidRPr="004032F4" w14:paraId="13E134ED" w14:textId="77777777" w:rsidTr="009131FF">
        <w:trPr>
          <w:trHeight w:val="276"/>
          <w:jc w:val="center"/>
        </w:trPr>
        <w:tc>
          <w:tcPr>
            <w:tcW w:w="2972" w:type="dxa"/>
            <w:vMerge/>
            <w:shd w:val="clear" w:color="auto" w:fill="F2F2F2" w:themeFill="background1" w:themeFillShade="F2"/>
          </w:tcPr>
          <w:p w14:paraId="2AAA910E" w14:textId="77777777" w:rsidR="00294A55" w:rsidRPr="004032F4" w:rsidRDefault="00294A55" w:rsidP="009131FF">
            <w:pPr>
              <w:jc w:val="both"/>
              <w:rPr>
                <w:rFonts w:eastAsia="Calibri"/>
                <w:spacing w:val="-4"/>
              </w:rPr>
            </w:pPr>
          </w:p>
        </w:tc>
        <w:tc>
          <w:tcPr>
            <w:tcW w:w="2097" w:type="dxa"/>
            <w:shd w:val="clear" w:color="auto" w:fill="F2F2F2" w:themeFill="background1" w:themeFillShade="F2"/>
            <w:vAlign w:val="center"/>
          </w:tcPr>
          <w:p w14:paraId="6C8BA099" w14:textId="0F64C039" w:rsidR="00294A55" w:rsidRPr="004032F4" w:rsidRDefault="00933509" w:rsidP="003E32A1">
            <w:pPr>
              <w:jc w:val="center"/>
              <w:rPr>
                <w:rFonts w:eastAsia="Calibri"/>
                <w:spacing w:val="-4"/>
              </w:rPr>
            </w:pPr>
            <w:r w:rsidRPr="004032F4">
              <w:rPr>
                <w:rFonts w:eastAsia="Calibri"/>
                <w:spacing w:val="-4"/>
              </w:rPr>
              <w:t>2025</w:t>
            </w:r>
            <w:r w:rsidR="00294A55" w:rsidRPr="004032F4">
              <w:rPr>
                <w:rFonts w:eastAsia="Calibri"/>
                <w:spacing w:val="-4"/>
              </w:rPr>
              <w:t xml:space="preserve"> год (прогноз)</w:t>
            </w:r>
          </w:p>
        </w:tc>
        <w:tc>
          <w:tcPr>
            <w:tcW w:w="1872" w:type="dxa"/>
            <w:shd w:val="clear" w:color="auto" w:fill="F2F2F2" w:themeFill="background1" w:themeFillShade="F2"/>
            <w:vAlign w:val="center"/>
          </w:tcPr>
          <w:p w14:paraId="439CF79B" w14:textId="1E3B6A44" w:rsidR="00294A55" w:rsidRPr="004032F4" w:rsidRDefault="00933509" w:rsidP="003E32A1">
            <w:pPr>
              <w:jc w:val="center"/>
              <w:rPr>
                <w:rFonts w:eastAsia="Calibri"/>
                <w:spacing w:val="-4"/>
              </w:rPr>
            </w:pPr>
            <w:r w:rsidRPr="004032F4">
              <w:rPr>
                <w:rFonts w:eastAsia="Calibri"/>
                <w:spacing w:val="-4"/>
              </w:rPr>
              <w:t>2026</w:t>
            </w:r>
            <w:r w:rsidR="00294A55" w:rsidRPr="004032F4">
              <w:rPr>
                <w:rFonts w:eastAsia="Calibri"/>
                <w:spacing w:val="-4"/>
              </w:rPr>
              <w:t xml:space="preserve"> год (прогноз)</w:t>
            </w:r>
          </w:p>
        </w:tc>
        <w:tc>
          <w:tcPr>
            <w:tcW w:w="1985" w:type="dxa"/>
            <w:shd w:val="clear" w:color="auto" w:fill="F2F2F2" w:themeFill="background1" w:themeFillShade="F2"/>
            <w:vAlign w:val="center"/>
          </w:tcPr>
          <w:p w14:paraId="77D3D00B" w14:textId="3FB553E8" w:rsidR="00294A55" w:rsidRPr="004032F4" w:rsidRDefault="00933509" w:rsidP="003E32A1">
            <w:pPr>
              <w:jc w:val="center"/>
              <w:rPr>
                <w:rFonts w:eastAsia="Calibri"/>
                <w:spacing w:val="-4"/>
              </w:rPr>
            </w:pPr>
            <w:r w:rsidRPr="004032F4">
              <w:rPr>
                <w:rFonts w:eastAsia="Calibri"/>
                <w:spacing w:val="-4"/>
              </w:rPr>
              <w:t>2027</w:t>
            </w:r>
            <w:r w:rsidR="00294A55" w:rsidRPr="004032F4">
              <w:rPr>
                <w:rFonts w:eastAsia="Calibri"/>
                <w:spacing w:val="-4"/>
              </w:rPr>
              <w:t xml:space="preserve"> год (прогноз)</w:t>
            </w:r>
          </w:p>
        </w:tc>
      </w:tr>
      <w:tr w:rsidR="00294A55" w:rsidRPr="004032F4" w14:paraId="30C9D38D" w14:textId="77777777" w:rsidTr="009131FF">
        <w:trPr>
          <w:trHeight w:val="260"/>
          <w:jc w:val="center"/>
        </w:trPr>
        <w:tc>
          <w:tcPr>
            <w:tcW w:w="2972" w:type="dxa"/>
          </w:tcPr>
          <w:p w14:paraId="41B8368C" w14:textId="77777777" w:rsidR="00294A55" w:rsidRPr="004032F4" w:rsidRDefault="00294A55" w:rsidP="009131FF">
            <w:pPr>
              <w:jc w:val="both"/>
              <w:rPr>
                <w:rFonts w:eastAsia="Calibri"/>
                <w:spacing w:val="-4"/>
              </w:rPr>
            </w:pPr>
            <w:r w:rsidRPr="004032F4">
              <w:rPr>
                <w:rFonts w:eastAsia="Calibri"/>
                <w:spacing w:val="-4"/>
              </w:rPr>
              <w:t>Налоговые доходы</w:t>
            </w:r>
          </w:p>
        </w:tc>
        <w:tc>
          <w:tcPr>
            <w:tcW w:w="2097" w:type="dxa"/>
            <w:vAlign w:val="bottom"/>
          </w:tcPr>
          <w:p w14:paraId="53117984" w14:textId="695B4C39" w:rsidR="00294A55" w:rsidRPr="004032F4" w:rsidRDefault="00294A55" w:rsidP="002E742B">
            <w:pPr>
              <w:jc w:val="center"/>
              <w:rPr>
                <w:rFonts w:eastAsia="Calibri"/>
                <w:spacing w:val="-4"/>
              </w:rPr>
            </w:pPr>
            <w:r w:rsidRPr="004032F4">
              <w:rPr>
                <w:rFonts w:eastAsia="Calibri"/>
                <w:spacing w:val="-4"/>
              </w:rPr>
              <w:t>+</w:t>
            </w:r>
            <w:r w:rsidR="002E742B" w:rsidRPr="004032F4">
              <w:rPr>
                <w:rFonts w:eastAsia="Calibri"/>
                <w:spacing w:val="-4"/>
              </w:rPr>
              <w:t>6,4</w:t>
            </w:r>
          </w:p>
        </w:tc>
        <w:tc>
          <w:tcPr>
            <w:tcW w:w="1872" w:type="dxa"/>
            <w:vAlign w:val="bottom"/>
          </w:tcPr>
          <w:p w14:paraId="606FA2EE" w14:textId="5055F2A6" w:rsidR="00294A55" w:rsidRPr="004032F4" w:rsidRDefault="00294A55" w:rsidP="002E742B">
            <w:pPr>
              <w:jc w:val="center"/>
              <w:rPr>
                <w:rFonts w:eastAsia="Calibri"/>
                <w:spacing w:val="-4"/>
              </w:rPr>
            </w:pPr>
            <w:r w:rsidRPr="004032F4">
              <w:rPr>
                <w:rFonts w:eastAsia="Calibri"/>
                <w:spacing w:val="-4"/>
              </w:rPr>
              <w:t>+</w:t>
            </w:r>
            <w:r w:rsidR="002E742B" w:rsidRPr="004032F4">
              <w:rPr>
                <w:rFonts w:eastAsia="Calibri"/>
                <w:spacing w:val="-4"/>
              </w:rPr>
              <w:t>9,0</w:t>
            </w:r>
          </w:p>
        </w:tc>
        <w:tc>
          <w:tcPr>
            <w:tcW w:w="1985" w:type="dxa"/>
            <w:vAlign w:val="bottom"/>
          </w:tcPr>
          <w:p w14:paraId="35CA6678" w14:textId="108A8700" w:rsidR="00294A55" w:rsidRPr="004032F4" w:rsidRDefault="00294A55" w:rsidP="002E742B">
            <w:pPr>
              <w:jc w:val="center"/>
              <w:rPr>
                <w:rFonts w:eastAsia="Calibri"/>
                <w:spacing w:val="-4"/>
              </w:rPr>
            </w:pPr>
            <w:r w:rsidRPr="004032F4">
              <w:rPr>
                <w:rFonts w:eastAsia="Calibri"/>
                <w:spacing w:val="-4"/>
              </w:rPr>
              <w:t>+</w:t>
            </w:r>
            <w:r w:rsidR="002E742B" w:rsidRPr="004032F4">
              <w:rPr>
                <w:rFonts w:eastAsia="Calibri"/>
                <w:spacing w:val="-4"/>
              </w:rPr>
              <w:t>9,</w:t>
            </w:r>
            <w:r w:rsidR="00B26D97" w:rsidRPr="004032F4">
              <w:rPr>
                <w:rFonts w:eastAsia="Calibri"/>
                <w:spacing w:val="-4"/>
              </w:rPr>
              <w:t>6</w:t>
            </w:r>
          </w:p>
        </w:tc>
      </w:tr>
      <w:tr w:rsidR="00294A55" w:rsidRPr="004032F4" w14:paraId="1B0B9EAE" w14:textId="77777777" w:rsidTr="009131FF">
        <w:trPr>
          <w:trHeight w:val="260"/>
          <w:jc w:val="center"/>
        </w:trPr>
        <w:tc>
          <w:tcPr>
            <w:tcW w:w="2972" w:type="dxa"/>
          </w:tcPr>
          <w:p w14:paraId="49C5866A" w14:textId="77777777" w:rsidR="00294A55" w:rsidRPr="004032F4" w:rsidRDefault="00294A55" w:rsidP="009131FF">
            <w:pPr>
              <w:jc w:val="both"/>
              <w:rPr>
                <w:rFonts w:eastAsia="Calibri"/>
                <w:spacing w:val="-4"/>
              </w:rPr>
            </w:pPr>
            <w:r w:rsidRPr="004032F4">
              <w:rPr>
                <w:rFonts w:eastAsia="Calibri"/>
                <w:spacing w:val="-4"/>
              </w:rPr>
              <w:t>Неналоговые доходы</w:t>
            </w:r>
          </w:p>
        </w:tc>
        <w:tc>
          <w:tcPr>
            <w:tcW w:w="2097" w:type="dxa"/>
            <w:vAlign w:val="bottom"/>
          </w:tcPr>
          <w:p w14:paraId="39C26135" w14:textId="19CB67F1" w:rsidR="00294A55" w:rsidRPr="004032F4" w:rsidRDefault="00294A55" w:rsidP="002E742B">
            <w:pPr>
              <w:jc w:val="center"/>
              <w:rPr>
                <w:rFonts w:eastAsia="Calibri"/>
                <w:spacing w:val="-4"/>
              </w:rPr>
            </w:pPr>
            <w:r w:rsidRPr="004032F4">
              <w:rPr>
                <w:rFonts w:eastAsia="Calibri"/>
                <w:spacing w:val="-4"/>
              </w:rPr>
              <w:t>-</w:t>
            </w:r>
            <w:r w:rsidR="002E742B" w:rsidRPr="004032F4">
              <w:rPr>
                <w:rFonts w:eastAsia="Calibri"/>
                <w:spacing w:val="-4"/>
              </w:rPr>
              <w:t>44,7</w:t>
            </w:r>
          </w:p>
        </w:tc>
        <w:tc>
          <w:tcPr>
            <w:tcW w:w="1872" w:type="dxa"/>
            <w:vAlign w:val="bottom"/>
          </w:tcPr>
          <w:p w14:paraId="7117F9C7" w14:textId="02184CFE" w:rsidR="00294A55" w:rsidRPr="004032F4" w:rsidRDefault="00D235F6" w:rsidP="002E742B">
            <w:pPr>
              <w:jc w:val="center"/>
              <w:rPr>
                <w:rFonts w:eastAsia="Calibri"/>
                <w:spacing w:val="-4"/>
              </w:rPr>
            </w:pPr>
            <w:r w:rsidRPr="004032F4">
              <w:rPr>
                <w:rFonts w:eastAsia="Calibri"/>
                <w:spacing w:val="-4"/>
              </w:rPr>
              <w:t>+</w:t>
            </w:r>
            <w:r w:rsidR="003E32A1" w:rsidRPr="004032F4">
              <w:rPr>
                <w:rFonts w:eastAsia="Calibri"/>
                <w:spacing w:val="-4"/>
              </w:rPr>
              <w:t>0,</w:t>
            </w:r>
            <w:r w:rsidR="002E742B" w:rsidRPr="004032F4">
              <w:rPr>
                <w:rFonts w:eastAsia="Calibri"/>
                <w:spacing w:val="-4"/>
              </w:rPr>
              <w:t>3</w:t>
            </w:r>
          </w:p>
        </w:tc>
        <w:tc>
          <w:tcPr>
            <w:tcW w:w="1985" w:type="dxa"/>
            <w:vAlign w:val="bottom"/>
          </w:tcPr>
          <w:p w14:paraId="3FD64B18" w14:textId="4D12AD90" w:rsidR="00294A55" w:rsidRPr="004032F4" w:rsidRDefault="002E742B" w:rsidP="00B26D97">
            <w:pPr>
              <w:jc w:val="center"/>
              <w:rPr>
                <w:rFonts w:eastAsia="Calibri"/>
                <w:spacing w:val="-4"/>
              </w:rPr>
            </w:pPr>
            <w:r w:rsidRPr="004032F4">
              <w:rPr>
                <w:rFonts w:eastAsia="Calibri"/>
                <w:spacing w:val="-4"/>
              </w:rPr>
              <w:t>+</w:t>
            </w:r>
            <w:r w:rsidR="00294A55" w:rsidRPr="004032F4">
              <w:rPr>
                <w:rFonts w:eastAsia="Calibri"/>
                <w:spacing w:val="-4"/>
              </w:rPr>
              <w:t>0,</w:t>
            </w:r>
            <w:r w:rsidR="00B26D97" w:rsidRPr="004032F4">
              <w:rPr>
                <w:rFonts w:eastAsia="Calibri"/>
                <w:spacing w:val="-4"/>
              </w:rPr>
              <w:t>2</w:t>
            </w:r>
          </w:p>
        </w:tc>
      </w:tr>
      <w:tr w:rsidR="00294A55" w:rsidRPr="004032F4" w14:paraId="371C7DF8" w14:textId="77777777" w:rsidTr="009131FF">
        <w:trPr>
          <w:trHeight w:val="260"/>
          <w:jc w:val="center"/>
        </w:trPr>
        <w:tc>
          <w:tcPr>
            <w:tcW w:w="2972" w:type="dxa"/>
          </w:tcPr>
          <w:p w14:paraId="27D32D37" w14:textId="77777777" w:rsidR="00294A55" w:rsidRPr="004032F4" w:rsidRDefault="00294A55" w:rsidP="009131FF">
            <w:pPr>
              <w:jc w:val="both"/>
              <w:rPr>
                <w:rFonts w:eastAsia="Calibri"/>
                <w:spacing w:val="-4"/>
              </w:rPr>
            </w:pPr>
            <w:r w:rsidRPr="004032F4">
              <w:rPr>
                <w:rFonts w:eastAsia="Calibri"/>
                <w:spacing w:val="-4"/>
              </w:rPr>
              <w:t>Безвозмездные поступления</w:t>
            </w:r>
          </w:p>
        </w:tc>
        <w:tc>
          <w:tcPr>
            <w:tcW w:w="2097" w:type="dxa"/>
            <w:vAlign w:val="bottom"/>
          </w:tcPr>
          <w:p w14:paraId="6B7A4CB4" w14:textId="61919E29" w:rsidR="00294A55" w:rsidRPr="004032F4" w:rsidRDefault="00294A55" w:rsidP="002E742B">
            <w:pPr>
              <w:jc w:val="center"/>
              <w:rPr>
                <w:rFonts w:eastAsia="Calibri"/>
                <w:spacing w:val="-4"/>
              </w:rPr>
            </w:pPr>
            <w:r w:rsidRPr="004032F4">
              <w:rPr>
                <w:rFonts w:eastAsia="Calibri"/>
                <w:spacing w:val="-4"/>
              </w:rPr>
              <w:t>-</w:t>
            </w:r>
            <w:r w:rsidR="002E742B" w:rsidRPr="004032F4">
              <w:rPr>
                <w:rFonts w:eastAsia="Calibri"/>
                <w:spacing w:val="-4"/>
              </w:rPr>
              <w:t>79,0</w:t>
            </w:r>
          </w:p>
        </w:tc>
        <w:tc>
          <w:tcPr>
            <w:tcW w:w="1872" w:type="dxa"/>
            <w:vAlign w:val="bottom"/>
          </w:tcPr>
          <w:p w14:paraId="4DDD784C" w14:textId="4129389C" w:rsidR="00294A55" w:rsidRPr="004032F4" w:rsidRDefault="00294A55" w:rsidP="002E742B">
            <w:pPr>
              <w:jc w:val="center"/>
              <w:rPr>
                <w:rFonts w:eastAsia="Calibri"/>
                <w:spacing w:val="-4"/>
              </w:rPr>
            </w:pPr>
            <w:r w:rsidRPr="004032F4">
              <w:rPr>
                <w:rFonts w:eastAsia="Calibri"/>
                <w:spacing w:val="-4"/>
              </w:rPr>
              <w:t>-</w:t>
            </w:r>
            <w:r w:rsidR="002E742B" w:rsidRPr="004032F4">
              <w:rPr>
                <w:rFonts w:eastAsia="Calibri"/>
                <w:spacing w:val="-4"/>
              </w:rPr>
              <w:t>19,4</w:t>
            </w:r>
          </w:p>
        </w:tc>
        <w:tc>
          <w:tcPr>
            <w:tcW w:w="1985" w:type="dxa"/>
            <w:vAlign w:val="bottom"/>
          </w:tcPr>
          <w:p w14:paraId="445CCC75" w14:textId="0B271852" w:rsidR="00294A55" w:rsidRPr="004032F4" w:rsidRDefault="00294A55" w:rsidP="002E742B">
            <w:pPr>
              <w:jc w:val="center"/>
              <w:rPr>
                <w:rFonts w:eastAsia="Calibri"/>
                <w:spacing w:val="-4"/>
              </w:rPr>
            </w:pPr>
            <w:r w:rsidRPr="004032F4">
              <w:rPr>
                <w:rFonts w:eastAsia="Calibri"/>
                <w:spacing w:val="-4"/>
              </w:rPr>
              <w:t>-</w:t>
            </w:r>
            <w:r w:rsidR="002E742B" w:rsidRPr="004032F4">
              <w:rPr>
                <w:rFonts w:eastAsia="Calibri"/>
                <w:spacing w:val="-4"/>
              </w:rPr>
              <w:t>0,4</w:t>
            </w:r>
          </w:p>
        </w:tc>
      </w:tr>
    </w:tbl>
    <w:p w14:paraId="67EB0C2B" w14:textId="45AD1278" w:rsidR="00321DEB" w:rsidRPr="004032F4" w:rsidRDefault="00294A55" w:rsidP="000F688B">
      <w:pPr>
        <w:spacing w:before="240" w:after="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Объем налоговых доходов </w:t>
      </w:r>
      <w:r w:rsidR="00321DEB" w:rsidRPr="004032F4">
        <w:rPr>
          <w:rFonts w:ascii="Times New Roman" w:eastAsia="Calibri" w:hAnsi="Times New Roman" w:cs="Times New Roman"/>
          <w:sz w:val="28"/>
          <w:szCs w:val="28"/>
        </w:rPr>
        <w:t xml:space="preserve">в </w:t>
      </w:r>
      <w:r w:rsidR="00933509" w:rsidRPr="004032F4">
        <w:rPr>
          <w:rFonts w:ascii="Times New Roman" w:eastAsia="Calibri" w:hAnsi="Times New Roman" w:cs="Times New Roman"/>
          <w:sz w:val="28"/>
          <w:szCs w:val="28"/>
        </w:rPr>
        <w:t>2025</w:t>
      </w:r>
      <w:r w:rsidR="00321DEB" w:rsidRPr="004032F4">
        <w:rPr>
          <w:rFonts w:ascii="Times New Roman" w:eastAsia="Calibri" w:hAnsi="Times New Roman" w:cs="Times New Roman"/>
          <w:sz w:val="28"/>
          <w:szCs w:val="28"/>
        </w:rPr>
        <w:t xml:space="preserve"> году </w:t>
      </w:r>
      <w:r w:rsidRPr="004032F4">
        <w:rPr>
          <w:rFonts w:ascii="Times New Roman" w:eastAsia="Calibri" w:hAnsi="Times New Roman" w:cs="Times New Roman"/>
          <w:sz w:val="28"/>
          <w:szCs w:val="28"/>
        </w:rPr>
        <w:t xml:space="preserve">прогнозируется с увеличением к </w:t>
      </w:r>
      <w:r w:rsidR="00321DEB" w:rsidRPr="004032F4">
        <w:rPr>
          <w:rFonts w:ascii="Times New Roman" w:eastAsia="Calibri" w:hAnsi="Times New Roman" w:cs="Times New Roman"/>
          <w:sz w:val="28"/>
          <w:szCs w:val="28"/>
        </w:rPr>
        <w:t>уровню ожидаемой оценки исполнения 202</w:t>
      </w:r>
      <w:r w:rsidR="002E742B" w:rsidRPr="004032F4">
        <w:rPr>
          <w:rFonts w:ascii="Times New Roman" w:eastAsia="Calibri" w:hAnsi="Times New Roman" w:cs="Times New Roman"/>
          <w:sz w:val="28"/>
          <w:szCs w:val="28"/>
        </w:rPr>
        <w:t>4</w:t>
      </w:r>
      <w:r w:rsidR="00321DEB" w:rsidRPr="004032F4">
        <w:rPr>
          <w:rFonts w:ascii="Times New Roman" w:eastAsia="Calibri" w:hAnsi="Times New Roman" w:cs="Times New Roman"/>
          <w:sz w:val="28"/>
          <w:szCs w:val="28"/>
        </w:rPr>
        <w:t xml:space="preserve"> года </w:t>
      </w:r>
      <w:r w:rsidRPr="004032F4">
        <w:rPr>
          <w:rFonts w:ascii="Times New Roman" w:eastAsia="Calibri" w:hAnsi="Times New Roman" w:cs="Times New Roman"/>
          <w:sz w:val="28"/>
          <w:szCs w:val="28"/>
        </w:rPr>
        <w:t xml:space="preserve">на </w:t>
      </w:r>
      <w:r w:rsidR="002E742B" w:rsidRPr="004032F4">
        <w:rPr>
          <w:rFonts w:ascii="Times New Roman" w:eastAsia="Calibri" w:hAnsi="Times New Roman" w:cs="Times New Roman"/>
          <w:sz w:val="28"/>
          <w:szCs w:val="28"/>
        </w:rPr>
        <w:t>6,4</w:t>
      </w:r>
      <w:r w:rsidRPr="004032F4">
        <w:rPr>
          <w:rFonts w:ascii="Times New Roman" w:eastAsia="Calibri" w:hAnsi="Times New Roman" w:cs="Times New Roman"/>
          <w:sz w:val="28"/>
          <w:szCs w:val="28"/>
        </w:rPr>
        <w:t xml:space="preserve">%, </w:t>
      </w:r>
      <w:r w:rsidR="00321DEB" w:rsidRPr="004032F4">
        <w:rPr>
          <w:rFonts w:ascii="Times New Roman" w:eastAsia="Calibri" w:hAnsi="Times New Roman" w:cs="Times New Roman"/>
          <w:sz w:val="28"/>
          <w:szCs w:val="28"/>
        </w:rPr>
        <w:t>в</w:t>
      </w:r>
      <w:r w:rsidR="003E32A1" w:rsidRPr="004032F4">
        <w:rPr>
          <w:rFonts w:ascii="Times New Roman" w:eastAsia="Calibri" w:hAnsi="Times New Roman" w:cs="Times New Roman"/>
          <w:sz w:val="28"/>
          <w:szCs w:val="28"/>
        </w:rPr>
        <w:t xml:space="preserve"> </w:t>
      </w:r>
      <w:r w:rsidR="00933509" w:rsidRPr="004032F4">
        <w:rPr>
          <w:rFonts w:ascii="Times New Roman" w:eastAsia="Calibri" w:hAnsi="Times New Roman" w:cs="Times New Roman"/>
          <w:sz w:val="28"/>
          <w:szCs w:val="28"/>
        </w:rPr>
        <w:t>2026</w:t>
      </w:r>
      <w:r w:rsidRPr="004032F4">
        <w:rPr>
          <w:rFonts w:ascii="Times New Roman" w:eastAsia="Calibri" w:hAnsi="Times New Roman" w:cs="Times New Roman"/>
          <w:sz w:val="28"/>
          <w:szCs w:val="28"/>
        </w:rPr>
        <w:t xml:space="preserve"> год</w:t>
      </w:r>
      <w:r w:rsidR="00321DEB" w:rsidRPr="004032F4">
        <w:rPr>
          <w:rFonts w:ascii="Times New Roman" w:eastAsia="Calibri" w:hAnsi="Times New Roman" w:cs="Times New Roman"/>
          <w:sz w:val="28"/>
          <w:szCs w:val="28"/>
        </w:rPr>
        <w:t>у</w:t>
      </w:r>
      <w:r w:rsidRPr="004032F4">
        <w:rPr>
          <w:rFonts w:ascii="Times New Roman" w:eastAsia="Calibri" w:hAnsi="Times New Roman" w:cs="Times New Roman"/>
          <w:sz w:val="28"/>
          <w:szCs w:val="28"/>
        </w:rPr>
        <w:t xml:space="preserve"> </w:t>
      </w:r>
      <w:r w:rsidR="00321DEB" w:rsidRPr="004032F4">
        <w:rPr>
          <w:rFonts w:ascii="Times New Roman" w:eastAsia="Calibri" w:hAnsi="Times New Roman" w:cs="Times New Roman"/>
          <w:sz w:val="28"/>
          <w:szCs w:val="28"/>
        </w:rPr>
        <w:t xml:space="preserve">– с увеличением к </w:t>
      </w:r>
      <w:r w:rsidR="00933509" w:rsidRPr="004032F4">
        <w:rPr>
          <w:rFonts w:ascii="Times New Roman" w:eastAsia="Calibri" w:hAnsi="Times New Roman" w:cs="Times New Roman"/>
          <w:sz w:val="28"/>
          <w:szCs w:val="28"/>
        </w:rPr>
        <w:t>2025</w:t>
      </w:r>
      <w:r w:rsidR="00321DEB" w:rsidRPr="004032F4">
        <w:rPr>
          <w:rFonts w:ascii="Times New Roman" w:eastAsia="Calibri" w:hAnsi="Times New Roman" w:cs="Times New Roman"/>
          <w:sz w:val="28"/>
          <w:szCs w:val="28"/>
        </w:rPr>
        <w:t xml:space="preserve"> году на </w:t>
      </w:r>
      <w:r w:rsidR="002E742B" w:rsidRPr="004032F4">
        <w:rPr>
          <w:rFonts w:ascii="Times New Roman" w:eastAsia="Calibri" w:hAnsi="Times New Roman" w:cs="Times New Roman"/>
          <w:sz w:val="28"/>
          <w:szCs w:val="28"/>
        </w:rPr>
        <w:t>9,0</w:t>
      </w:r>
      <w:r w:rsidR="00321DEB" w:rsidRPr="004032F4">
        <w:rPr>
          <w:rFonts w:ascii="Times New Roman" w:eastAsia="Calibri" w:hAnsi="Times New Roman" w:cs="Times New Roman"/>
          <w:sz w:val="28"/>
          <w:szCs w:val="28"/>
        </w:rPr>
        <w:t xml:space="preserve">% </w:t>
      </w:r>
      <w:r w:rsidRPr="004032F4">
        <w:rPr>
          <w:rFonts w:ascii="Times New Roman" w:eastAsia="Calibri" w:hAnsi="Times New Roman" w:cs="Times New Roman"/>
          <w:sz w:val="28"/>
          <w:szCs w:val="28"/>
        </w:rPr>
        <w:t xml:space="preserve">и в </w:t>
      </w:r>
      <w:r w:rsidR="00933509" w:rsidRPr="004032F4">
        <w:rPr>
          <w:rFonts w:ascii="Times New Roman" w:eastAsia="Calibri" w:hAnsi="Times New Roman" w:cs="Times New Roman"/>
          <w:sz w:val="28"/>
          <w:szCs w:val="28"/>
        </w:rPr>
        <w:t>2027</w:t>
      </w:r>
      <w:r w:rsidRPr="004032F4">
        <w:rPr>
          <w:rFonts w:ascii="Times New Roman" w:eastAsia="Calibri" w:hAnsi="Times New Roman" w:cs="Times New Roman"/>
          <w:sz w:val="28"/>
          <w:szCs w:val="28"/>
        </w:rPr>
        <w:t xml:space="preserve"> году</w:t>
      </w:r>
      <w:r w:rsidR="00321DEB" w:rsidRPr="004032F4">
        <w:rPr>
          <w:rFonts w:ascii="Times New Roman" w:eastAsia="Calibri" w:hAnsi="Times New Roman" w:cs="Times New Roman"/>
          <w:sz w:val="28"/>
          <w:szCs w:val="28"/>
        </w:rPr>
        <w:t xml:space="preserve"> – с увеличением к </w:t>
      </w:r>
      <w:r w:rsidR="00933509" w:rsidRPr="004032F4">
        <w:rPr>
          <w:rFonts w:ascii="Times New Roman" w:eastAsia="Calibri" w:hAnsi="Times New Roman" w:cs="Times New Roman"/>
          <w:sz w:val="28"/>
          <w:szCs w:val="28"/>
        </w:rPr>
        <w:t>2026</w:t>
      </w:r>
      <w:r w:rsidR="00321DEB" w:rsidRPr="004032F4">
        <w:rPr>
          <w:rFonts w:ascii="Times New Roman" w:eastAsia="Calibri" w:hAnsi="Times New Roman" w:cs="Times New Roman"/>
          <w:sz w:val="28"/>
          <w:szCs w:val="28"/>
        </w:rPr>
        <w:t xml:space="preserve"> году на </w:t>
      </w:r>
      <w:r w:rsidR="002E742B" w:rsidRPr="004032F4">
        <w:rPr>
          <w:rFonts w:ascii="Times New Roman" w:eastAsia="Calibri" w:hAnsi="Times New Roman" w:cs="Times New Roman"/>
          <w:sz w:val="28"/>
          <w:szCs w:val="28"/>
        </w:rPr>
        <w:t>9,6</w:t>
      </w:r>
      <w:r w:rsidR="00321DEB" w:rsidRPr="004032F4">
        <w:rPr>
          <w:rFonts w:ascii="Times New Roman" w:eastAsia="Calibri" w:hAnsi="Times New Roman" w:cs="Times New Roman"/>
          <w:sz w:val="28"/>
          <w:szCs w:val="28"/>
        </w:rPr>
        <w:t>%</w:t>
      </w:r>
      <w:r w:rsidRPr="004032F4">
        <w:rPr>
          <w:rFonts w:ascii="Times New Roman" w:eastAsia="Calibri" w:hAnsi="Times New Roman" w:cs="Times New Roman"/>
          <w:sz w:val="28"/>
          <w:szCs w:val="28"/>
        </w:rPr>
        <w:t xml:space="preserve">. </w:t>
      </w:r>
    </w:p>
    <w:p w14:paraId="65E3FAE9" w14:textId="019CC80E" w:rsidR="00321DEB" w:rsidRPr="004032F4" w:rsidRDefault="00294A55" w:rsidP="00294A55">
      <w:pPr>
        <w:spacing w:after="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Объем неналоговых доходов </w:t>
      </w:r>
      <w:r w:rsidR="00321DEB" w:rsidRPr="004032F4">
        <w:rPr>
          <w:rFonts w:ascii="Times New Roman" w:eastAsia="Calibri" w:hAnsi="Times New Roman" w:cs="Times New Roman"/>
          <w:sz w:val="28"/>
          <w:szCs w:val="28"/>
        </w:rPr>
        <w:t xml:space="preserve">в </w:t>
      </w:r>
      <w:r w:rsidR="00933509" w:rsidRPr="004032F4">
        <w:rPr>
          <w:rFonts w:ascii="Times New Roman" w:eastAsia="Calibri" w:hAnsi="Times New Roman" w:cs="Times New Roman"/>
          <w:sz w:val="28"/>
          <w:szCs w:val="28"/>
        </w:rPr>
        <w:t>2025</w:t>
      </w:r>
      <w:r w:rsidR="00321DEB" w:rsidRPr="004032F4">
        <w:rPr>
          <w:rFonts w:ascii="Times New Roman" w:eastAsia="Calibri" w:hAnsi="Times New Roman" w:cs="Times New Roman"/>
          <w:sz w:val="28"/>
          <w:szCs w:val="28"/>
        </w:rPr>
        <w:t xml:space="preserve"> году </w:t>
      </w:r>
      <w:r w:rsidRPr="004032F4">
        <w:rPr>
          <w:rFonts w:ascii="Times New Roman" w:eastAsia="Calibri" w:hAnsi="Times New Roman" w:cs="Times New Roman"/>
          <w:sz w:val="28"/>
          <w:szCs w:val="28"/>
        </w:rPr>
        <w:t xml:space="preserve">прогнозируется с уменьшением </w:t>
      </w:r>
      <w:r w:rsidR="00321DEB" w:rsidRPr="004032F4">
        <w:rPr>
          <w:rFonts w:ascii="Times New Roman" w:eastAsia="Calibri" w:hAnsi="Times New Roman" w:cs="Times New Roman"/>
          <w:sz w:val="28"/>
          <w:szCs w:val="28"/>
        </w:rPr>
        <w:t>к уровню ожидаемой оценки исполнения 202</w:t>
      </w:r>
      <w:r w:rsidR="002E742B" w:rsidRPr="004032F4">
        <w:rPr>
          <w:rFonts w:ascii="Times New Roman" w:eastAsia="Calibri" w:hAnsi="Times New Roman" w:cs="Times New Roman"/>
          <w:sz w:val="28"/>
          <w:szCs w:val="28"/>
        </w:rPr>
        <w:t>4</w:t>
      </w:r>
      <w:r w:rsidR="00321DEB" w:rsidRPr="004032F4">
        <w:rPr>
          <w:rFonts w:ascii="Times New Roman" w:eastAsia="Calibri" w:hAnsi="Times New Roman" w:cs="Times New Roman"/>
          <w:sz w:val="28"/>
          <w:szCs w:val="28"/>
        </w:rPr>
        <w:t xml:space="preserve"> года </w:t>
      </w:r>
      <w:r w:rsidRPr="004032F4">
        <w:rPr>
          <w:rFonts w:ascii="Times New Roman" w:eastAsia="Calibri" w:hAnsi="Times New Roman" w:cs="Times New Roman"/>
          <w:sz w:val="28"/>
          <w:szCs w:val="28"/>
        </w:rPr>
        <w:t xml:space="preserve">на </w:t>
      </w:r>
      <w:r w:rsidR="002E742B" w:rsidRPr="004032F4">
        <w:rPr>
          <w:rFonts w:ascii="Times New Roman" w:eastAsia="Calibri" w:hAnsi="Times New Roman" w:cs="Times New Roman"/>
          <w:sz w:val="28"/>
          <w:szCs w:val="28"/>
        </w:rPr>
        <w:t>44,7</w:t>
      </w:r>
      <w:r w:rsidRPr="004032F4">
        <w:rPr>
          <w:rFonts w:ascii="Times New Roman" w:eastAsia="Calibri" w:hAnsi="Times New Roman" w:cs="Times New Roman"/>
          <w:sz w:val="28"/>
          <w:szCs w:val="28"/>
        </w:rPr>
        <w:t xml:space="preserve">%, </w:t>
      </w:r>
      <w:r w:rsidR="00E14D1B" w:rsidRPr="004032F4">
        <w:rPr>
          <w:rFonts w:ascii="Times New Roman" w:eastAsia="Calibri" w:hAnsi="Times New Roman" w:cs="Times New Roman"/>
          <w:sz w:val="28"/>
          <w:szCs w:val="28"/>
        </w:rPr>
        <w:t xml:space="preserve">в </w:t>
      </w:r>
      <w:r w:rsidR="00933509" w:rsidRPr="004032F4">
        <w:rPr>
          <w:rFonts w:ascii="Times New Roman" w:eastAsia="Calibri" w:hAnsi="Times New Roman" w:cs="Times New Roman"/>
          <w:sz w:val="28"/>
          <w:szCs w:val="28"/>
        </w:rPr>
        <w:t>2026</w:t>
      </w:r>
      <w:r w:rsidR="00E14D1B" w:rsidRPr="004032F4">
        <w:rPr>
          <w:rFonts w:ascii="Times New Roman" w:eastAsia="Calibri" w:hAnsi="Times New Roman" w:cs="Times New Roman"/>
          <w:sz w:val="28"/>
          <w:szCs w:val="28"/>
        </w:rPr>
        <w:t xml:space="preserve"> году – с увеличением к </w:t>
      </w:r>
      <w:r w:rsidR="00933509" w:rsidRPr="004032F4">
        <w:rPr>
          <w:rFonts w:ascii="Times New Roman" w:eastAsia="Calibri" w:hAnsi="Times New Roman" w:cs="Times New Roman"/>
          <w:sz w:val="28"/>
          <w:szCs w:val="28"/>
        </w:rPr>
        <w:t>2025</w:t>
      </w:r>
      <w:r w:rsidR="00E14D1B" w:rsidRPr="004032F4">
        <w:rPr>
          <w:rFonts w:ascii="Times New Roman" w:eastAsia="Calibri" w:hAnsi="Times New Roman" w:cs="Times New Roman"/>
          <w:sz w:val="28"/>
          <w:szCs w:val="28"/>
        </w:rPr>
        <w:t xml:space="preserve"> году на 0,</w:t>
      </w:r>
      <w:r w:rsidR="002E742B" w:rsidRPr="004032F4">
        <w:rPr>
          <w:rFonts w:ascii="Times New Roman" w:eastAsia="Calibri" w:hAnsi="Times New Roman" w:cs="Times New Roman"/>
          <w:sz w:val="28"/>
          <w:szCs w:val="28"/>
        </w:rPr>
        <w:t>3</w:t>
      </w:r>
      <w:r w:rsidR="00E14D1B" w:rsidRPr="004032F4">
        <w:rPr>
          <w:rFonts w:ascii="Times New Roman" w:eastAsia="Calibri" w:hAnsi="Times New Roman" w:cs="Times New Roman"/>
          <w:sz w:val="28"/>
          <w:szCs w:val="28"/>
        </w:rPr>
        <w:t xml:space="preserve">%, в </w:t>
      </w:r>
      <w:r w:rsidR="00933509" w:rsidRPr="004032F4">
        <w:rPr>
          <w:rFonts w:ascii="Times New Roman" w:eastAsia="Calibri" w:hAnsi="Times New Roman" w:cs="Times New Roman"/>
          <w:sz w:val="28"/>
          <w:szCs w:val="28"/>
        </w:rPr>
        <w:t>2027</w:t>
      </w:r>
      <w:r w:rsidR="00E14D1B" w:rsidRPr="004032F4">
        <w:rPr>
          <w:rFonts w:ascii="Times New Roman" w:eastAsia="Calibri" w:hAnsi="Times New Roman" w:cs="Times New Roman"/>
          <w:sz w:val="28"/>
          <w:szCs w:val="28"/>
        </w:rPr>
        <w:t xml:space="preserve"> году – с </w:t>
      </w:r>
      <w:r w:rsidR="002E742B" w:rsidRPr="004032F4">
        <w:rPr>
          <w:rFonts w:ascii="Times New Roman" w:eastAsia="Calibri" w:hAnsi="Times New Roman" w:cs="Times New Roman"/>
          <w:sz w:val="28"/>
          <w:szCs w:val="28"/>
        </w:rPr>
        <w:t>увеличением</w:t>
      </w:r>
      <w:r w:rsidR="00E14D1B" w:rsidRPr="004032F4">
        <w:rPr>
          <w:rFonts w:ascii="Times New Roman" w:eastAsia="Calibri" w:hAnsi="Times New Roman" w:cs="Times New Roman"/>
          <w:sz w:val="28"/>
          <w:szCs w:val="28"/>
        </w:rPr>
        <w:t xml:space="preserve"> к </w:t>
      </w:r>
      <w:r w:rsidR="00933509" w:rsidRPr="004032F4">
        <w:rPr>
          <w:rFonts w:ascii="Times New Roman" w:eastAsia="Calibri" w:hAnsi="Times New Roman" w:cs="Times New Roman"/>
          <w:sz w:val="28"/>
          <w:szCs w:val="28"/>
        </w:rPr>
        <w:t>2026</w:t>
      </w:r>
      <w:r w:rsidR="00E14D1B" w:rsidRPr="004032F4">
        <w:rPr>
          <w:rFonts w:ascii="Times New Roman" w:eastAsia="Calibri" w:hAnsi="Times New Roman" w:cs="Times New Roman"/>
          <w:sz w:val="28"/>
          <w:szCs w:val="28"/>
        </w:rPr>
        <w:t xml:space="preserve"> году на 0,2%. </w:t>
      </w:r>
    </w:p>
    <w:p w14:paraId="78C2A683" w14:textId="1173D113" w:rsidR="00294A55" w:rsidRPr="004032F4" w:rsidRDefault="00294A55" w:rsidP="00294A55">
      <w:pPr>
        <w:spacing w:after="0" w:line="240" w:lineRule="auto"/>
        <w:ind w:firstLine="709"/>
        <w:jc w:val="both"/>
        <w:rPr>
          <w:rFonts w:ascii="Times New Roman" w:eastAsia="Calibri" w:hAnsi="Times New Roman" w:cs="Times New Roman"/>
          <w:spacing w:val="-4"/>
          <w:sz w:val="28"/>
          <w:szCs w:val="28"/>
        </w:rPr>
      </w:pPr>
      <w:r w:rsidRPr="004032F4">
        <w:rPr>
          <w:rFonts w:ascii="Times New Roman" w:eastAsia="Calibri" w:hAnsi="Times New Roman" w:cs="Times New Roman"/>
          <w:spacing w:val="-4"/>
          <w:sz w:val="28"/>
          <w:szCs w:val="28"/>
        </w:rPr>
        <w:lastRenderedPageBreak/>
        <w:t xml:space="preserve">Объем безвозмездных поступлений </w:t>
      </w:r>
      <w:r w:rsidR="00321DEB" w:rsidRPr="004032F4">
        <w:rPr>
          <w:rFonts w:ascii="Times New Roman" w:eastAsia="Calibri" w:hAnsi="Times New Roman" w:cs="Times New Roman"/>
          <w:spacing w:val="-4"/>
          <w:sz w:val="28"/>
          <w:szCs w:val="28"/>
        </w:rPr>
        <w:t xml:space="preserve">в </w:t>
      </w:r>
      <w:r w:rsidR="00933509" w:rsidRPr="004032F4">
        <w:rPr>
          <w:rFonts w:ascii="Times New Roman" w:eastAsia="Calibri" w:hAnsi="Times New Roman" w:cs="Times New Roman"/>
          <w:spacing w:val="-4"/>
          <w:sz w:val="28"/>
          <w:szCs w:val="28"/>
        </w:rPr>
        <w:t>2025</w:t>
      </w:r>
      <w:r w:rsidR="00321DEB" w:rsidRPr="004032F4">
        <w:rPr>
          <w:rFonts w:ascii="Times New Roman" w:eastAsia="Calibri" w:hAnsi="Times New Roman" w:cs="Times New Roman"/>
          <w:spacing w:val="-4"/>
          <w:sz w:val="28"/>
          <w:szCs w:val="28"/>
        </w:rPr>
        <w:t xml:space="preserve"> году </w:t>
      </w:r>
      <w:r w:rsidRPr="004032F4">
        <w:rPr>
          <w:rFonts w:ascii="Times New Roman" w:eastAsia="Calibri" w:hAnsi="Times New Roman" w:cs="Times New Roman"/>
          <w:spacing w:val="-4"/>
          <w:sz w:val="28"/>
          <w:szCs w:val="28"/>
        </w:rPr>
        <w:t xml:space="preserve">спрогнозирован с уменьшением к уровню ожидаемой оценки </w:t>
      </w:r>
      <w:r w:rsidR="00321DEB" w:rsidRPr="004032F4">
        <w:rPr>
          <w:rFonts w:ascii="Times New Roman" w:eastAsia="Calibri" w:hAnsi="Times New Roman" w:cs="Times New Roman"/>
          <w:spacing w:val="-4"/>
          <w:sz w:val="28"/>
          <w:szCs w:val="28"/>
        </w:rPr>
        <w:t xml:space="preserve">исполнения </w:t>
      </w:r>
      <w:r w:rsidRPr="004032F4">
        <w:rPr>
          <w:rFonts w:ascii="Times New Roman" w:eastAsia="Calibri" w:hAnsi="Times New Roman" w:cs="Times New Roman"/>
          <w:spacing w:val="-4"/>
          <w:sz w:val="28"/>
          <w:szCs w:val="28"/>
        </w:rPr>
        <w:t>202</w:t>
      </w:r>
      <w:r w:rsidR="002E742B" w:rsidRPr="004032F4">
        <w:rPr>
          <w:rFonts w:ascii="Times New Roman" w:eastAsia="Calibri" w:hAnsi="Times New Roman" w:cs="Times New Roman"/>
          <w:spacing w:val="-4"/>
          <w:sz w:val="28"/>
          <w:szCs w:val="28"/>
        </w:rPr>
        <w:t>4</w:t>
      </w:r>
      <w:r w:rsidR="00540A49" w:rsidRPr="004032F4">
        <w:rPr>
          <w:rFonts w:ascii="Times New Roman" w:eastAsia="Calibri" w:hAnsi="Times New Roman" w:cs="Times New Roman"/>
          <w:spacing w:val="-4"/>
          <w:sz w:val="28"/>
          <w:szCs w:val="28"/>
        </w:rPr>
        <w:t xml:space="preserve"> </w:t>
      </w:r>
      <w:r w:rsidRPr="004032F4">
        <w:rPr>
          <w:rFonts w:ascii="Times New Roman" w:eastAsia="Calibri" w:hAnsi="Times New Roman" w:cs="Times New Roman"/>
          <w:spacing w:val="-4"/>
          <w:sz w:val="28"/>
          <w:szCs w:val="28"/>
        </w:rPr>
        <w:t>года</w:t>
      </w:r>
      <w:r w:rsidR="00321DEB" w:rsidRPr="004032F4">
        <w:rPr>
          <w:rFonts w:ascii="Times New Roman" w:eastAsia="Calibri" w:hAnsi="Times New Roman" w:cs="Times New Roman"/>
          <w:spacing w:val="-4"/>
          <w:sz w:val="28"/>
          <w:szCs w:val="28"/>
        </w:rPr>
        <w:t xml:space="preserve"> на </w:t>
      </w:r>
      <w:r w:rsidR="002E742B" w:rsidRPr="004032F4">
        <w:rPr>
          <w:rFonts w:ascii="Times New Roman" w:eastAsia="Calibri" w:hAnsi="Times New Roman" w:cs="Times New Roman"/>
          <w:spacing w:val="-4"/>
          <w:sz w:val="28"/>
          <w:szCs w:val="28"/>
        </w:rPr>
        <w:t>79</w:t>
      </w:r>
      <w:r w:rsidR="00321DEB" w:rsidRPr="004032F4">
        <w:rPr>
          <w:rFonts w:ascii="Times New Roman" w:eastAsia="Calibri" w:hAnsi="Times New Roman" w:cs="Times New Roman"/>
          <w:spacing w:val="-4"/>
          <w:sz w:val="28"/>
          <w:szCs w:val="28"/>
        </w:rPr>
        <w:t>%</w:t>
      </w:r>
      <w:r w:rsidRPr="004032F4">
        <w:rPr>
          <w:rFonts w:ascii="Times New Roman" w:eastAsia="Calibri" w:hAnsi="Times New Roman" w:cs="Times New Roman"/>
          <w:spacing w:val="-4"/>
          <w:sz w:val="28"/>
          <w:szCs w:val="28"/>
        </w:rPr>
        <w:t>, что</w:t>
      </w:r>
      <w:r w:rsidR="00D235F6" w:rsidRPr="004032F4">
        <w:rPr>
          <w:rFonts w:ascii="Times New Roman" w:eastAsia="Calibri" w:hAnsi="Times New Roman" w:cs="Times New Roman"/>
          <w:spacing w:val="-4"/>
          <w:sz w:val="28"/>
          <w:szCs w:val="28"/>
        </w:rPr>
        <w:t>,</w:t>
      </w:r>
      <w:r w:rsidRPr="004032F4">
        <w:rPr>
          <w:rFonts w:ascii="Times New Roman" w:eastAsia="Calibri" w:hAnsi="Times New Roman" w:cs="Times New Roman"/>
          <w:spacing w:val="-4"/>
          <w:sz w:val="28"/>
          <w:szCs w:val="28"/>
        </w:rPr>
        <w:t xml:space="preserve"> согласно пояснительной записке к проекту </w:t>
      </w:r>
      <w:r w:rsidR="00321DEB" w:rsidRPr="004032F4">
        <w:rPr>
          <w:rFonts w:ascii="Times New Roman" w:eastAsia="Calibri" w:hAnsi="Times New Roman" w:cs="Times New Roman"/>
          <w:spacing w:val="-4"/>
          <w:sz w:val="28"/>
          <w:szCs w:val="28"/>
        </w:rPr>
        <w:t>бюджета</w:t>
      </w:r>
      <w:r w:rsidR="00D235F6" w:rsidRPr="004032F4">
        <w:rPr>
          <w:rFonts w:ascii="Times New Roman" w:eastAsia="Calibri" w:hAnsi="Times New Roman" w:cs="Times New Roman"/>
          <w:spacing w:val="-4"/>
          <w:sz w:val="28"/>
          <w:szCs w:val="28"/>
        </w:rPr>
        <w:t>,</w:t>
      </w:r>
      <w:r w:rsidR="00321DEB" w:rsidRPr="004032F4">
        <w:rPr>
          <w:rFonts w:ascii="Times New Roman" w:eastAsia="Calibri" w:hAnsi="Times New Roman" w:cs="Times New Roman"/>
          <w:spacing w:val="-4"/>
          <w:sz w:val="28"/>
          <w:szCs w:val="28"/>
        </w:rPr>
        <w:t xml:space="preserve"> </w:t>
      </w:r>
      <w:r w:rsidR="00022D1B" w:rsidRPr="004032F4">
        <w:rPr>
          <w:rFonts w:ascii="Times New Roman" w:eastAsia="Calibri" w:hAnsi="Times New Roman" w:cs="Times New Roman"/>
          <w:spacing w:val="-4"/>
          <w:sz w:val="28"/>
          <w:szCs w:val="28"/>
        </w:rPr>
        <w:t>обусловлено</w:t>
      </w:r>
      <w:r w:rsidR="00974870" w:rsidRPr="004032F4">
        <w:rPr>
          <w:rFonts w:ascii="Times New Roman" w:eastAsia="Calibri" w:hAnsi="Times New Roman" w:cs="Times New Roman"/>
          <w:spacing w:val="-4"/>
          <w:sz w:val="28"/>
          <w:szCs w:val="28"/>
        </w:rPr>
        <w:t xml:space="preserve"> </w:t>
      </w:r>
      <w:proofErr w:type="spellStart"/>
      <w:r w:rsidR="00974870" w:rsidRPr="004032F4">
        <w:rPr>
          <w:rFonts w:ascii="Times New Roman" w:eastAsia="Calibri" w:hAnsi="Times New Roman" w:cs="Times New Roman"/>
          <w:spacing w:val="-4"/>
          <w:sz w:val="28"/>
          <w:szCs w:val="28"/>
        </w:rPr>
        <w:t>нераспределением</w:t>
      </w:r>
      <w:proofErr w:type="spellEnd"/>
      <w:r w:rsidR="00974870" w:rsidRPr="004032F4">
        <w:rPr>
          <w:rFonts w:ascii="Times New Roman" w:eastAsia="Calibri" w:hAnsi="Times New Roman" w:cs="Times New Roman"/>
          <w:spacing w:val="-4"/>
          <w:sz w:val="28"/>
          <w:szCs w:val="28"/>
        </w:rPr>
        <w:t xml:space="preserve"> в проекте федерального бюджета дотаций, отдельных видов межбюджетных трансфертов</w:t>
      </w:r>
      <w:r w:rsidR="00321DEB" w:rsidRPr="004032F4">
        <w:rPr>
          <w:rFonts w:ascii="Times New Roman" w:eastAsia="Calibri" w:hAnsi="Times New Roman" w:cs="Times New Roman"/>
          <w:spacing w:val="-4"/>
          <w:sz w:val="28"/>
          <w:szCs w:val="28"/>
        </w:rPr>
        <w:t xml:space="preserve">, в </w:t>
      </w:r>
      <w:r w:rsidR="00933509" w:rsidRPr="004032F4">
        <w:rPr>
          <w:rFonts w:ascii="Times New Roman" w:eastAsia="Calibri" w:hAnsi="Times New Roman" w:cs="Times New Roman"/>
          <w:spacing w:val="-4"/>
          <w:sz w:val="28"/>
          <w:szCs w:val="28"/>
        </w:rPr>
        <w:t>2025</w:t>
      </w:r>
      <w:r w:rsidR="00321DEB" w:rsidRPr="004032F4">
        <w:rPr>
          <w:rFonts w:ascii="Times New Roman" w:eastAsia="Calibri" w:hAnsi="Times New Roman" w:cs="Times New Roman"/>
          <w:spacing w:val="-4"/>
          <w:sz w:val="28"/>
          <w:szCs w:val="28"/>
        </w:rPr>
        <w:t xml:space="preserve"> и </w:t>
      </w:r>
      <w:r w:rsidR="00933509" w:rsidRPr="004032F4">
        <w:rPr>
          <w:rFonts w:ascii="Times New Roman" w:eastAsia="Calibri" w:hAnsi="Times New Roman" w:cs="Times New Roman"/>
          <w:spacing w:val="-4"/>
          <w:sz w:val="28"/>
          <w:szCs w:val="28"/>
        </w:rPr>
        <w:t>2026</w:t>
      </w:r>
      <w:r w:rsidR="00321DEB" w:rsidRPr="004032F4">
        <w:rPr>
          <w:rFonts w:ascii="Times New Roman" w:eastAsia="Calibri" w:hAnsi="Times New Roman" w:cs="Times New Roman"/>
          <w:spacing w:val="-4"/>
          <w:sz w:val="28"/>
          <w:szCs w:val="28"/>
        </w:rPr>
        <w:t xml:space="preserve"> годах уменьшение к предыдущему году составит </w:t>
      </w:r>
      <w:r w:rsidR="002E742B" w:rsidRPr="004032F4">
        <w:rPr>
          <w:rFonts w:ascii="Times New Roman" w:eastAsia="Calibri" w:hAnsi="Times New Roman" w:cs="Times New Roman"/>
          <w:spacing w:val="-4"/>
          <w:sz w:val="28"/>
          <w:szCs w:val="28"/>
        </w:rPr>
        <w:t>19,4</w:t>
      </w:r>
      <w:r w:rsidR="00321DEB" w:rsidRPr="004032F4">
        <w:rPr>
          <w:rFonts w:ascii="Times New Roman" w:eastAsia="Calibri" w:hAnsi="Times New Roman" w:cs="Times New Roman"/>
          <w:spacing w:val="-4"/>
          <w:sz w:val="28"/>
          <w:szCs w:val="28"/>
        </w:rPr>
        <w:t xml:space="preserve">% и </w:t>
      </w:r>
      <w:r w:rsidR="002E742B" w:rsidRPr="004032F4">
        <w:rPr>
          <w:rFonts w:ascii="Times New Roman" w:eastAsia="Calibri" w:hAnsi="Times New Roman" w:cs="Times New Roman"/>
          <w:spacing w:val="-4"/>
          <w:sz w:val="28"/>
          <w:szCs w:val="28"/>
        </w:rPr>
        <w:t>0,4</w:t>
      </w:r>
      <w:r w:rsidR="00321DEB" w:rsidRPr="004032F4">
        <w:rPr>
          <w:rFonts w:ascii="Times New Roman" w:eastAsia="Calibri" w:hAnsi="Times New Roman" w:cs="Times New Roman"/>
          <w:spacing w:val="-4"/>
          <w:sz w:val="28"/>
          <w:szCs w:val="28"/>
        </w:rPr>
        <w:t>% соответственно.</w:t>
      </w:r>
      <w:r w:rsidRPr="004032F4">
        <w:rPr>
          <w:rFonts w:ascii="Times New Roman" w:eastAsia="Calibri" w:hAnsi="Times New Roman" w:cs="Times New Roman"/>
          <w:spacing w:val="-4"/>
          <w:sz w:val="28"/>
          <w:szCs w:val="28"/>
        </w:rPr>
        <w:t xml:space="preserve"> </w:t>
      </w:r>
    </w:p>
    <w:p w14:paraId="10A042F9" w14:textId="7C47EB3F" w:rsidR="00034979" w:rsidRPr="004032F4" w:rsidRDefault="00034979" w:rsidP="00034979">
      <w:pPr>
        <w:spacing w:before="40" w:after="0" w:line="240" w:lineRule="auto"/>
        <w:ind w:firstLine="709"/>
        <w:jc w:val="both"/>
        <w:rPr>
          <w:rFonts w:ascii="Times New Roman" w:eastAsia="Calibri" w:hAnsi="Times New Roman" w:cs="Times New Roman"/>
          <w:sz w:val="28"/>
        </w:rPr>
      </w:pPr>
      <w:r w:rsidRPr="004032F4">
        <w:rPr>
          <w:rFonts w:ascii="Times New Roman" w:eastAsia="Calibri" w:hAnsi="Times New Roman" w:cs="Times New Roman"/>
          <w:sz w:val="28"/>
        </w:rPr>
        <w:t>Параметры доходов бюджета области за период 202</w:t>
      </w:r>
      <w:r w:rsidR="004D3F36" w:rsidRPr="004032F4">
        <w:rPr>
          <w:rFonts w:ascii="Times New Roman" w:eastAsia="Calibri" w:hAnsi="Times New Roman" w:cs="Times New Roman"/>
          <w:sz w:val="28"/>
        </w:rPr>
        <w:t>4</w:t>
      </w:r>
      <w:r w:rsidRPr="004032F4">
        <w:rPr>
          <w:rFonts w:ascii="Times New Roman" w:eastAsia="Calibri" w:hAnsi="Times New Roman" w:cs="Times New Roman"/>
          <w:sz w:val="28"/>
        </w:rPr>
        <w:t>–</w:t>
      </w:r>
      <w:r w:rsidR="00933509" w:rsidRPr="004032F4">
        <w:rPr>
          <w:rFonts w:ascii="Times New Roman" w:eastAsia="Calibri" w:hAnsi="Times New Roman" w:cs="Times New Roman"/>
          <w:sz w:val="28"/>
        </w:rPr>
        <w:t>2027</w:t>
      </w:r>
      <w:r w:rsidRPr="004032F4">
        <w:rPr>
          <w:rFonts w:ascii="Times New Roman" w:eastAsia="Calibri" w:hAnsi="Times New Roman" w:cs="Times New Roman"/>
          <w:sz w:val="28"/>
        </w:rPr>
        <w:t xml:space="preserve"> годов представлены в приложении №1 к настоящему заключению.</w:t>
      </w:r>
    </w:p>
    <w:p w14:paraId="3AEEE626" w14:textId="45A69781" w:rsidR="004F7601" w:rsidRPr="004032F4" w:rsidRDefault="00970823" w:rsidP="00352D19">
      <w:pPr>
        <w:spacing w:before="40" w:after="0" w:line="240" w:lineRule="auto"/>
        <w:ind w:firstLine="709"/>
        <w:jc w:val="both"/>
        <w:rPr>
          <w:rFonts w:ascii="Times New Roman" w:eastAsia="Calibri" w:hAnsi="Times New Roman" w:cs="Times New Roman"/>
          <w:sz w:val="28"/>
        </w:rPr>
      </w:pPr>
      <w:r w:rsidRPr="004032F4">
        <w:rPr>
          <w:rFonts w:ascii="Times New Roman" w:eastAsia="Calibri" w:hAnsi="Times New Roman" w:cs="Times New Roman"/>
          <w:sz w:val="28"/>
        </w:rPr>
        <w:t xml:space="preserve">Во исполнение абзаца 9 части 1 статьи 16 Закона области о бюджетном процессе, в </w:t>
      </w:r>
      <w:r w:rsidR="000C15FF" w:rsidRPr="004032F4">
        <w:rPr>
          <w:rFonts w:ascii="Times New Roman" w:eastAsia="Calibri" w:hAnsi="Times New Roman" w:cs="Times New Roman"/>
          <w:sz w:val="28"/>
        </w:rPr>
        <w:t xml:space="preserve">приложении 10 к письму Губернатора </w:t>
      </w:r>
      <w:r w:rsidR="000C15FF" w:rsidRPr="004032F4">
        <w:rPr>
          <w:rFonts w:ascii="Times New Roman" w:eastAsia="Calibri" w:hAnsi="Times New Roman" w:cs="Times New Roman"/>
          <w:sz w:val="24"/>
          <w:szCs w:val="24"/>
        </w:rPr>
        <w:t>«Расчеты по статьям классификации доходов бюджета Тульской области»</w:t>
      </w:r>
      <w:r w:rsidR="000C15FF" w:rsidRPr="004032F4">
        <w:rPr>
          <w:rFonts w:ascii="Times New Roman" w:eastAsia="Calibri" w:hAnsi="Times New Roman" w:cs="Times New Roman"/>
          <w:sz w:val="28"/>
        </w:rPr>
        <w:t xml:space="preserve"> </w:t>
      </w:r>
      <w:r w:rsidRPr="004032F4">
        <w:rPr>
          <w:rFonts w:ascii="Times New Roman" w:eastAsia="Calibri" w:hAnsi="Times New Roman" w:cs="Times New Roman"/>
          <w:sz w:val="28"/>
        </w:rPr>
        <w:t xml:space="preserve">представлены расчеты по </w:t>
      </w:r>
      <w:r w:rsidR="00670F78" w:rsidRPr="004032F4">
        <w:rPr>
          <w:rFonts w:ascii="Times New Roman" w:eastAsia="Calibri" w:hAnsi="Times New Roman" w:cs="Times New Roman"/>
          <w:sz w:val="28"/>
        </w:rPr>
        <w:t>1</w:t>
      </w:r>
      <w:r w:rsidR="00340995" w:rsidRPr="004032F4">
        <w:rPr>
          <w:rFonts w:ascii="Times New Roman" w:eastAsia="Calibri" w:hAnsi="Times New Roman" w:cs="Times New Roman"/>
          <w:sz w:val="28"/>
        </w:rPr>
        <w:t>2</w:t>
      </w:r>
      <w:r w:rsidR="00B0041A" w:rsidRPr="004032F4">
        <w:rPr>
          <w:rFonts w:ascii="Times New Roman" w:eastAsia="Calibri" w:hAnsi="Times New Roman" w:cs="Times New Roman"/>
          <w:sz w:val="28"/>
        </w:rPr>
        <w:t>3</w:t>
      </w:r>
      <w:r w:rsidR="00670F78" w:rsidRPr="004032F4">
        <w:rPr>
          <w:rFonts w:ascii="Times New Roman" w:eastAsia="Calibri" w:hAnsi="Times New Roman" w:cs="Times New Roman"/>
          <w:sz w:val="28"/>
        </w:rPr>
        <w:t xml:space="preserve"> </w:t>
      </w:r>
      <w:r w:rsidRPr="004032F4">
        <w:rPr>
          <w:rFonts w:ascii="Times New Roman" w:eastAsia="Calibri" w:hAnsi="Times New Roman" w:cs="Times New Roman"/>
          <w:sz w:val="28"/>
        </w:rPr>
        <w:t>подстать</w:t>
      </w:r>
      <w:r w:rsidR="002B4A48" w:rsidRPr="004032F4">
        <w:rPr>
          <w:rFonts w:ascii="Times New Roman" w:eastAsia="Calibri" w:hAnsi="Times New Roman" w:cs="Times New Roman"/>
          <w:sz w:val="28"/>
        </w:rPr>
        <w:t>ям</w:t>
      </w:r>
      <w:r w:rsidRPr="004032F4">
        <w:rPr>
          <w:rFonts w:ascii="Times New Roman" w:eastAsia="Calibri" w:hAnsi="Times New Roman" w:cs="Times New Roman"/>
          <w:sz w:val="28"/>
        </w:rPr>
        <w:t xml:space="preserve"> </w:t>
      </w:r>
      <w:r w:rsidR="00294A55" w:rsidRPr="004032F4">
        <w:rPr>
          <w:rFonts w:ascii="Times New Roman" w:eastAsia="Calibri" w:hAnsi="Times New Roman" w:cs="Times New Roman"/>
          <w:sz w:val="28"/>
        </w:rPr>
        <w:t>налоговых и неналоговых доходов</w:t>
      </w:r>
      <w:r w:rsidRPr="004032F4">
        <w:rPr>
          <w:rFonts w:ascii="Times New Roman" w:eastAsia="Calibri" w:hAnsi="Times New Roman" w:cs="Times New Roman"/>
          <w:sz w:val="28"/>
        </w:rPr>
        <w:t>.</w:t>
      </w:r>
      <w:r w:rsidR="00122DFB" w:rsidRPr="004032F4">
        <w:rPr>
          <w:rFonts w:ascii="Times New Roman" w:eastAsia="Calibri" w:hAnsi="Times New Roman" w:cs="Times New Roman"/>
          <w:sz w:val="28"/>
        </w:rPr>
        <w:t xml:space="preserve"> </w:t>
      </w:r>
    </w:p>
    <w:p w14:paraId="75C8BFBD" w14:textId="299C5721" w:rsidR="00F00EE3" w:rsidRPr="004032F4" w:rsidRDefault="00CB0E8E" w:rsidP="00A612F4">
      <w:pPr>
        <w:spacing w:after="0" w:line="240" w:lineRule="auto"/>
        <w:ind w:firstLine="709"/>
        <w:jc w:val="both"/>
        <w:rPr>
          <w:rFonts w:ascii="Times New Roman" w:eastAsia="Times New Roman" w:hAnsi="Times New Roman" w:cs="Times New Roman"/>
          <w:spacing w:val="-4"/>
          <w:sz w:val="28"/>
          <w:szCs w:val="28"/>
          <w:lang w:eastAsia="ru-RU"/>
        </w:rPr>
      </w:pPr>
      <w:r w:rsidRPr="004032F4">
        <w:rPr>
          <w:rFonts w:ascii="Times New Roman" w:eastAsia="Calibri" w:hAnsi="Times New Roman" w:cs="Times New Roman"/>
          <w:spacing w:val="-4"/>
          <w:sz w:val="28"/>
          <w:szCs w:val="28"/>
        </w:rPr>
        <w:t>Прогноз налоговых и неналоговых доходов осуществлен на основании сведений главных администраторов доходов</w:t>
      </w:r>
      <w:r w:rsidR="00E61680" w:rsidRPr="004032F4">
        <w:rPr>
          <w:rFonts w:ascii="Times New Roman" w:eastAsia="Calibri" w:hAnsi="Times New Roman" w:cs="Times New Roman"/>
          <w:spacing w:val="-4"/>
          <w:sz w:val="28"/>
          <w:szCs w:val="28"/>
        </w:rPr>
        <w:t xml:space="preserve"> бюджета Тульской области (федеральных органов исполнительной власти и государственных органов Тульской области).</w:t>
      </w:r>
      <w:r w:rsidR="00F00EE3" w:rsidRPr="004032F4">
        <w:rPr>
          <w:rFonts w:ascii="Times New Roman" w:eastAsia="Calibri" w:hAnsi="Times New Roman" w:cs="Times New Roman"/>
          <w:spacing w:val="-4"/>
          <w:sz w:val="28"/>
        </w:rPr>
        <w:t xml:space="preserve"> </w:t>
      </w:r>
    </w:p>
    <w:p w14:paraId="0A4BA4A8" w14:textId="0F976C5A" w:rsidR="002F30FB" w:rsidRPr="004032F4" w:rsidRDefault="002F30FB" w:rsidP="002F30FB">
      <w:pPr>
        <w:widowControl w:val="0"/>
        <w:spacing w:after="8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Объемы </w:t>
      </w:r>
      <w:r w:rsidRPr="004032F4">
        <w:rPr>
          <w:rFonts w:ascii="Times New Roman" w:eastAsia="Calibri" w:hAnsi="Times New Roman" w:cs="Times New Roman"/>
          <w:i/>
          <w:sz w:val="28"/>
          <w:szCs w:val="28"/>
        </w:rPr>
        <w:t>налоговых доходов</w:t>
      </w:r>
      <w:r w:rsidRPr="004032F4">
        <w:rPr>
          <w:rFonts w:ascii="Times New Roman" w:eastAsia="Calibri" w:hAnsi="Times New Roman" w:cs="Times New Roman"/>
          <w:sz w:val="28"/>
          <w:szCs w:val="28"/>
        </w:rPr>
        <w:t xml:space="preserve"> и их доли в объеме налоговых и неналоговых доходов в 202</w:t>
      </w:r>
      <w:r w:rsidR="001473CC" w:rsidRPr="004032F4">
        <w:rPr>
          <w:rFonts w:ascii="Times New Roman" w:eastAsia="Calibri" w:hAnsi="Times New Roman" w:cs="Times New Roman"/>
          <w:sz w:val="28"/>
          <w:szCs w:val="28"/>
        </w:rPr>
        <w:t>4</w:t>
      </w:r>
      <w:r w:rsidRPr="004032F4">
        <w:rPr>
          <w:rFonts w:ascii="Times New Roman" w:eastAsia="Calibri" w:hAnsi="Times New Roman" w:cs="Times New Roman"/>
          <w:sz w:val="28"/>
          <w:szCs w:val="28"/>
        </w:rPr>
        <w:t>–</w:t>
      </w:r>
      <w:r w:rsidR="00933509" w:rsidRPr="004032F4">
        <w:rPr>
          <w:rFonts w:ascii="Times New Roman" w:eastAsia="Calibri" w:hAnsi="Times New Roman" w:cs="Times New Roman"/>
          <w:sz w:val="28"/>
          <w:szCs w:val="28"/>
        </w:rPr>
        <w:t>2027</w:t>
      </w:r>
      <w:r w:rsidRPr="004032F4">
        <w:rPr>
          <w:rFonts w:ascii="Times New Roman" w:eastAsia="Calibri" w:hAnsi="Times New Roman" w:cs="Times New Roman"/>
          <w:sz w:val="28"/>
          <w:szCs w:val="28"/>
        </w:rPr>
        <w:t xml:space="preserve"> годах представлены в таблице.</w:t>
      </w:r>
    </w:p>
    <w:tbl>
      <w:tblPr>
        <w:tblStyle w:val="af2"/>
        <w:tblW w:w="5000" w:type="pct"/>
        <w:jc w:val="center"/>
        <w:tblLook w:val="04A0" w:firstRow="1" w:lastRow="0" w:firstColumn="1" w:lastColumn="0" w:noHBand="0" w:noVBand="1"/>
      </w:tblPr>
      <w:tblGrid>
        <w:gridCol w:w="3822"/>
        <w:gridCol w:w="1417"/>
        <w:gridCol w:w="1418"/>
        <w:gridCol w:w="1417"/>
        <w:gridCol w:w="1270"/>
      </w:tblGrid>
      <w:tr w:rsidR="001473CC" w:rsidRPr="004032F4" w14:paraId="0B572951" w14:textId="77777777" w:rsidTr="001473CC">
        <w:trPr>
          <w:trHeight w:val="199"/>
          <w:jc w:val="center"/>
        </w:trPr>
        <w:tc>
          <w:tcPr>
            <w:tcW w:w="3822" w:type="dxa"/>
            <w:shd w:val="clear" w:color="auto" w:fill="F2F2F2" w:themeFill="background1" w:themeFillShade="F2"/>
            <w:vAlign w:val="center"/>
          </w:tcPr>
          <w:p w14:paraId="12F86E24" w14:textId="6B663179" w:rsidR="002F30FB" w:rsidRPr="004032F4" w:rsidRDefault="002F30FB" w:rsidP="00FF06B9">
            <w:pPr>
              <w:jc w:val="center"/>
              <w:rPr>
                <w:rFonts w:eastAsia="Calibri"/>
                <w:spacing w:val="-4"/>
              </w:rPr>
            </w:pPr>
            <w:r w:rsidRPr="004032F4">
              <w:rPr>
                <w:rFonts w:eastAsia="Calibri"/>
                <w:spacing w:val="-4"/>
              </w:rPr>
              <w:t>Наименование налоговых доходов</w:t>
            </w:r>
          </w:p>
        </w:tc>
        <w:tc>
          <w:tcPr>
            <w:tcW w:w="1417" w:type="dxa"/>
            <w:shd w:val="clear" w:color="auto" w:fill="F2F2F2" w:themeFill="background1" w:themeFillShade="F2"/>
          </w:tcPr>
          <w:p w14:paraId="5FA61BE4" w14:textId="730EC8E3" w:rsidR="002F30FB" w:rsidRPr="004032F4" w:rsidRDefault="002F30FB" w:rsidP="001473CC">
            <w:pPr>
              <w:jc w:val="center"/>
              <w:rPr>
                <w:rFonts w:eastAsia="Calibri"/>
                <w:spacing w:val="-4"/>
              </w:rPr>
            </w:pPr>
            <w:r w:rsidRPr="004032F4">
              <w:rPr>
                <w:rFonts w:eastAsia="Calibri"/>
                <w:spacing w:val="-4"/>
              </w:rPr>
              <w:t>202</w:t>
            </w:r>
            <w:r w:rsidR="001473CC" w:rsidRPr="004032F4">
              <w:rPr>
                <w:rFonts w:eastAsia="Calibri"/>
                <w:spacing w:val="-4"/>
              </w:rPr>
              <w:t>4</w:t>
            </w:r>
            <w:r w:rsidRPr="004032F4">
              <w:rPr>
                <w:rFonts w:eastAsia="Calibri"/>
                <w:spacing w:val="-4"/>
              </w:rPr>
              <w:t xml:space="preserve"> год</w:t>
            </w:r>
            <w:r w:rsidRPr="004032F4">
              <w:rPr>
                <w:rFonts w:eastAsia="Calibri"/>
                <w:spacing w:val="-4"/>
              </w:rPr>
              <w:br/>
              <w:t>(оценка)</w:t>
            </w:r>
          </w:p>
        </w:tc>
        <w:tc>
          <w:tcPr>
            <w:tcW w:w="1418" w:type="dxa"/>
            <w:shd w:val="clear" w:color="auto" w:fill="F2F2F2" w:themeFill="background1" w:themeFillShade="F2"/>
            <w:vAlign w:val="center"/>
          </w:tcPr>
          <w:p w14:paraId="0288D83E" w14:textId="58155A3D" w:rsidR="002F30FB" w:rsidRPr="004032F4" w:rsidRDefault="00933509" w:rsidP="00527F74">
            <w:pPr>
              <w:jc w:val="center"/>
              <w:rPr>
                <w:rFonts w:eastAsia="Calibri"/>
                <w:spacing w:val="-4"/>
              </w:rPr>
            </w:pPr>
            <w:r w:rsidRPr="004032F4">
              <w:rPr>
                <w:rFonts w:eastAsia="Calibri"/>
                <w:spacing w:val="-4"/>
              </w:rPr>
              <w:t>2025</w:t>
            </w:r>
            <w:r w:rsidR="002F30FB" w:rsidRPr="004032F4">
              <w:rPr>
                <w:rFonts w:eastAsia="Calibri"/>
                <w:spacing w:val="-4"/>
              </w:rPr>
              <w:t xml:space="preserve"> год (прогноз)</w:t>
            </w:r>
          </w:p>
        </w:tc>
        <w:tc>
          <w:tcPr>
            <w:tcW w:w="1417" w:type="dxa"/>
            <w:shd w:val="clear" w:color="auto" w:fill="F2F2F2" w:themeFill="background1" w:themeFillShade="F2"/>
            <w:vAlign w:val="center"/>
          </w:tcPr>
          <w:p w14:paraId="56DC70E7" w14:textId="1C6CA2CD" w:rsidR="002F30FB" w:rsidRPr="004032F4" w:rsidRDefault="00933509" w:rsidP="00527F74">
            <w:pPr>
              <w:jc w:val="center"/>
              <w:rPr>
                <w:rFonts w:eastAsia="Calibri"/>
                <w:spacing w:val="-4"/>
              </w:rPr>
            </w:pPr>
            <w:r w:rsidRPr="004032F4">
              <w:rPr>
                <w:rFonts w:eastAsia="Calibri"/>
                <w:spacing w:val="-4"/>
              </w:rPr>
              <w:t>2026</w:t>
            </w:r>
            <w:r w:rsidR="002F30FB" w:rsidRPr="004032F4">
              <w:rPr>
                <w:rFonts w:eastAsia="Calibri"/>
                <w:spacing w:val="-4"/>
              </w:rPr>
              <w:t xml:space="preserve"> год (прогноз)</w:t>
            </w:r>
          </w:p>
        </w:tc>
        <w:tc>
          <w:tcPr>
            <w:tcW w:w="1270" w:type="dxa"/>
            <w:shd w:val="clear" w:color="auto" w:fill="F2F2F2" w:themeFill="background1" w:themeFillShade="F2"/>
            <w:vAlign w:val="center"/>
          </w:tcPr>
          <w:p w14:paraId="61E43877" w14:textId="77ECA43C" w:rsidR="002F30FB" w:rsidRPr="004032F4" w:rsidRDefault="00933509" w:rsidP="00527F74">
            <w:pPr>
              <w:jc w:val="center"/>
              <w:rPr>
                <w:rFonts w:eastAsia="Calibri"/>
                <w:spacing w:val="-4"/>
              </w:rPr>
            </w:pPr>
            <w:r w:rsidRPr="004032F4">
              <w:rPr>
                <w:rFonts w:eastAsia="Calibri"/>
                <w:spacing w:val="-4"/>
              </w:rPr>
              <w:t>2027</w:t>
            </w:r>
            <w:r w:rsidR="002F30FB" w:rsidRPr="004032F4">
              <w:rPr>
                <w:rFonts w:eastAsia="Calibri"/>
                <w:spacing w:val="-4"/>
              </w:rPr>
              <w:t xml:space="preserve"> год (прогноз)</w:t>
            </w:r>
          </w:p>
        </w:tc>
      </w:tr>
      <w:tr w:rsidR="001473CC" w:rsidRPr="004032F4" w14:paraId="27BCC97C" w14:textId="77777777" w:rsidTr="001473CC">
        <w:trPr>
          <w:trHeight w:val="199"/>
          <w:jc w:val="center"/>
        </w:trPr>
        <w:tc>
          <w:tcPr>
            <w:tcW w:w="3822" w:type="dxa"/>
          </w:tcPr>
          <w:p w14:paraId="29D8B41C" w14:textId="62DADA6D" w:rsidR="002F30FB" w:rsidRPr="004032F4" w:rsidRDefault="002F30FB" w:rsidP="002F30FB">
            <w:pPr>
              <w:ind w:left="-57" w:right="-113"/>
              <w:rPr>
                <w:rFonts w:eastAsia="Calibri"/>
                <w:spacing w:val="-4"/>
              </w:rPr>
            </w:pPr>
            <w:r w:rsidRPr="004032F4">
              <w:rPr>
                <w:rFonts w:eastAsia="Calibri"/>
                <w:spacing w:val="-4"/>
              </w:rPr>
              <w:t>Доля налоговых доходов в объеме налоговых и неналоговых доходов</w:t>
            </w:r>
          </w:p>
        </w:tc>
        <w:tc>
          <w:tcPr>
            <w:tcW w:w="1417" w:type="dxa"/>
            <w:vAlign w:val="bottom"/>
          </w:tcPr>
          <w:p w14:paraId="79826C09" w14:textId="6E1D68D8" w:rsidR="002F30FB" w:rsidRPr="004032F4" w:rsidRDefault="001473CC" w:rsidP="00527F74">
            <w:pPr>
              <w:jc w:val="center"/>
              <w:rPr>
                <w:rFonts w:eastAsia="Calibri"/>
                <w:spacing w:val="-4"/>
              </w:rPr>
            </w:pPr>
            <w:r w:rsidRPr="004032F4">
              <w:rPr>
                <w:rFonts w:eastAsia="Calibri"/>
                <w:spacing w:val="-4"/>
              </w:rPr>
              <w:t>95,2</w:t>
            </w:r>
            <w:r w:rsidR="002F30FB" w:rsidRPr="004032F4">
              <w:rPr>
                <w:rFonts w:eastAsia="Calibri"/>
                <w:spacing w:val="-4"/>
              </w:rPr>
              <w:t>%</w:t>
            </w:r>
          </w:p>
        </w:tc>
        <w:tc>
          <w:tcPr>
            <w:tcW w:w="1418" w:type="dxa"/>
            <w:vAlign w:val="bottom"/>
          </w:tcPr>
          <w:p w14:paraId="1B779B9E" w14:textId="7560F519" w:rsidR="002F30FB" w:rsidRPr="004032F4" w:rsidRDefault="002F30FB" w:rsidP="001473CC">
            <w:pPr>
              <w:jc w:val="center"/>
              <w:rPr>
                <w:rFonts w:eastAsia="Calibri"/>
                <w:spacing w:val="-4"/>
              </w:rPr>
            </w:pPr>
            <w:r w:rsidRPr="004032F4">
              <w:rPr>
                <w:rFonts w:eastAsia="Calibri"/>
                <w:spacing w:val="-4"/>
              </w:rPr>
              <w:t>97,</w:t>
            </w:r>
            <w:r w:rsidR="001473CC" w:rsidRPr="004032F4">
              <w:rPr>
                <w:rFonts w:eastAsia="Calibri"/>
                <w:spacing w:val="-4"/>
              </w:rPr>
              <w:t>4</w:t>
            </w:r>
            <w:r w:rsidRPr="004032F4">
              <w:rPr>
                <w:rFonts w:eastAsia="Calibri"/>
                <w:spacing w:val="-4"/>
              </w:rPr>
              <w:t>%</w:t>
            </w:r>
          </w:p>
        </w:tc>
        <w:tc>
          <w:tcPr>
            <w:tcW w:w="1417" w:type="dxa"/>
            <w:vAlign w:val="bottom"/>
          </w:tcPr>
          <w:p w14:paraId="5699CA19" w14:textId="7571834C" w:rsidR="002F30FB" w:rsidRPr="004032F4" w:rsidRDefault="002F30FB" w:rsidP="001473CC">
            <w:pPr>
              <w:jc w:val="center"/>
              <w:rPr>
                <w:rFonts w:eastAsia="Calibri"/>
                <w:spacing w:val="-4"/>
              </w:rPr>
            </w:pPr>
            <w:r w:rsidRPr="004032F4">
              <w:rPr>
                <w:rFonts w:eastAsia="Calibri"/>
                <w:spacing w:val="-4"/>
              </w:rPr>
              <w:t>9</w:t>
            </w:r>
            <w:r w:rsidR="001473CC" w:rsidRPr="004032F4">
              <w:rPr>
                <w:rFonts w:eastAsia="Calibri"/>
                <w:spacing w:val="-4"/>
              </w:rPr>
              <w:t>7,6</w:t>
            </w:r>
            <w:r w:rsidRPr="004032F4">
              <w:rPr>
                <w:rFonts w:eastAsia="Calibri"/>
                <w:spacing w:val="-4"/>
              </w:rPr>
              <w:t>%</w:t>
            </w:r>
          </w:p>
        </w:tc>
        <w:tc>
          <w:tcPr>
            <w:tcW w:w="1270" w:type="dxa"/>
            <w:vAlign w:val="bottom"/>
          </w:tcPr>
          <w:p w14:paraId="64EB08C8" w14:textId="6B78287C" w:rsidR="002F30FB" w:rsidRPr="004032F4" w:rsidRDefault="002F30FB" w:rsidP="001473CC">
            <w:pPr>
              <w:jc w:val="center"/>
              <w:rPr>
                <w:rFonts w:eastAsia="Calibri"/>
                <w:spacing w:val="-4"/>
              </w:rPr>
            </w:pPr>
            <w:r w:rsidRPr="004032F4">
              <w:rPr>
                <w:rFonts w:eastAsia="Calibri"/>
                <w:spacing w:val="-4"/>
              </w:rPr>
              <w:t>9</w:t>
            </w:r>
            <w:r w:rsidR="001473CC" w:rsidRPr="004032F4">
              <w:rPr>
                <w:rFonts w:eastAsia="Calibri"/>
                <w:spacing w:val="-4"/>
              </w:rPr>
              <w:t>7,8</w:t>
            </w:r>
            <w:r w:rsidRPr="004032F4">
              <w:rPr>
                <w:rFonts w:eastAsia="Calibri"/>
                <w:spacing w:val="-4"/>
              </w:rPr>
              <w:t>%</w:t>
            </w:r>
          </w:p>
        </w:tc>
      </w:tr>
      <w:tr w:rsidR="001473CC" w:rsidRPr="004032F4" w14:paraId="14B7C373" w14:textId="77777777" w:rsidTr="001473CC">
        <w:trPr>
          <w:trHeight w:val="199"/>
          <w:jc w:val="center"/>
        </w:trPr>
        <w:tc>
          <w:tcPr>
            <w:tcW w:w="3822" w:type="dxa"/>
          </w:tcPr>
          <w:p w14:paraId="108A51F2" w14:textId="00FA67BC" w:rsidR="002F30FB" w:rsidRPr="004032F4" w:rsidRDefault="002F30FB" w:rsidP="009131FF">
            <w:pPr>
              <w:ind w:left="-57" w:right="-113"/>
              <w:rPr>
                <w:rFonts w:eastAsia="Calibri"/>
                <w:b/>
                <w:spacing w:val="-4"/>
              </w:rPr>
            </w:pPr>
            <w:r w:rsidRPr="004032F4">
              <w:rPr>
                <w:rFonts w:eastAsia="Calibri"/>
                <w:b/>
                <w:spacing w:val="-4"/>
              </w:rPr>
              <w:t xml:space="preserve">Объем налоговых доходов, млн. рублей, </w:t>
            </w:r>
          </w:p>
          <w:p w14:paraId="257677B9" w14:textId="5694E12C" w:rsidR="002F30FB" w:rsidRPr="004032F4" w:rsidRDefault="008A00DD" w:rsidP="009131FF">
            <w:pPr>
              <w:ind w:left="-57" w:right="-113"/>
              <w:rPr>
                <w:rFonts w:eastAsia="Calibri"/>
                <w:spacing w:val="-4"/>
              </w:rPr>
            </w:pPr>
            <w:r>
              <w:rPr>
                <w:rFonts w:eastAsia="Calibri"/>
                <w:spacing w:val="-4"/>
              </w:rPr>
              <w:t>в том числе</w:t>
            </w:r>
            <w:r w:rsidR="002F30FB" w:rsidRPr="004032F4">
              <w:rPr>
                <w:rFonts w:eastAsia="Calibri"/>
                <w:spacing w:val="-4"/>
              </w:rPr>
              <w:t xml:space="preserve"> </w:t>
            </w:r>
          </w:p>
        </w:tc>
        <w:tc>
          <w:tcPr>
            <w:tcW w:w="1417" w:type="dxa"/>
            <w:vAlign w:val="center"/>
          </w:tcPr>
          <w:p w14:paraId="4CDBC0A2" w14:textId="3FD0F4AA" w:rsidR="002F30FB" w:rsidRPr="004032F4" w:rsidRDefault="001473CC" w:rsidP="007D0C1A">
            <w:pPr>
              <w:jc w:val="center"/>
              <w:rPr>
                <w:rFonts w:eastAsia="Calibri"/>
                <w:b/>
                <w:spacing w:val="-4"/>
              </w:rPr>
            </w:pPr>
            <w:r w:rsidRPr="004032F4">
              <w:rPr>
                <w:rFonts w:eastAsia="Calibri"/>
                <w:b/>
                <w:spacing w:val="-4"/>
              </w:rPr>
              <w:t>111 459,</w:t>
            </w:r>
            <w:r w:rsidR="007D0C1A" w:rsidRPr="004032F4">
              <w:rPr>
                <w:rFonts w:eastAsia="Calibri"/>
                <w:b/>
                <w:spacing w:val="-4"/>
              </w:rPr>
              <w:t>9</w:t>
            </w:r>
          </w:p>
        </w:tc>
        <w:tc>
          <w:tcPr>
            <w:tcW w:w="1418" w:type="dxa"/>
            <w:vAlign w:val="center"/>
          </w:tcPr>
          <w:p w14:paraId="2579EB2F" w14:textId="149EE166" w:rsidR="002F30FB" w:rsidRPr="004032F4" w:rsidRDefault="001473CC" w:rsidP="009131FF">
            <w:pPr>
              <w:jc w:val="center"/>
              <w:rPr>
                <w:rFonts w:eastAsia="Calibri"/>
                <w:b/>
                <w:spacing w:val="-4"/>
              </w:rPr>
            </w:pPr>
            <w:r w:rsidRPr="004032F4">
              <w:rPr>
                <w:rFonts w:eastAsia="Calibri"/>
                <w:b/>
                <w:spacing w:val="-4"/>
              </w:rPr>
              <w:t>118 639,4</w:t>
            </w:r>
          </w:p>
        </w:tc>
        <w:tc>
          <w:tcPr>
            <w:tcW w:w="1417" w:type="dxa"/>
            <w:vAlign w:val="center"/>
          </w:tcPr>
          <w:p w14:paraId="514025DE" w14:textId="376B4549" w:rsidR="002F30FB" w:rsidRPr="004032F4" w:rsidRDefault="001473CC" w:rsidP="009131FF">
            <w:pPr>
              <w:jc w:val="center"/>
              <w:rPr>
                <w:rFonts w:eastAsia="Calibri"/>
                <w:b/>
                <w:spacing w:val="-4"/>
              </w:rPr>
            </w:pPr>
            <w:r w:rsidRPr="004032F4">
              <w:rPr>
                <w:rFonts w:eastAsia="Calibri"/>
                <w:b/>
                <w:spacing w:val="-4"/>
              </w:rPr>
              <w:t>129 333,9</w:t>
            </w:r>
          </w:p>
        </w:tc>
        <w:tc>
          <w:tcPr>
            <w:tcW w:w="1270" w:type="dxa"/>
            <w:vAlign w:val="center"/>
          </w:tcPr>
          <w:p w14:paraId="24F98D8B" w14:textId="15757A5C" w:rsidR="002F30FB" w:rsidRPr="004032F4" w:rsidRDefault="001473CC" w:rsidP="009131FF">
            <w:pPr>
              <w:jc w:val="center"/>
              <w:rPr>
                <w:rFonts w:eastAsia="Calibri"/>
                <w:b/>
                <w:spacing w:val="-4"/>
              </w:rPr>
            </w:pPr>
            <w:r w:rsidRPr="004032F4">
              <w:rPr>
                <w:rFonts w:eastAsia="Calibri"/>
                <w:b/>
                <w:spacing w:val="-4"/>
              </w:rPr>
              <w:t>141 707,3</w:t>
            </w:r>
          </w:p>
        </w:tc>
      </w:tr>
      <w:tr w:rsidR="001473CC" w:rsidRPr="004032F4" w14:paraId="0998F5AA" w14:textId="77777777" w:rsidTr="001473CC">
        <w:trPr>
          <w:trHeight w:val="199"/>
          <w:jc w:val="center"/>
        </w:trPr>
        <w:tc>
          <w:tcPr>
            <w:tcW w:w="3822" w:type="dxa"/>
          </w:tcPr>
          <w:p w14:paraId="68D1BDDC" w14:textId="061E5121" w:rsidR="001473CC" w:rsidRPr="004032F4" w:rsidRDefault="001473CC" w:rsidP="001473CC">
            <w:pPr>
              <w:ind w:left="-57" w:right="-113"/>
              <w:rPr>
                <w:rFonts w:eastAsia="Calibri"/>
                <w:spacing w:val="-4"/>
              </w:rPr>
            </w:pPr>
            <w:r w:rsidRPr="004032F4">
              <w:rPr>
                <w:rFonts w:eastAsia="Calibri"/>
                <w:spacing w:val="-4"/>
              </w:rPr>
              <w:t>налог на прибыль организаций</w:t>
            </w:r>
          </w:p>
        </w:tc>
        <w:tc>
          <w:tcPr>
            <w:tcW w:w="1417" w:type="dxa"/>
          </w:tcPr>
          <w:p w14:paraId="516D8BC5" w14:textId="2606FF7F" w:rsidR="001473CC" w:rsidRPr="004032F4" w:rsidRDefault="001473CC" w:rsidP="001473CC">
            <w:pPr>
              <w:jc w:val="center"/>
              <w:rPr>
                <w:rFonts w:eastAsia="Calibri"/>
                <w:spacing w:val="-4"/>
              </w:rPr>
            </w:pPr>
            <w:r w:rsidRPr="004032F4">
              <w:t>37 698,1</w:t>
            </w:r>
          </w:p>
        </w:tc>
        <w:tc>
          <w:tcPr>
            <w:tcW w:w="1418" w:type="dxa"/>
          </w:tcPr>
          <w:p w14:paraId="7297DF27" w14:textId="680E39AA" w:rsidR="001473CC" w:rsidRPr="004032F4" w:rsidRDefault="001473CC" w:rsidP="001473CC">
            <w:pPr>
              <w:jc w:val="center"/>
              <w:rPr>
                <w:rFonts w:eastAsia="Calibri"/>
                <w:spacing w:val="-4"/>
              </w:rPr>
            </w:pPr>
            <w:r w:rsidRPr="004032F4">
              <w:t>39 080,3</w:t>
            </w:r>
          </w:p>
        </w:tc>
        <w:tc>
          <w:tcPr>
            <w:tcW w:w="1417" w:type="dxa"/>
          </w:tcPr>
          <w:p w14:paraId="4758CC29" w14:textId="60D1DDBE" w:rsidR="001473CC" w:rsidRPr="004032F4" w:rsidRDefault="001473CC" w:rsidP="001473CC">
            <w:pPr>
              <w:jc w:val="center"/>
              <w:rPr>
                <w:rFonts w:eastAsia="Calibri"/>
                <w:spacing w:val="-4"/>
              </w:rPr>
            </w:pPr>
            <w:r w:rsidRPr="004032F4">
              <w:t>42 140,5</w:t>
            </w:r>
          </w:p>
        </w:tc>
        <w:tc>
          <w:tcPr>
            <w:tcW w:w="1270" w:type="dxa"/>
          </w:tcPr>
          <w:p w14:paraId="349D1770" w14:textId="39A79B22" w:rsidR="001473CC" w:rsidRPr="004032F4" w:rsidRDefault="001473CC" w:rsidP="001473CC">
            <w:pPr>
              <w:jc w:val="center"/>
              <w:rPr>
                <w:rFonts w:eastAsia="Calibri"/>
                <w:spacing w:val="-4"/>
              </w:rPr>
            </w:pPr>
            <w:r w:rsidRPr="004032F4">
              <w:t>46 180,1</w:t>
            </w:r>
          </w:p>
        </w:tc>
      </w:tr>
      <w:tr w:rsidR="001473CC" w:rsidRPr="004032F4" w14:paraId="396769F4" w14:textId="77777777" w:rsidTr="001473CC">
        <w:trPr>
          <w:trHeight w:val="199"/>
          <w:jc w:val="center"/>
        </w:trPr>
        <w:tc>
          <w:tcPr>
            <w:tcW w:w="3822" w:type="dxa"/>
          </w:tcPr>
          <w:p w14:paraId="4C15234B" w14:textId="3EEAF634" w:rsidR="001473CC" w:rsidRPr="004032F4" w:rsidRDefault="001473CC" w:rsidP="001473CC">
            <w:pPr>
              <w:ind w:left="-57" w:right="-113"/>
              <w:rPr>
                <w:rFonts w:eastAsia="Calibri"/>
                <w:spacing w:val="-4"/>
              </w:rPr>
            </w:pPr>
            <w:r w:rsidRPr="004032F4">
              <w:rPr>
                <w:rFonts w:eastAsia="Calibri"/>
                <w:spacing w:val="-4"/>
              </w:rPr>
              <w:t>налог на доходы физических лиц</w:t>
            </w:r>
          </w:p>
        </w:tc>
        <w:tc>
          <w:tcPr>
            <w:tcW w:w="1417" w:type="dxa"/>
          </w:tcPr>
          <w:p w14:paraId="61F7D859" w14:textId="2AAE5305" w:rsidR="001473CC" w:rsidRPr="004032F4" w:rsidRDefault="001473CC" w:rsidP="001473CC">
            <w:pPr>
              <w:jc w:val="center"/>
              <w:rPr>
                <w:rFonts w:eastAsia="Calibri"/>
                <w:spacing w:val="-4"/>
              </w:rPr>
            </w:pPr>
            <w:r w:rsidRPr="004032F4">
              <w:t>38 867,9</w:t>
            </w:r>
          </w:p>
        </w:tc>
        <w:tc>
          <w:tcPr>
            <w:tcW w:w="1418" w:type="dxa"/>
          </w:tcPr>
          <w:p w14:paraId="7C33C1F1" w14:textId="32025810" w:rsidR="001473CC" w:rsidRPr="004032F4" w:rsidRDefault="001473CC" w:rsidP="001473CC">
            <w:pPr>
              <w:jc w:val="center"/>
              <w:rPr>
                <w:rFonts w:eastAsia="Calibri"/>
                <w:spacing w:val="-4"/>
              </w:rPr>
            </w:pPr>
            <w:r w:rsidRPr="004032F4">
              <w:t>42 817,8</w:t>
            </w:r>
          </w:p>
        </w:tc>
        <w:tc>
          <w:tcPr>
            <w:tcW w:w="1417" w:type="dxa"/>
          </w:tcPr>
          <w:p w14:paraId="68A4452A" w14:textId="4E53B05C" w:rsidR="001473CC" w:rsidRPr="004032F4" w:rsidRDefault="001473CC" w:rsidP="001473CC">
            <w:pPr>
              <w:jc w:val="center"/>
              <w:rPr>
                <w:rFonts w:eastAsia="Calibri"/>
                <w:spacing w:val="-4"/>
              </w:rPr>
            </w:pPr>
            <w:r w:rsidRPr="004032F4">
              <w:t>47 090,2</w:t>
            </w:r>
          </w:p>
        </w:tc>
        <w:tc>
          <w:tcPr>
            <w:tcW w:w="1270" w:type="dxa"/>
          </w:tcPr>
          <w:p w14:paraId="00FE5DF6" w14:textId="464BD8A0" w:rsidR="001473CC" w:rsidRPr="004032F4" w:rsidRDefault="001473CC" w:rsidP="001473CC">
            <w:pPr>
              <w:jc w:val="center"/>
              <w:rPr>
                <w:rFonts w:eastAsia="Calibri"/>
                <w:spacing w:val="-4"/>
              </w:rPr>
            </w:pPr>
            <w:r w:rsidRPr="004032F4">
              <w:t>50 777,6</w:t>
            </w:r>
          </w:p>
        </w:tc>
      </w:tr>
      <w:tr w:rsidR="001473CC" w:rsidRPr="004032F4" w14:paraId="61B06727" w14:textId="77777777" w:rsidTr="00170187">
        <w:trPr>
          <w:trHeight w:val="199"/>
          <w:jc w:val="center"/>
        </w:trPr>
        <w:tc>
          <w:tcPr>
            <w:tcW w:w="3822" w:type="dxa"/>
          </w:tcPr>
          <w:p w14:paraId="4F588956" w14:textId="2F405670" w:rsidR="001473CC" w:rsidRPr="004032F4" w:rsidRDefault="001473CC" w:rsidP="001473CC">
            <w:pPr>
              <w:ind w:left="-57" w:right="-113"/>
              <w:rPr>
                <w:rFonts w:eastAsia="Calibri"/>
                <w:spacing w:val="-4"/>
              </w:rPr>
            </w:pPr>
            <w:r w:rsidRPr="004032F4">
              <w:rPr>
                <w:rFonts w:eastAsia="Calibri"/>
                <w:spacing w:val="-4"/>
              </w:rPr>
              <w:t>акцизы</w:t>
            </w:r>
          </w:p>
        </w:tc>
        <w:tc>
          <w:tcPr>
            <w:tcW w:w="1417" w:type="dxa"/>
          </w:tcPr>
          <w:p w14:paraId="1299896D" w14:textId="20D10634" w:rsidR="001473CC" w:rsidRPr="004032F4" w:rsidRDefault="001473CC" w:rsidP="001473CC">
            <w:pPr>
              <w:jc w:val="center"/>
              <w:rPr>
                <w:rFonts w:eastAsia="Calibri"/>
                <w:spacing w:val="-4"/>
              </w:rPr>
            </w:pPr>
            <w:r w:rsidRPr="004032F4">
              <w:t>21 407,0</w:t>
            </w:r>
          </w:p>
        </w:tc>
        <w:tc>
          <w:tcPr>
            <w:tcW w:w="1418" w:type="dxa"/>
          </w:tcPr>
          <w:p w14:paraId="2739E4A1" w14:textId="6AFC93A3" w:rsidR="001473CC" w:rsidRPr="004032F4" w:rsidRDefault="001473CC" w:rsidP="001473CC">
            <w:pPr>
              <w:jc w:val="center"/>
              <w:rPr>
                <w:rFonts w:eastAsia="Calibri"/>
                <w:spacing w:val="-4"/>
              </w:rPr>
            </w:pPr>
            <w:r w:rsidRPr="004032F4">
              <w:t>22 637,2</w:t>
            </w:r>
          </w:p>
        </w:tc>
        <w:tc>
          <w:tcPr>
            <w:tcW w:w="1417" w:type="dxa"/>
          </w:tcPr>
          <w:p w14:paraId="7304B9A5" w14:textId="74A01B73" w:rsidR="001473CC" w:rsidRPr="004032F4" w:rsidRDefault="001473CC" w:rsidP="001473CC">
            <w:pPr>
              <w:jc w:val="center"/>
              <w:rPr>
                <w:rFonts w:eastAsia="Calibri"/>
                <w:spacing w:val="-4"/>
              </w:rPr>
            </w:pPr>
            <w:r w:rsidRPr="004032F4">
              <w:t>24 612,4</w:t>
            </w:r>
          </w:p>
        </w:tc>
        <w:tc>
          <w:tcPr>
            <w:tcW w:w="1270" w:type="dxa"/>
          </w:tcPr>
          <w:p w14:paraId="1752E1E2" w14:textId="7BFB034D" w:rsidR="001473CC" w:rsidRPr="004032F4" w:rsidRDefault="001473CC" w:rsidP="001473CC">
            <w:pPr>
              <w:jc w:val="center"/>
              <w:rPr>
                <w:rFonts w:eastAsia="Calibri"/>
                <w:spacing w:val="-4"/>
              </w:rPr>
            </w:pPr>
            <w:r w:rsidRPr="004032F4">
              <w:t>27 608,3</w:t>
            </w:r>
          </w:p>
        </w:tc>
      </w:tr>
      <w:tr w:rsidR="001473CC" w:rsidRPr="004032F4" w14:paraId="6ECF9FA8" w14:textId="77777777" w:rsidTr="00170187">
        <w:trPr>
          <w:trHeight w:val="199"/>
          <w:jc w:val="center"/>
        </w:trPr>
        <w:tc>
          <w:tcPr>
            <w:tcW w:w="3822" w:type="dxa"/>
          </w:tcPr>
          <w:p w14:paraId="47722B05" w14:textId="0D421AE9" w:rsidR="001473CC" w:rsidRPr="004032F4" w:rsidRDefault="001473CC" w:rsidP="001473CC">
            <w:pPr>
              <w:spacing w:before="40"/>
              <w:ind w:left="-57" w:right="-113"/>
              <w:rPr>
                <w:rFonts w:eastAsia="Calibri"/>
                <w:spacing w:val="-4"/>
              </w:rPr>
            </w:pPr>
            <w:r w:rsidRPr="004032F4">
              <w:rPr>
                <w:rFonts w:eastAsia="Calibri"/>
                <w:spacing w:val="-4"/>
              </w:rPr>
              <w:t>налог на имущество организаций</w:t>
            </w:r>
          </w:p>
        </w:tc>
        <w:tc>
          <w:tcPr>
            <w:tcW w:w="1417" w:type="dxa"/>
          </w:tcPr>
          <w:p w14:paraId="01E92F38" w14:textId="3AB8D628" w:rsidR="001473CC" w:rsidRPr="004032F4" w:rsidRDefault="001473CC" w:rsidP="001473CC">
            <w:pPr>
              <w:spacing w:before="40"/>
              <w:jc w:val="center"/>
              <w:rPr>
                <w:rFonts w:eastAsia="Calibri"/>
                <w:spacing w:val="-4"/>
              </w:rPr>
            </w:pPr>
            <w:r w:rsidRPr="004032F4">
              <w:t>5 962,9</w:t>
            </w:r>
          </w:p>
        </w:tc>
        <w:tc>
          <w:tcPr>
            <w:tcW w:w="1418" w:type="dxa"/>
          </w:tcPr>
          <w:p w14:paraId="69C526FF" w14:textId="28E42DA6" w:rsidR="001473CC" w:rsidRPr="004032F4" w:rsidRDefault="001473CC" w:rsidP="001473CC">
            <w:pPr>
              <w:spacing w:before="40"/>
              <w:jc w:val="center"/>
              <w:rPr>
                <w:rFonts w:eastAsia="Calibri"/>
                <w:spacing w:val="-4"/>
              </w:rPr>
            </w:pPr>
            <w:r w:rsidRPr="004032F4">
              <w:t>6 237,3</w:t>
            </w:r>
          </w:p>
        </w:tc>
        <w:tc>
          <w:tcPr>
            <w:tcW w:w="1417" w:type="dxa"/>
          </w:tcPr>
          <w:p w14:paraId="4B75F28F" w14:textId="3377151D" w:rsidR="001473CC" w:rsidRPr="004032F4" w:rsidRDefault="001473CC" w:rsidP="001473CC">
            <w:pPr>
              <w:spacing w:before="40"/>
              <w:jc w:val="center"/>
              <w:rPr>
                <w:rFonts w:eastAsia="Calibri"/>
                <w:spacing w:val="-4"/>
              </w:rPr>
            </w:pPr>
            <w:r w:rsidRPr="004032F4">
              <w:t>6 607,4</w:t>
            </w:r>
          </w:p>
        </w:tc>
        <w:tc>
          <w:tcPr>
            <w:tcW w:w="1270" w:type="dxa"/>
          </w:tcPr>
          <w:p w14:paraId="06E73457" w14:textId="5603BBCF" w:rsidR="001473CC" w:rsidRPr="004032F4" w:rsidRDefault="001473CC" w:rsidP="001473CC">
            <w:pPr>
              <w:spacing w:before="40"/>
              <w:jc w:val="center"/>
              <w:rPr>
                <w:rFonts w:eastAsia="Calibri"/>
                <w:spacing w:val="-4"/>
              </w:rPr>
            </w:pPr>
            <w:r w:rsidRPr="004032F4">
              <w:t>7 069,5</w:t>
            </w:r>
          </w:p>
        </w:tc>
      </w:tr>
      <w:tr w:rsidR="008A00DD" w:rsidRPr="004032F4" w14:paraId="5EBB5C2D" w14:textId="77777777" w:rsidTr="00170187">
        <w:trPr>
          <w:trHeight w:val="199"/>
          <w:jc w:val="center"/>
        </w:trPr>
        <w:tc>
          <w:tcPr>
            <w:tcW w:w="3822" w:type="dxa"/>
          </w:tcPr>
          <w:p w14:paraId="45A3572D" w14:textId="7FC8F4B6" w:rsidR="008A00DD" w:rsidRPr="004032F4" w:rsidRDefault="008A00DD" w:rsidP="001473CC">
            <w:pPr>
              <w:spacing w:before="40"/>
              <w:ind w:left="-57" w:right="-113"/>
              <w:rPr>
                <w:rFonts w:eastAsia="Calibri"/>
                <w:spacing w:val="-4"/>
              </w:rPr>
            </w:pPr>
            <w:r>
              <w:rPr>
                <w:rFonts w:eastAsia="Calibri"/>
                <w:spacing w:val="-4"/>
              </w:rPr>
              <w:t>другие налоговые доходы</w:t>
            </w:r>
          </w:p>
        </w:tc>
        <w:tc>
          <w:tcPr>
            <w:tcW w:w="1417" w:type="dxa"/>
          </w:tcPr>
          <w:p w14:paraId="2654294C" w14:textId="6C476431" w:rsidR="008A00DD" w:rsidRPr="004032F4" w:rsidRDefault="008A00DD" w:rsidP="008A00DD">
            <w:pPr>
              <w:spacing w:before="40"/>
              <w:jc w:val="center"/>
            </w:pPr>
            <w:r>
              <w:t>7 523,9</w:t>
            </w:r>
          </w:p>
        </w:tc>
        <w:tc>
          <w:tcPr>
            <w:tcW w:w="1418" w:type="dxa"/>
          </w:tcPr>
          <w:p w14:paraId="05C11B2F" w14:textId="09DB953B" w:rsidR="008A00DD" w:rsidRPr="004032F4" w:rsidRDefault="008A00DD" w:rsidP="001473CC">
            <w:pPr>
              <w:spacing w:before="40"/>
              <w:jc w:val="center"/>
            </w:pPr>
            <w:r>
              <w:t>7 866,9</w:t>
            </w:r>
          </w:p>
        </w:tc>
        <w:tc>
          <w:tcPr>
            <w:tcW w:w="1417" w:type="dxa"/>
          </w:tcPr>
          <w:p w14:paraId="5C3C93FE" w14:textId="664EB84B" w:rsidR="008A00DD" w:rsidRPr="004032F4" w:rsidRDefault="008A00DD" w:rsidP="001473CC">
            <w:pPr>
              <w:spacing w:before="40"/>
              <w:jc w:val="center"/>
            </w:pPr>
            <w:r>
              <w:t>8 883,4</w:t>
            </w:r>
          </w:p>
        </w:tc>
        <w:tc>
          <w:tcPr>
            <w:tcW w:w="1270" w:type="dxa"/>
          </w:tcPr>
          <w:p w14:paraId="1B0660C6" w14:textId="6008853A" w:rsidR="008A00DD" w:rsidRPr="004032F4" w:rsidRDefault="008A00DD" w:rsidP="001473CC">
            <w:pPr>
              <w:spacing w:before="40"/>
              <w:jc w:val="center"/>
            </w:pPr>
            <w:r>
              <w:t>10 071,8</w:t>
            </w:r>
          </w:p>
        </w:tc>
      </w:tr>
    </w:tbl>
    <w:p w14:paraId="0937AB85" w14:textId="35BBF912" w:rsidR="002F30FB" w:rsidRPr="004032F4" w:rsidRDefault="002F30FB" w:rsidP="00A04BE0">
      <w:pPr>
        <w:widowControl w:val="0"/>
        <w:spacing w:before="120"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Calibri" w:hAnsi="Times New Roman" w:cs="Times New Roman"/>
          <w:sz w:val="28"/>
        </w:rPr>
        <w:t xml:space="preserve">Из представленной таблицы видно, что </w:t>
      </w:r>
      <w:r w:rsidR="00143C2C" w:rsidRPr="004032F4">
        <w:rPr>
          <w:rFonts w:ascii="Times New Roman" w:eastAsia="Calibri" w:hAnsi="Times New Roman" w:cs="Times New Roman"/>
          <w:spacing w:val="-4"/>
          <w:sz w:val="28"/>
        </w:rPr>
        <w:t>по всем налоговым доходам прогнозируется рост к предыдущему году.</w:t>
      </w:r>
      <w:r w:rsidRPr="004032F4">
        <w:rPr>
          <w:rFonts w:ascii="Times New Roman" w:eastAsia="Calibri" w:hAnsi="Times New Roman" w:cs="Times New Roman"/>
          <w:sz w:val="28"/>
        </w:rPr>
        <w:t xml:space="preserve"> В структуре налоговых и неналоговых доходов бюджета области доля налоговых доходов из года в год </w:t>
      </w:r>
      <w:r w:rsidR="00A04BE0" w:rsidRPr="004032F4">
        <w:rPr>
          <w:rFonts w:ascii="Times New Roman" w:eastAsia="Calibri" w:hAnsi="Times New Roman" w:cs="Times New Roman"/>
          <w:sz w:val="28"/>
        </w:rPr>
        <w:t>возрастает</w:t>
      </w:r>
      <w:r w:rsidRPr="004032F4">
        <w:rPr>
          <w:rFonts w:ascii="Times New Roman" w:eastAsia="Calibri" w:hAnsi="Times New Roman" w:cs="Times New Roman"/>
          <w:sz w:val="28"/>
        </w:rPr>
        <w:t xml:space="preserve">: с </w:t>
      </w:r>
      <w:r w:rsidR="00A04BE0" w:rsidRPr="004032F4">
        <w:rPr>
          <w:rFonts w:ascii="Times New Roman" w:eastAsia="Calibri" w:hAnsi="Times New Roman" w:cs="Times New Roman"/>
          <w:sz w:val="28"/>
        </w:rPr>
        <w:t>9</w:t>
      </w:r>
      <w:r w:rsidR="00D04217" w:rsidRPr="004032F4">
        <w:rPr>
          <w:rFonts w:ascii="Times New Roman" w:eastAsia="Calibri" w:hAnsi="Times New Roman" w:cs="Times New Roman"/>
          <w:sz w:val="28"/>
        </w:rPr>
        <w:t>5,2%</w:t>
      </w:r>
      <w:r w:rsidRPr="004032F4">
        <w:rPr>
          <w:rFonts w:ascii="Times New Roman" w:eastAsia="Calibri" w:hAnsi="Times New Roman" w:cs="Times New Roman"/>
          <w:sz w:val="28"/>
        </w:rPr>
        <w:t xml:space="preserve"> (по оценке исполнения в 202</w:t>
      </w:r>
      <w:r w:rsidR="00D04217" w:rsidRPr="004032F4">
        <w:rPr>
          <w:rFonts w:ascii="Times New Roman" w:eastAsia="Calibri" w:hAnsi="Times New Roman" w:cs="Times New Roman"/>
          <w:sz w:val="28"/>
        </w:rPr>
        <w:t>4</w:t>
      </w:r>
      <w:r w:rsidRPr="004032F4">
        <w:rPr>
          <w:rFonts w:ascii="Times New Roman" w:eastAsia="Calibri" w:hAnsi="Times New Roman" w:cs="Times New Roman"/>
          <w:sz w:val="28"/>
        </w:rPr>
        <w:t xml:space="preserve"> году) до </w:t>
      </w:r>
      <w:r w:rsidR="00A04BE0" w:rsidRPr="004032F4">
        <w:rPr>
          <w:rFonts w:ascii="Times New Roman" w:eastAsia="Calibri" w:hAnsi="Times New Roman" w:cs="Times New Roman"/>
          <w:sz w:val="28"/>
        </w:rPr>
        <w:t>9</w:t>
      </w:r>
      <w:r w:rsidR="00D04217" w:rsidRPr="004032F4">
        <w:rPr>
          <w:rFonts w:ascii="Times New Roman" w:eastAsia="Calibri" w:hAnsi="Times New Roman" w:cs="Times New Roman"/>
          <w:sz w:val="28"/>
        </w:rPr>
        <w:t>7,</w:t>
      </w:r>
      <w:r w:rsidR="00A04BE0" w:rsidRPr="004032F4">
        <w:rPr>
          <w:rFonts w:ascii="Times New Roman" w:eastAsia="Calibri" w:hAnsi="Times New Roman" w:cs="Times New Roman"/>
          <w:sz w:val="28"/>
        </w:rPr>
        <w:t>8</w:t>
      </w:r>
      <w:r w:rsidRPr="004032F4">
        <w:rPr>
          <w:rFonts w:ascii="Times New Roman" w:eastAsia="Calibri" w:hAnsi="Times New Roman" w:cs="Times New Roman"/>
          <w:sz w:val="28"/>
        </w:rPr>
        <w:t xml:space="preserve">% </w:t>
      </w:r>
      <w:r w:rsidR="00D235F6" w:rsidRPr="004032F4">
        <w:rPr>
          <w:rFonts w:ascii="Times New Roman" w:eastAsia="Calibri" w:hAnsi="Times New Roman" w:cs="Times New Roman"/>
          <w:sz w:val="28"/>
        </w:rPr>
        <w:t>(</w:t>
      </w:r>
      <w:r w:rsidRPr="004032F4">
        <w:rPr>
          <w:rFonts w:ascii="Times New Roman" w:eastAsia="Calibri" w:hAnsi="Times New Roman" w:cs="Times New Roman"/>
          <w:sz w:val="28"/>
        </w:rPr>
        <w:t xml:space="preserve">в </w:t>
      </w:r>
      <w:r w:rsidR="00933509" w:rsidRPr="004032F4">
        <w:rPr>
          <w:rFonts w:ascii="Times New Roman" w:eastAsia="Calibri" w:hAnsi="Times New Roman" w:cs="Times New Roman"/>
          <w:sz w:val="28"/>
        </w:rPr>
        <w:t>2027</w:t>
      </w:r>
      <w:r w:rsidRPr="004032F4">
        <w:rPr>
          <w:rFonts w:ascii="Times New Roman" w:eastAsia="Calibri" w:hAnsi="Times New Roman" w:cs="Times New Roman"/>
          <w:sz w:val="28"/>
        </w:rPr>
        <w:t xml:space="preserve"> году</w:t>
      </w:r>
      <w:r w:rsidR="00D235F6" w:rsidRPr="004032F4">
        <w:rPr>
          <w:rFonts w:ascii="Times New Roman" w:eastAsia="Calibri" w:hAnsi="Times New Roman" w:cs="Times New Roman"/>
          <w:sz w:val="28"/>
        </w:rPr>
        <w:t>)</w:t>
      </w:r>
      <w:r w:rsidRPr="004032F4">
        <w:rPr>
          <w:rFonts w:ascii="Times New Roman" w:eastAsia="Calibri" w:hAnsi="Times New Roman" w:cs="Times New Roman"/>
          <w:sz w:val="28"/>
        </w:rPr>
        <w:t>.</w:t>
      </w:r>
    </w:p>
    <w:p w14:paraId="48B3E19E" w14:textId="2F221B89" w:rsidR="00357A0F" w:rsidRPr="004032F4" w:rsidRDefault="00C51AEF" w:rsidP="00B806EC">
      <w:pPr>
        <w:widowControl w:val="0"/>
        <w:spacing w:after="0" w:line="240" w:lineRule="auto"/>
        <w:ind w:firstLine="709"/>
        <w:jc w:val="both"/>
        <w:rPr>
          <w:rFonts w:ascii="Times New Roman" w:eastAsia="Calibri" w:hAnsi="Times New Roman" w:cs="Times New Roman"/>
          <w:spacing w:val="-4"/>
          <w:sz w:val="28"/>
        </w:rPr>
      </w:pPr>
      <w:proofErr w:type="spellStart"/>
      <w:r w:rsidRPr="004032F4">
        <w:rPr>
          <w:rFonts w:ascii="Times New Roman" w:eastAsia="Calibri" w:hAnsi="Times New Roman" w:cs="Times New Roman"/>
          <w:spacing w:val="-4"/>
          <w:sz w:val="28"/>
        </w:rPr>
        <w:t>Бюджетообразующими</w:t>
      </w:r>
      <w:proofErr w:type="spellEnd"/>
      <w:r w:rsidRPr="004032F4">
        <w:rPr>
          <w:rFonts w:ascii="Times New Roman" w:eastAsia="Calibri" w:hAnsi="Times New Roman" w:cs="Times New Roman"/>
          <w:spacing w:val="-4"/>
          <w:sz w:val="28"/>
        </w:rPr>
        <w:t xml:space="preserve"> налогами, как и в предыдущие годы, являются налог на прибыль организаций, налог на доходы физических лиц, акцизы, налог на имущество организаций. В объеме налоговых доходов их доля в </w:t>
      </w:r>
      <w:r w:rsidR="00933509" w:rsidRPr="004032F4">
        <w:rPr>
          <w:rFonts w:ascii="Times New Roman" w:eastAsia="Calibri" w:hAnsi="Times New Roman" w:cs="Times New Roman"/>
          <w:spacing w:val="-4"/>
          <w:sz w:val="28"/>
        </w:rPr>
        <w:t>2025</w:t>
      </w:r>
      <w:r w:rsidRPr="004032F4">
        <w:rPr>
          <w:rFonts w:ascii="Times New Roman" w:eastAsia="Calibri" w:hAnsi="Times New Roman" w:cs="Times New Roman"/>
          <w:spacing w:val="-4"/>
          <w:sz w:val="28"/>
        </w:rPr>
        <w:t xml:space="preserve"> году составит </w:t>
      </w:r>
      <w:r w:rsidR="004A0979" w:rsidRPr="004032F4">
        <w:rPr>
          <w:rFonts w:ascii="Times New Roman" w:eastAsia="Calibri" w:hAnsi="Times New Roman" w:cs="Times New Roman"/>
          <w:spacing w:val="-4"/>
          <w:sz w:val="28"/>
        </w:rPr>
        <w:t>93,</w:t>
      </w:r>
      <w:r w:rsidR="00DE4A67" w:rsidRPr="004032F4">
        <w:rPr>
          <w:rFonts w:ascii="Times New Roman" w:eastAsia="Calibri" w:hAnsi="Times New Roman" w:cs="Times New Roman"/>
          <w:spacing w:val="-4"/>
          <w:sz w:val="28"/>
        </w:rPr>
        <w:t>4</w:t>
      </w:r>
      <w:r w:rsidRPr="004032F4">
        <w:rPr>
          <w:rFonts w:ascii="Times New Roman" w:eastAsia="Calibri" w:hAnsi="Times New Roman" w:cs="Times New Roman"/>
          <w:spacing w:val="-4"/>
          <w:sz w:val="28"/>
        </w:rPr>
        <w:t>%</w:t>
      </w:r>
      <w:r w:rsidR="00993DB8" w:rsidRPr="004032F4">
        <w:rPr>
          <w:rFonts w:ascii="Times New Roman" w:eastAsia="Calibri" w:hAnsi="Times New Roman" w:cs="Times New Roman"/>
          <w:spacing w:val="-4"/>
          <w:sz w:val="28"/>
        </w:rPr>
        <w:t xml:space="preserve"> </w:t>
      </w:r>
      <w:r w:rsidR="00993DB8" w:rsidRPr="004032F4">
        <w:rPr>
          <w:rFonts w:ascii="Times New Roman" w:eastAsia="Calibri" w:hAnsi="Times New Roman" w:cs="Times New Roman"/>
          <w:spacing w:val="-4"/>
          <w:sz w:val="24"/>
          <w:szCs w:val="24"/>
        </w:rPr>
        <w:t xml:space="preserve">(по оценке </w:t>
      </w:r>
      <w:r w:rsidR="002F30FB" w:rsidRPr="004032F4">
        <w:rPr>
          <w:rFonts w:ascii="Times New Roman" w:eastAsia="Calibri" w:hAnsi="Times New Roman" w:cs="Times New Roman"/>
          <w:spacing w:val="-4"/>
          <w:sz w:val="24"/>
          <w:szCs w:val="24"/>
        </w:rPr>
        <w:t xml:space="preserve">исполнения </w:t>
      </w:r>
      <w:r w:rsidR="00993DB8" w:rsidRPr="004032F4">
        <w:rPr>
          <w:rFonts w:ascii="Times New Roman" w:eastAsia="Calibri" w:hAnsi="Times New Roman" w:cs="Times New Roman"/>
          <w:spacing w:val="-4"/>
          <w:sz w:val="24"/>
          <w:szCs w:val="24"/>
        </w:rPr>
        <w:t>202</w:t>
      </w:r>
      <w:r w:rsidR="00DE4A67" w:rsidRPr="004032F4">
        <w:rPr>
          <w:rFonts w:ascii="Times New Roman" w:eastAsia="Calibri" w:hAnsi="Times New Roman" w:cs="Times New Roman"/>
          <w:spacing w:val="-4"/>
          <w:sz w:val="24"/>
          <w:szCs w:val="24"/>
        </w:rPr>
        <w:t>4</w:t>
      </w:r>
      <w:r w:rsidR="00993DB8" w:rsidRPr="004032F4">
        <w:rPr>
          <w:rFonts w:ascii="Times New Roman" w:eastAsia="Calibri" w:hAnsi="Times New Roman" w:cs="Times New Roman"/>
          <w:spacing w:val="-4"/>
          <w:sz w:val="24"/>
          <w:szCs w:val="24"/>
        </w:rPr>
        <w:t xml:space="preserve"> года – 93,</w:t>
      </w:r>
      <w:r w:rsidR="00DE4A67" w:rsidRPr="004032F4">
        <w:rPr>
          <w:rFonts w:ascii="Times New Roman" w:eastAsia="Calibri" w:hAnsi="Times New Roman" w:cs="Times New Roman"/>
          <w:spacing w:val="-4"/>
          <w:sz w:val="24"/>
          <w:szCs w:val="24"/>
        </w:rPr>
        <w:t>2</w:t>
      </w:r>
      <w:r w:rsidR="00993DB8" w:rsidRPr="004032F4">
        <w:rPr>
          <w:rFonts w:ascii="Times New Roman" w:eastAsia="Calibri" w:hAnsi="Times New Roman" w:cs="Times New Roman"/>
          <w:spacing w:val="-4"/>
          <w:sz w:val="24"/>
          <w:szCs w:val="24"/>
        </w:rPr>
        <w:t>%)</w:t>
      </w:r>
      <w:r w:rsidRPr="004032F4">
        <w:rPr>
          <w:rFonts w:ascii="Times New Roman" w:eastAsia="Calibri" w:hAnsi="Times New Roman" w:cs="Times New Roman"/>
          <w:spacing w:val="-4"/>
          <w:sz w:val="28"/>
        </w:rPr>
        <w:t xml:space="preserve">, в </w:t>
      </w:r>
      <w:r w:rsidR="00933509" w:rsidRPr="004032F4">
        <w:rPr>
          <w:rFonts w:ascii="Times New Roman" w:eastAsia="Calibri" w:hAnsi="Times New Roman" w:cs="Times New Roman"/>
          <w:spacing w:val="-4"/>
          <w:sz w:val="28"/>
        </w:rPr>
        <w:t>2026</w:t>
      </w:r>
      <w:r w:rsidRPr="004032F4">
        <w:rPr>
          <w:rFonts w:ascii="Times New Roman" w:eastAsia="Calibri" w:hAnsi="Times New Roman" w:cs="Times New Roman"/>
          <w:spacing w:val="-4"/>
          <w:sz w:val="28"/>
        </w:rPr>
        <w:t xml:space="preserve"> </w:t>
      </w:r>
      <w:r w:rsidR="00CB5F22" w:rsidRPr="004032F4">
        <w:rPr>
          <w:rFonts w:ascii="Times New Roman" w:eastAsia="Calibri" w:hAnsi="Times New Roman" w:cs="Times New Roman"/>
          <w:spacing w:val="-4"/>
          <w:sz w:val="28"/>
        </w:rPr>
        <w:t xml:space="preserve">и </w:t>
      </w:r>
      <w:r w:rsidR="00933509" w:rsidRPr="004032F4">
        <w:rPr>
          <w:rFonts w:ascii="Times New Roman" w:eastAsia="Calibri" w:hAnsi="Times New Roman" w:cs="Times New Roman"/>
          <w:spacing w:val="-4"/>
          <w:sz w:val="28"/>
        </w:rPr>
        <w:t>2027</w:t>
      </w:r>
      <w:r w:rsidR="00CB5F22" w:rsidRPr="004032F4">
        <w:rPr>
          <w:rFonts w:ascii="Times New Roman" w:eastAsia="Calibri" w:hAnsi="Times New Roman" w:cs="Times New Roman"/>
          <w:spacing w:val="-4"/>
          <w:sz w:val="28"/>
        </w:rPr>
        <w:t xml:space="preserve"> годах</w:t>
      </w:r>
      <w:r w:rsidRPr="004032F4">
        <w:rPr>
          <w:rFonts w:ascii="Times New Roman" w:eastAsia="Calibri" w:hAnsi="Times New Roman" w:cs="Times New Roman"/>
          <w:spacing w:val="-4"/>
          <w:sz w:val="28"/>
        </w:rPr>
        <w:t xml:space="preserve"> </w:t>
      </w:r>
      <w:r w:rsidR="00E35EA0" w:rsidRPr="004032F4">
        <w:rPr>
          <w:rFonts w:ascii="Times New Roman" w:eastAsia="Calibri" w:hAnsi="Times New Roman" w:cs="Times New Roman"/>
          <w:spacing w:val="-4"/>
          <w:sz w:val="28"/>
        </w:rPr>
        <w:t xml:space="preserve">соответственно </w:t>
      </w:r>
      <w:r w:rsidR="00DE4A67" w:rsidRPr="004032F4">
        <w:rPr>
          <w:rFonts w:ascii="Times New Roman" w:eastAsia="Calibri" w:hAnsi="Times New Roman" w:cs="Times New Roman"/>
          <w:spacing w:val="-4"/>
          <w:sz w:val="28"/>
        </w:rPr>
        <w:t>93,1</w:t>
      </w:r>
      <w:r w:rsidR="00E35EA0" w:rsidRPr="004032F4">
        <w:rPr>
          <w:rFonts w:ascii="Times New Roman" w:eastAsia="Calibri" w:hAnsi="Times New Roman" w:cs="Times New Roman"/>
          <w:spacing w:val="-4"/>
          <w:sz w:val="28"/>
        </w:rPr>
        <w:t>%, 9</w:t>
      </w:r>
      <w:r w:rsidR="002F30FB" w:rsidRPr="004032F4">
        <w:rPr>
          <w:rFonts w:ascii="Times New Roman" w:eastAsia="Calibri" w:hAnsi="Times New Roman" w:cs="Times New Roman"/>
          <w:spacing w:val="-4"/>
          <w:sz w:val="28"/>
        </w:rPr>
        <w:t>2,</w:t>
      </w:r>
      <w:r w:rsidR="00DE4A67" w:rsidRPr="004032F4">
        <w:rPr>
          <w:rFonts w:ascii="Times New Roman" w:eastAsia="Calibri" w:hAnsi="Times New Roman" w:cs="Times New Roman"/>
          <w:spacing w:val="-4"/>
          <w:sz w:val="28"/>
        </w:rPr>
        <w:t>9</w:t>
      </w:r>
      <w:r w:rsidR="00E35EA0" w:rsidRPr="004032F4">
        <w:rPr>
          <w:rFonts w:ascii="Times New Roman" w:eastAsia="Calibri" w:hAnsi="Times New Roman" w:cs="Times New Roman"/>
          <w:spacing w:val="-4"/>
          <w:sz w:val="28"/>
        </w:rPr>
        <w:t>%</w:t>
      </w:r>
      <w:r w:rsidRPr="004032F4">
        <w:rPr>
          <w:rFonts w:ascii="Times New Roman" w:eastAsia="Calibri" w:hAnsi="Times New Roman" w:cs="Times New Roman"/>
          <w:spacing w:val="-4"/>
          <w:sz w:val="28"/>
        </w:rPr>
        <w:t>.</w:t>
      </w:r>
      <w:r w:rsidR="00FE19C7" w:rsidRPr="004032F4">
        <w:rPr>
          <w:rFonts w:ascii="Times New Roman" w:eastAsia="Calibri" w:hAnsi="Times New Roman" w:cs="Times New Roman"/>
          <w:spacing w:val="-4"/>
          <w:sz w:val="28"/>
        </w:rPr>
        <w:t xml:space="preserve"> </w:t>
      </w:r>
    </w:p>
    <w:p w14:paraId="740CB001" w14:textId="13CB3952" w:rsidR="006663A5" w:rsidRPr="004032F4" w:rsidRDefault="00FE19C7" w:rsidP="000A24FE">
      <w:pPr>
        <w:widowControl w:val="0"/>
        <w:spacing w:after="0" w:line="240" w:lineRule="auto"/>
        <w:ind w:firstLine="709"/>
        <w:jc w:val="both"/>
        <w:rPr>
          <w:rFonts w:ascii="Times New Roman" w:eastAsia="Calibri" w:hAnsi="Times New Roman" w:cs="Times New Roman"/>
          <w:spacing w:val="-4"/>
          <w:sz w:val="28"/>
        </w:rPr>
      </w:pPr>
      <w:r w:rsidRPr="004032F4">
        <w:rPr>
          <w:rFonts w:ascii="Times New Roman" w:eastAsia="Calibri" w:hAnsi="Times New Roman" w:cs="Times New Roman"/>
          <w:spacing w:val="-4"/>
          <w:sz w:val="28"/>
        </w:rPr>
        <w:t xml:space="preserve">Расчет прогнозных поступлений по налоговым доходам осуществлен </w:t>
      </w:r>
      <w:r w:rsidR="000A24FE" w:rsidRPr="004032F4">
        <w:rPr>
          <w:rFonts w:ascii="Times New Roman" w:eastAsia="Calibri" w:hAnsi="Times New Roman" w:cs="Times New Roman"/>
          <w:spacing w:val="-4"/>
          <w:sz w:val="28"/>
        </w:rPr>
        <w:t>главным администраторо</w:t>
      </w:r>
      <w:r w:rsidR="004D3F36" w:rsidRPr="004032F4">
        <w:rPr>
          <w:rFonts w:ascii="Times New Roman" w:eastAsia="Calibri" w:hAnsi="Times New Roman" w:cs="Times New Roman"/>
          <w:spacing w:val="-4"/>
          <w:sz w:val="28"/>
        </w:rPr>
        <w:t>м</w:t>
      </w:r>
      <w:r w:rsidR="000A24FE" w:rsidRPr="004032F4">
        <w:rPr>
          <w:rFonts w:ascii="Times New Roman" w:eastAsia="Calibri" w:hAnsi="Times New Roman" w:cs="Times New Roman"/>
          <w:spacing w:val="-4"/>
          <w:sz w:val="28"/>
        </w:rPr>
        <w:t xml:space="preserve"> налоговых доходов – УФНС по Тульской области </w:t>
      </w:r>
      <w:r w:rsidR="000A24FE" w:rsidRPr="004032F4">
        <w:rPr>
          <w:rFonts w:ascii="Times New Roman" w:eastAsia="Calibri" w:hAnsi="Times New Roman" w:cs="Times New Roman"/>
          <w:spacing w:val="-4"/>
        </w:rPr>
        <w:t xml:space="preserve">(по налогу на прибыль организаций, по налогу на доходы физических лиц, по акцизам, по налогам на совокупный доход, на налогам на имущество, по налогам, сборам и регулярным платежам за пользование природными ресурсами, отдельным видам государственной пошлины) </w:t>
      </w:r>
      <w:r w:rsidRPr="004032F4">
        <w:rPr>
          <w:rFonts w:ascii="Times New Roman" w:eastAsia="Calibri" w:hAnsi="Times New Roman" w:cs="Times New Roman"/>
          <w:spacing w:val="-4"/>
          <w:sz w:val="28"/>
        </w:rPr>
        <w:t xml:space="preserve">с учетом установленных федеральным законодательством нормативов распределения между субъектами РФ по налогу на прибыль организаций, </w:t>
      </w:r>
      <w:r w:rsidR="00B806EC" w:rsidRPr="004032F4">
        <w:rPr>
          <w:rFonts w:ascii="Times New Roman" w:eastAsia="Calibri" w:hAnsi="Times New Roman" w:cs="Times New Roman"/>
          <w:spacing w:val="-4"/>
          <w:sz w:val="28"/>
        </w:rPr>
        <w:t xml:space="preserve">нормативов распределения между субъектами РФ от </w:t>
      </w:r>
      <w:r w:rsidRPr="004032F4">
        <w:rPr>
          <w:rFonts w:ascii="Times New Roman" w:eastAsia="Calibri" w:hAnsi="Times New Roman" w:cs="Times New Roman"/>
          <w:spacing w:val="-4"/>
          <w:sz w:val="28"/>
        </w:rPr>
        <w:t>акциз</w:t>
      </w:r>
      <w:r w:rsidR="00B806EC" w:rsidRPr="004032F4">
        <w:rPr>
          <w:rFonts w:ascii="Times New Roman" w:eastAsia="Calibri" w:hAnsi="Times New Roman" w:cs="Times New Roman"/>
          <w:spacing w:val="-4"/>
          <w:sz w:val="28"/>
        </w:rPr>
        <w:t>ов,</w:t>
      </w:r>
      <w:r w:rsidR="00252E11" w:rsidRPr="004032F4">
        <w:rPr>
          <w:rFonts w:ascii="Times New Roman" w:eastAsia="Calibri" w:hAnsi="Times New Roman" w:cs="Times New Roman"/>
          <w:spacing w:val="-4"/>
          <w:sz w:val="28"/>
        </w:rPr>
        <w:t xml:space="preserve"> </w:t>
      </w:r>
      <w:r w:rsidR="009E4051" w:rsidRPr="004032F4">
        <w:rPr>
          <w:rFonts w:ascii="Times New Roman" w:eastAsia="Calibri" w:hAnsi="Times New Roman" w:cs="Times New Roman"/>
          <w:spacing w:val="-4"/>
          <w:sz w:val="28"/>
        </w:rPr>
        <w:t xml:space="preserve">прогнозируемых сумм поступлений доходов от уплаты отдельных видов акцизов, рассчитанных </w:t>
      </w:r>
      <w:r w:rsidR="004D3F36" w:rsidRPr="004032F4">
        <w:rPr>
          <w:rFonts w:ascii="Times New Roman" w:eastAsia="Calibri" w:hAnsi="Times New Roman" w:cs="Times New Roman"/>
          <w:spacing w:val="-4"/>
          <w:sz w:val="28"/>
        </w:rPr>
        <w:lastRenderedPageBreak/>
        <w:t>Минфином России</w:t>
      </w:r>
      <w:r w:rsidR="006663A5" w:rsidRPr="004032F4">
        <w:rPr>
          <w:rStyle w:val="a5"/>
          <w:rFonts w:ascii="Times New Roman" w:eastAsia="Calibri" w:hAnsi="Times New Roman" w:cs="Times New Roman"/>
          <w:spacing w:val="-4"/>
          <w:sz w:val="28"/>
        </w:rPr>
        <w:footnoteReference w:id="5"/>
      </w:r>
      <w:r w:rsidR="009E4051" w:rsidRPr="004032F4">
        <w:rPr>
          <w:rFonts w:ascii="Times New Roman" w:eastAsia="Calibri" w:hAnsi="Times New Roman" w:cs="Times New Roman"/>
          <w:spacing w:val="-4"/>
          <w:sz w:val="28"/>
        </w:rPr>
        <w:t xml:space="preserve"> (для каждого субъекта)</w:t>
      </w:r>
      <w:r w:rsidR="006663A5" w:rsidRPr="004032F4">
        <w:rPr>
          <w:rFonts w:ascii="Times New Roman" w:eastAsia="Calibri" w:hAnsi="Times New Roman" w:cs="Times New Roman"/>
          <w:spacing w:val="-4"/>
          <w:sz w:val="28"/>
        </w:rPr>
        <w:t xml:space="preserve">. </w:t>
      </w:r>
    </w:p>
    <w:p w14:paraId="5F73C04C" w14:textId="77777777" w:rsidR="006663A5" w:rsidRPr="004032F4" w:rsidRDefault="006663A5" w:rsidP="000A24FE">
      <w:pPr>
        <w:widowControl w:val="0"/>
        <w:spacing w:after="0" w:line="240" w:lineRule="auto"/>
        <w:ind w:firstLine="709"/>
        <w:jc w:val="both"/>
        <w:rPr>
          <w:rFonts w:ascii="Times New Roman" w:eastAsia="Calibri" w:hAnsi="Times New Roman" w:cs="Times New Roman"/>
          <w:spacing w:val="-4"/>
          <w:sz w:val="28"/>
        </w:rPr>
      </w:pPr>
      <w:r w:rsidRPr="004032F4">
        <w:rPr>
          <w:rFonts w:ascii="Times New Roman" w:eastAsia="Calibri" w:hAnsi="Times New Roman" w:cs="Times New Roman"/>
          <w:spacing w:val="-4"/>
          <w:sz w:val="28"/>
        </w:rPr>
        <w:t>В расчетах поступлений от налога, взимаемого в связи с применением упрощенной системы налогообложения</w:t>
      </w:r>
      <w:r w:rsidR="009E4051" w:rsidRPr="004032F4">
        <w:rPr>
          <w:rFonts w:ascii="Times New Roman" w:eastAsia="Calibri" w:hAnsi="Times New Roman" w:cs="Times New Roman"/>
          <w:spacing w:val="-4"/>
          <w:sz w:val="28"/>
        </w:rPr>
        <w:t xml:space="preserve">, </w:t>
      </w:r>
      <w:r w:rsidRPr="004032F4">
        <w:rPr>
          <w:rFonts w:ascii="Times New Roman" w:eastAsia="Calibri" w:hAnsi="Times New Roman" w:cs="Times New Roman"/>
          <w:spacing w:val="-4"/>
          <w:sz w:val="28"/>
        </w:rPr>
        <w:t xml:space="preserve">учтены </w:t>
      </w:r>
      <w:r w:rsidR="000A24FE" w:rsidRPr="004032F4">
        <w:rPr>
          <w:rFonts w:ascii="Times New Roman" w:eastAsia="Calibri" w:hAnsi="Times New Roman" w:cs="Times New Roman"/>
          <w:spacing w:val="-4"/>
          <w:sz w:val="28"/>
        </w:rPr>
        <w:t>дифференцированны</w:t>
      </w:r>
      <w:r w:rsidRPr="004032F4">
        <w:rPr>
          <w:rFonts w:ascii="Times New Roman" w:eastAsia="Calibri" w:hAnsi="Times New Roman" w:cs="Times New Roman"/>
          <w:spacing w:val="-4"/>
          <w:sz w:val="28"/>
        </w:rPr>
        <w:t>е</w:t>
      </w:r>
      <w:r w:rsidR="000A24FE" w:rsidRPr="004032F4">
        <w:rPr>
          <w:rFonts w:ascii="Times New Roman" w:eastAsia="Calibri" w:hAnsi="Times New Roman" w:cs="Times New Roman"/>
          <w:spacing w:val="-4"/>
          <w:sz w:val="28"/>
        </w:rPr>
        <w:t xml:space="preserve"> норматив</w:t>
      </w:r>
      <w:r w:rsidRPr="004032F4">
        <w:rPr>
          <w:rFonts w:ascii="Times New Roman" w:eastAsia="Calibri" w:hAnsi="Times New Roman" w:cs="Times New Roman"/>
          <w:spacing w:val="-4"/>
          <w:sz w:val="28"/>
        </w:rPr>
        <w:t>ы</w:t>
      </w:r>
      <w:r w:rsidR="000A24FE" w:rsidRPr="004032F4">
        <w:rPr>
          <w:rFonts w:ascii="Times New Roman" w:eastAsia="Calibri" w:hAnsi="Times New Roman" w:cs="Times New Roman"/>
          <w:spacing w:val="-4"/>
          <w:sz w:val="28"/>
        </w:rPr>
        <w:t xml:space="preserve"> отчислений в бюджеты МО</w:t>
      </w:r>
      <w:r w:rsidR="00252E11" w:rsidRPr="004032F4">
        <w:rPr>
          <w:rFonts w:ascii="Times New Roman" w:eastAsia="Calibri" w:hAnsi="Times New Roman" w:cs="Times New Roman"/>
          <w:spacing w:val="-4"/>
          <w:sz w:val="28"/>
        </w:rPr>
        <w:t>, применяемые с нового бюджетного цикла</w:t>
      </w:r>
      <w:r w:rsidR="00252E11" w:rsidRPr="004032F4">
        <w:rPr>
          <w:rStyle w:val="a5"/>
          <w:rFonts w:ascii="Times New Roman" w:eastAsia="Calibri" w:hAnsi="Times New Roman" w:cs="Times New Roman"/>
          <w:spacing w:val="-4"/>
          <w:sz w:val="28"/>
        </w:rPr>
        <w:footnoteReference w:id="6"/>
      </w:r>
      <w:r w:rsidRPr="004032F4">
        <w:rPr>
          <w:rFonts w:ascii="Times New Roman" w:eastAsia="Calibri" w:hAnsi="Times New Roman" w:cs="Times New Roman"/>
          <w:spacing w:val="-4"/>
          <w:sz w:val="28"/>
        </w:rPr>
        <w:t>.</w:t>
      </w:r>
    </w:p>
    <w:p w14:paraId="23CF1491" w14:textId="48B4F817" w:rsidR="00357A0F" w:rsidRPr="007E0556" w:rsidRDefault="006663A5" w:rsidP="000A24FE">
      <w:pPr>
        <w:widowControl w:val="0"/>
        <w:spacing w:after="0" w:line="240" w:lineRule="auto"/>
        <w:ind w:firstLine="709"/>
        <w:jc w:val="both"/>
        <w:rPr>
          <w:rFonts w:ascii="Times New Roman" w:eastAsia="Calibri" w:hAnsi="Times New Roman" w:cs="Times New Roman"/>
          <w:spacing w:val="-4"/>
        </w:rPr>
      </w:pPr>
      <w:r w:rsidRPr="007E0556">
        <w:rPr>
          <w:rFonts w:ascii="Times New Roman" w:eastAsia="Calibri" w:hAnsi="Times New Roman" w:cs="Times New Roman"/>
          <w:spacing w:val="-4"/>
          <w:sz w:val="28"/>
        </w:rPr>
        <w:t>В доходах бюджета области учтены расчеты прогнозных поступлений госпошлины</w:t>
      </w:r>
      <w:r w:rsidR="006E0546" w:rsidRPr="007E0556">
        <w:rPr>
          <w:rFonts w:ascii="Times New Roman" w:eastAsia="Calibri" w:hAnsi="Times New Roman" w:cs="Times New Roman"/>
          <w:spacing w:val="-4"/>
          <w:sz w:val="28"/>
        </w:rPr>
        <w:t xml:space="preserve"> на основании </w:t>
      </w:r>
      <w:r w:rsidRPr="007E0556">
        <w:rPr>
          <w:rFonts w:ascii="Times New Roman" w:eastAsia="Calibri" w:hAnsi="Times New Roman" w:cs="Times New Roman"/>
          <w:spacing w:val="-4"/>
          <w:sz w:val="28"/>
        </w:rPr>
        <w:t>сведений</w:t>
      </w:r>
      <w:r w:rsidR="003102A5" w:rsidRPr="007E0556">
        <w:rPr>
          <w:rFonts w:ascii="Times New Roman" w:eastAsia="Calibri" w:hAnsi="Times New Roman" w:cs="Times New Roman"/>
          <w:spacing w:val="-4"/>
          <w:sz w:val="28"/>
          <w:szCs w:val="28"/>
        </w:rPr>
        <w:t xml:space="preserve"> главных администраторов доходов</w:t>
      </w:r>
      <w:r w:rsidR="003102A5" w:rsidRPr="007E0556">
        <w:rPr>
          <w:rStyle w:val="a5"/>
          <w:rFonts w:ascii="Times New Roman" w:eastAsia="Calibri" w:hAnsi="Times New Roman" w:cs="Times New Roman"/>
          <w:spacing w:val="-4"/>
          <w:sz w:val="28"/>
          <w:szCs w:val="28"/>
        </w:rPr>
        <w:footnoteReference w:id="7"/>
      </w:r>
      <w:r w:rsidR="003102A5" w:rsidRPr="007E0556">
        <w:rPr>
          <w:rFonts w:ascii="Times New Roman" w:eastAsia="Calibri" w:hAnsi="Times New Roman" w:cs="Times New Roman"/>
          <w:spacing w:val="-4"/>
          <w:sz w:val="28"/>
          <w:szCs w:val="28"/>
        </w:rPr>
        <w:t xml:space="preserve"> (по отдельным видам госпошлины).</w:t>
      </w:r>
      <w:r w:rsidR="00357A0F" w:rsidRPr="007E0556">
        <w:rPr>
          <w:rFonts w:ascii="Times New Roman" w:eastAsia="Calibri" w:hAnsi="Times New Roman" w:cs="Times New Roman"/>
          <w:spacing w:val="-4"/>
        </w:rPr>
        <w:t xml:space="preserve"> </w:t>
      </w:r>
    </w:p>
    <w:p w14:paraId="075BD040" w14:textId="2F918E56" w:rsidR="008A00DD" w:rsidRPr="004032F4" w:rsidRDefault="008A00DD" w:rsidP="008A00DD">
      <w:pPr>
        <w:widowControl w:val="0"/>
        <w:spacing w:after="0" w:line="240" w:lineRule="auto"/>
        <w:ind w:firstLine="709"/>
        <w:jc w:val="both"/>
        <w:rPr>
          <w:rFonts w:ascii="Times New Roman" w:eastAsia="Calibri" w:hAnsi="Times New Roman" w:cs="Times New Roman"/>
          <w:spacing w:val="-4"/>
          <w:sz w:val="28"/>
          <w:szCs w:val="28"/>
        </w:rPr>
      </w:pPr>
      <w:r w:rsidRPr="007E0556">
        <w:rPr>
          <w:rFonts w:ascii="Times New Roman" w:eastAsia="Calibri" w:hAnsi="Times New Roman" w:cs="Times New Roman"/>
          <w:spacing w:val="-4"/>
          <w:sz w:val="28"/>
          <w:szCs w:val="28"/>
        </w:rPr>
        <w:t xml:space="preserve">Прогнозный объем по доходам от акцизов на нефтепродукты в целях реализации национального проекта «Безопасные и качественные дороги» для бюджета области на 2026 год спрогнозирован в размере 1 313,7 млн. рублей. Следует отметить, что проектом федерального бюджета </w:t>
      </w:r>
      <w:r w:rsidR="007E0556" w:rsidRPr="007E0556">
        <w:rPr>
          <w:rFonts w:ascii="Times New Roman" w:eastAsia="Calibri" w:hAnsi="Times New Roman" w:cs="Times New Roman"/>
          <w:spacing w:val="-4"/>
          <w:sz w:val="28"/>
          <w:szCs w:val="28"/>
        </w:rPr>
        <w:t xml:space="preserve">на 2027 год </w:t>
      </w:r>
      <w:r w:rsidRPr="007E0556">
        <w:rPr>
          <w:rFonts w:ascii="Times New Roman" w:eastAsia="Calibri" w:hAnsi="Times New Roman" w:cs="Times New Roman"/>
          <w:spacing w:val="-4"/>
          <w:sz w:val="28"/>
          <w:szCs w:val="28"/>
        </w:rPr>
        <w:t xml:space="preserve">не </w:t>
      </w:r>
      <w:r w:rsidRPr="007E0556">
        <w:rPr>
          <w:rFonts w:ascii="Times New Roman" w:eastAsia="Calibri" w:hAnsi="Times New Roman" w:cs="Times New Roman"/>
          <w:spacing w:val="-4"/>
          <w:sz w:val="28"/>
          <w:szCs w:val="28"/>
        </w:rPr>
        <w:lastRenderedPageBreak/>
        <w:t>устан</w:t>
      </w:r>
      <w:r w:rsidR="007E0556" w:rsidRPr="007E0556">
        <w:rPr>
          <w:rFonts w:ascii="Times New Roman" w:eastAsia="Calibri" w:hAnsi="Times New Roman" w:cs="Times New Roman"/>
          <w:spacing w:val="-4"/>
          <w:sz w:val="28"/>
          <w:szCs w:val="28"/>
        </w:rPr>
        <w:t>а</w:t>
      </w:r>
      <w:r w:rsidRPr="007E0556">
        <w:rPr>
          <w:rFonts w:ascii="Times New Roman" w:eastAsia="Calibri" w:hAnsi="Times New Roman" w:cs="Times New Roman"/>
          <w:spacing w:val="-4"/>
          <w:sz w:val="28"/>
          <w:szCs w:val="28"/>
        </w:rPr>
        <w:t>вл</w:t>
      </w:r>
      <w:r w:rsidR="007E0556" w:rsidRPr="007E0556">
        <w:rPr>
          <w:rFonts w:ascii="Times New Roman" w:eastAsia="Calibri" w:hAnsi="Times New Roman" w:cs="Times New Roman"/>
          <w:spacing w:val="-4"/>
          <w:sz w:val="28"/>
          <w:szCs w:val="28"/>
        </w:rPr>
        <w:t>иваются</w:t>
      </w:r>
      <w:r w:rsidRPr="007E0556">
        <w:rPr>
          <w:rFonts w:ascii="Times New Roman" w:eastAsia="Calibri" w:hAnsi="Times New Roman" w:cs="Times New Roman"/>
          <w:spacing w:val="-4"/>
          <w:sz w:val="28"/>
          <w:szCs w:val="28"/>
        </w:rPr>
        <w:t xml:space="preserve"> дополнительные нормативы отчислений для субъектов РФ по доходам от акцизов на нефтепродукты в целях реализации национального проекта «Безопасные и качественные дороги» (что обусловлено</w:t>
      </w:r>
      <w:r w:rsidRPr="007E0556">
        <w:t xml:space="preserve"> </w:t>
      </w:r>
      <w:r w:rsidRPr="007E0556">
        <w:rPr>
          <w:rFonts w:ascii="Times New Roman" w:eastAsia="Calibri" w:hAnsi="Times New Roman" w:cs="Times New Roman"/>
          <w:spacing w:val="-4"/>
          <w:sz w:val="28"/>
          <w:szCs w:val="28"/>
        </w:rPr>
        <w:t>окончанием действия национального проекта «Безопасные и качественные дороги»).</w:t>
      </w:r>
    </w:p>
    <w:p w14:paraId="68289A1F" w14:textId="22E1613B" w:rsidR="00D04B7A" w:rsidRPr="004032F4" w:rsidRDefault="00D04B7A" w:rsidP="00D04B7A">
      <w:pPr>
        <w:widowControl w:val="0"/>
        <w:spacing w:after="0" w:line="240" w:lineRule="auto"/>
        <w:ind w:firstLine="709"/>
        <w:jc w:val="both"/>
        <w:rPr>
          <w:rFonts w:ascii="Times New Roman" w:eastAsia="Calibri" w:hAnsi="Times New Roman" w:cs="Times New Roman"/>
          <w:spacing w:val="-4"/>
          <w:sz w:val="28"/>
          <w:szCs w:val="28"/>
        </w:rPr>
      </w:pPr>
      <w:r w:rsidRPr="004032F4">
        <w:rPr>
          <w:rFonts w:ascii="Times New Roman" w:eastAsia="Calibri" w:hAnsi="Times New Roman" w:cs="Times New Roman"/>
          <w:spacing w:val="-4"/>
          <w:sz w:val="28"/>
          <w:szCs w:val="28"/>
        </w:rPr>
        <w:t>При расчете прогнозной суммы поступлений акцизов на нефтепродукты в целях формирования дорожного фонда учтен норматив отчисления от расчетной суммы, зачисляемой в бюджет области, в бюджеты муниципальных образований Тульской области в размере 30% (распределение между муниципальными образованиями в приложении</w:t>
      </w:r>
      <w:r w:rsidR="00A612F4" w:rsidRPr="004032F4">
        <w:rPr>
          <w:rFonts w:ascii="Times New Roman" w:eastAsia="Calibri" w:hAnsi="Times New Roman" w:cs="Times New Roman"/>
          <w:spacing w:val="-4"/>
          <w:sz w:val="28"/>
          <w:szCs w:val="28"/>
        </w:rPr>
        <w:t xml:space="preserve"> №3 и №</w:t>
      </w:r>
      <w:r w:rsidRPr="004032F4">
        <w:rPr>
          <w:rFonts w:ascii="Times New Roman" w:eastAsia="Calibri" w:hAnsi="Times New Roman" w:cs="Times New Roman"/>
          <w:spacing w:val="-4"/>
          <w:sz w:val="28"/>
          <w:szCs w:val="28"/>
        </w:rPr>
        <w:t>4 к Законопроекту) на 2025 и 2026 годы, в размере 23% на 2027 год.</w:t>
      </w:r>
    </w:p>
    <w:p w14:paraId="119934B3" w14:textId="77777777" w:rsidR="00167ACE" w:rsidRPr="004032F4" w:rsidRDefault="00E365BA" w:rsidP="000A24FE">
      <w:pPr>
        <w:widowControl w:val="0"/>
        <w:spacing w:after="0" w:line="240" w:lineRule="auto"/>
        <w:ind w:firstLine="709"/>
        <w:jc w:val="both"/>
        <w:rPr>
          <w:rFonts w:ascii="Times New Roman" w:eastAsia="Calibri" w:hAnsi="Times New Roman" w:cs="Times New Roman"/>
          <w:spacing w:val="-4"/>
          <w:sz w:val="28"/>
          <w:szCs w:val="28"/>
        </w:rPr>
      </w:pPr>
      <w:r w:rsidRPr="004032F4">
        <w:rPr>
          <w:rFonts w:ascii="Times New Roman" w:eastAsia="Calibri" w:hAnsi="Times New Roman" w:cs="Times New Roman"/>
          <w:spacing w:val="-4"/>
          <w:sz w:val="28"/>
          <w:szCs w:val="28"/>
        </w:rPr>
        <w:t>Анализ (проверка на соответствие налоговому и бюджетному законодательству) представленных расчетов прогнозных поступлений доходов позволяет отметить</w:t>
      </w:r>
      <w:r w:rsidR="00167ACE" w:rsidRPr="004032F4">
        <w:rPr>
          <w:rFonts w:ascii="Times New Roman" w:eastAsia="Calibri" w:hAnsi="Times New Roman" w:cs="Times New Roman"/>
          <w:spacing w:val="-4"/>
          <w:sz w:val="28"/>
          <w:szCs w:val="28"/>
        </w:rPr>
        <w:t xml:space="preserve"> следующее:</w:t>
      </w:r>
    </w:p>
    <w:p w14:paraId="07FA7C80" w14:textId="4E0533F7" w:rsidR="002D6B59" w:rsidRPr="004032F4" w:rsidRDefault="00167ACE" w:rsidP="000A24FE">
      <w:pPr>
        <w:widowControl w:val="0"/>
        <w:spacing w:after="0" w:line="240" w:lineRule="auto"/>
        <w:ind w:firstLine="709"/>
        <w:jc w:val="both"/>
        <w:rPr>
          <w:rFonts w:ascii="Times New Roman" w:eastAsia="Calibri" w:hAnsi="Times New Roman" w:cs="Times New Roman"/>
          <w:spacing w:val="-4"/>
          <w:sz w:val="28"/>
          <w:szCs w:val="28"/>
        </w:rPr>
      </w:pPr>
      <w:r w:rsidRPr="004032F4">
        <w:rPr>
          <w:rFonts w:ascii="Times New Roman" w:eastAsia="Calibri" w:hAnsi="Times New Roman" w:cs="Times New Roman"/>
          <w:spacing w:val="-4"/>
          <w:sz w:val="28"/>
          <w:szCs w:val="28"/>
        </w:rPr>
        <w:t>1)</w:t>
      </w:r>
      <w:r w:rsidR="00E365BA" w:rsidRPr="004032F4">
        <w:rPr>
          <w:rFonts w:ascii="Times New Roman" w:eastAsia="Calibri" w:hAnsi="Times New Roman" w:cs="Times New Roman"/>
          <w:spacing w:val="-4"/>
          <w:sz w:val="28"/>
          <w:szCs w:val="28"/>
        </w:rPr>
        <w:t xml:space="preserve"> в</w:t>
      </w:r>
      <w:r w:rsidR="00362B95" w:rsidRPr="004032F4">
        <w:rPr>
          <w:rFonts w:ascii="Times New Roman" w:eastAsia="Calibri" w:hAnsi="Times New Roman" w:cs="Times New Roman"/>
          <w:spacing w:val="-4"/>
          <w:sz w:val="28"/>
          <w:szCs w:val="28"/>
        </w:rPr>
        <w:t xml:space="preserve"> расчетах прогнозных поступлений по акцизам</w:t>
      </w:r>
      <w:r w:rsidR="002D6B59" w:rsidRPr="004032F4">
        <w:rPr>
          <w:rFonts w:ascii="Times New Roman" w:eastAsia="Calibri" w:hAnsi="Times New Roman" w:cs="Times New Roman"/>
          <w:spacing w:val="-4"/>
          <w:sz w:val="28"/>
          <w:szCs w:val="28"/>
        </w:rPr>
        <w:t xml:space="preserve"> на пиво, сидр, </w:t>
      </w:r>
      <w:proofErr w:type="spellStart"/>
      <w:r w:rsidR="002D6B59" w:rsidRPr="004032F4">
        <w:rPr>
          <w:rFonts w:ascii="Times New Roman" w:eastAsia="Calibri" w:hAnsi="Times New Roman" w:cs="Times New Roman"/>
          <w:spacing w:val="-4"/>
          <w:sz w:val="28"/>
          <w:szCs w:val="28"/>
        </w:rPr>
        <w:t>пуаре</w:t>
      </w:r>
      <w:proofErr w:type="spellEnd"/>
      <w:r w:rsidR="002D6B59" w:rsidRPr="004032F4">
        <w:rPr>
          <w:rFonts w:ascii="Times New Roman" w:eastAsia="Calibri" w:hAnsi="Times New Roman" w:cs="Times New Roman"/>
          <w:spacing w:val="-4"/>
          <w:sz w:val="28"/>
          <w:szCs w:val="28"/>
        </w:rPr>
        <w:t xml:space="preserve">, медовуху </w:t>
      </w:r>
      <w:r w:rsidR="00362B95" w:rsidRPr="004032F4">
        <w:rPr>
          <w:rFonts w:ascii="Times New Roman" w:eastAsia="Calibri" w:hAnsi="Times New Roman" w:cs="Times New Roman"/>
          <w:spacing w:val="-4"/>
          <w:sz w:val="28"/>
          <w:szCs w:val="28"/>
        </w:rPr>
        <w:t xml:space="preserve">(главный администратор доходов </w:t>
      </w:r>
      <w:r w:rsidR="00A92075" w:rsidRPr="004032F4">
        <w:rPr>
          <w:rFonts w:ascii="Times New Roman" w:eastAsia="Calibri" w:hAnsi="Times New Roman" w:cs="Times New Roman"/>
          <w:spacing w:val="-4"/>
          <w:sz w:val="28"/>
          <w:szCs w:val="28"/>
        </w:rPr>
        <w:t xml:space="preserve">– </w:t>
      </w:r>
      <w:r w:rsidR="00362B95" w:rsidRPr="004032F4">
        <w:rPr>
          <w:rFonts w:ascii="Times New Roman" w:eastAsia="Calibri" w:hAnsi="Times New Roman" w:cs="Times New Roman"/>
          <w:spacing w:val="-4"/>
          <w:sz w:val="28"/>
          <w:szCs w:val="28"/>
        </w:rPr>
        <w:t>УФНС по Тульской области) применены налоговые ставки</w:t>
      </w:r>
      <w:r w:rsidR="002D6B59" w:rsidRPr="004032F4">
        <w:rPr>
          <w:rFonts w:ascii="Times New Roman" w:eastAsia="Calibri" w:hAnsi="Times New Roman" w:cs="Times New Roman"/>
          <w:spacing w:val="-4"/>
          <w:sz w:val="28"/>
          <w:szCs w:val="28"/>
        </w:rPr>
        <w:t xml:space="preserve">, ниже, чем утверждены </w:t>
      </w:r>
      <w:r w:rsidR="004475B0" w:rsidRPr="004032F4">
        <w:rPr>
          <w:rFonts w:ascii="Times New Roman" w:eastAsia="Calibri" w:hAnsi="Times New Roman" w:cs="Times New Roman"/>
          <w:spacing w:val="-4"/>
          <w:sz w:val="28"/>
          <w:szCs w:val="28"/>
        </w:rPr>
        <w:t>Федеральным законом от 29.10.2024 №362-ФЗ «О внесении изменений в части первую и вторую Налогового кодекса Российской Федерации и отдельные законодательные акты Российской Федерации»</w:t>
      </w:r>
      <w:r w:rsidR="004475B0" w:rsidRPr="004032F4">
        <w:rPr>
          <w:rStyle w:val="a5"/>
          <w:rFonts w:ascii="Times New Roman" w:eastAsia="Calibri" w:hAnsi="Times New Roman" w:cs="Times New Roman"/>
          <w:spacing w:val="-4"/>
          <w:sz w:val="28"/>
          <w:szCs w:val="28"/>
        </w:rPr>
        <w:footnoteReference w:id="8"/>
      </w:r>
      <w:r w:rsidR="004475B0" w:rsidRPr="004032F4">
        <w:rPr>
          <w:rFonts w:ascii="Times New Roman" w:eastAsia="Calibri" w:hAnsi="Times New Roman" w:cs="Times New Roman"/>
          <w:spacing w:val="-4"/>
          <w:sz w:val="28"/>
          <w:szCs w:val="28"/>
        </w:rPr>
        <w:t xml:space="preserve"> </w:t>
      </w:r>
      <w:r w:rsidR="004475B0" w:rsidRPr="004032F4">
        <w:rPr>
          <w:rFonts w:ascii="Times New Roman" w:eastAsia="Calibri" w:hAnsi="Times New Roman" w:cs="Times New Roman"/>
          <w:spacing w:val="-4"/>
          <w:sz w:val="24"/>
          <w:szCs w:val="24"/>
        </w:rPr>
        <w:t>(</w:t>
      </w:r>
      <w:r w:rsidR="00C80877" w:rsidRPr="004032F4">
        <w:rPr>
          <w:rFonts w:ascii="Times New Roman" w:eastAsia="Calibri" w:hAnsi="Times New Roman" w:cs="Times New Roman"/>
          <w:spacing w:val="-4"/>
          <w:sz w:val="24"/>
          <w:szCs w:val="24"/>
        </w:rPr>
        <w:t xml:space="preserve">законопроект </w:t>
      </w:r>
      <w:r w:rsidR="004475B0" w:rsidRPr="004032F4">
        <w:rPr>
          <w:rFonts w:ascii="Times New Roman" w:eastAsia="Calibri" w:hAnsi="Times New Roman" w:cs="Times New Roman"/>
          <w:spacing w:val="-4"/>
          <w:sz w:val="24"/>
          <w:szCs w:val="24"/>
        </w:rPr>
        <w:t>был внесен в Гос</w:t>
      </w:r>
      <w:r w:rsidR="00A92075" w:rsidRPr="004032F4">
        <w:rPr>
          <w:rFonts w:ascii="Times New Roman" w:eastAsia="Calibri" w:hAnsi="Times New Roman" w:cs="Times New Roman"/>
          <w:spacing w:val="-4"/>
          <w:sz w:val="24"/>
          <w:szCs w:val="24"/>
        </w:rPr>
        <w:t>ударственную Д</w:t>
      </w:r>
      <w:r w:rsidR="004475B0" w:rsidRPr="004032F4">
        <w:rPr>
          <w:rFonts w:ascii="Times New Roman" w:eastAsia="Calibri" w:hAnsi="Times New Roman" w:cs="Times New Roman"/>
          <w:spacing w:val="-4"/>
          <w:sz w:val="24"/>
          <w:szCs w:val="24"/>
        </w:rPr>
        <w:t>уму</w:t>
      </w:r>
      <w:r w:rsidR="00C80877" w:rsidRPr="004032F4">
        <w:rPr>
          <w:rFonts w:ascii="Times New Roman" w:eastAsia="Calibri" w:hAnsi="Times New Roman" w:cs="Times New Roman"/>
          <w:spacing w:val="-4"/>
          <w:sz w:val="24"/>
          <w:szCs w:val="24"/>
        </w:rPr>
        <w:t xml:space="preserve"> 30.09.2024)</w:t>
      </w:r>
      <w:r w:rsidR="002D6B59" w:rsidRPr="004032F4">
        <w:rPr>
          <w:rFonts w:ascii="Times New Roman" w:eastAsia="Calibri" w:hAnsi="Times New Roman" w:cs="Times New Roman"/>
          <w:spacing w:val="-4"/>
          <w:sz w:val="24"/>
          <w:szCs w:val="24"/>
        </w:rPr>
        <w:t xml:space="preserve">. </w:t>
      </w:r>
      <w:r w:rsidR="002D6B59" w:rsidRPr="004032F4">
        <w:rPr>
          <w:rFonts w:ascii="Times New Roman" w:eastAsia="Calibri" w:hAnsi="Times New Roman" w:cs="Times New Roman"/>
          <w:spacing w:val="-4"/>
          <w:sz w:val="28"/>
          <w:szCs w:val="28"/>
        </w:rPr>
        <w:t xml:space="preserve">Установленные ставки акцизов на пиво, сидр, </w:t>
      </w:r>
      <w:proofErr w:type="spellStart"/>
      <w:r w:rsidR="002D6B59" w:rsidRPr="004032F4">
        <w:rPr>
          <w:rFonts w:ascii="Times New Roman" w:eastAsia="Calibri" w:hAnsi="Times New Roman" w:cs="Times New Roman"/>
          <w:spacing w:val="-4"/>
          <w:sz w:val="28"/>
          <w:szCs w:val="28"/>
        </w:rPr>
        <w:t>пуаре</w:t>
      </w:r>
      <w:proofErr w:type="spellEnd"/>
      <w:r w:rsidR="002D6B59" w:rsidRPr="004032F4">
        <w:rPr>
          <w:rFonts w:ascii="Times New Roman" w:eastAsia="Calibri" w:hAnsi="Times New Roman" w:cs="Times New Roman"/>
          <w:spacing w:val="-4"/>
          <w:sz w:val="28"/>
          <w:szCs w:val="28"/>
        </w:rPr>
        <w:t>, медовуху на новый бюджетный цикл</w:t>
      </w:r>
      <w:r w:rsidR="004475B0" w:rsidRPr="004032F4">
        <w:rPr>
          <w:rFonts w:ascii="Times New Roman" w:eastAsia="Calibri" w:hAnsi="Times New Roman" w:cs="Times New Roman"/>
          <w:spacing w:val="-4"/>
          <w:sz w:val="28"/>
          <w:szCs w:val="28"/>
        </w:rPr>
        <w:t xml:space="preserve"> </w:t>
      </w:r>
      <w:r w:rsidR="002D6B59" w:rsidRPr="004032F4">
        <w:rPr>
          <w:rFonts w:ascii="Times New Roman" w:eastAsia="Calibri" w:hAnsi="Times New Roman" w:cs="Times New Roman"/>
          <w:spacing w:val="-4"/>
          <w:sz w:val="28"/>
          <w:szCs w:val="28"/>
        </w:rPr>
        <w:t>выше</w:t>
      </w:r>
      <w:r w:rsidR="004475B0" w:rsidRPr="004032F4">
        <w:rPr>
          <w:rFonts w:ascii="Times New Roman" w:eastAsia="Calibri" w:hAnsi="Times New Roman" w:cs="Times New Roman"/>
          <w:spacing w:val="-4"/>
          <w:sz w:val="28"/>
          <w:szCs w:val="28"/>
        </w:rPr>
        <w:t xml:space="preserve"> порядка 10 процентов </w:t>
      </w:r>
      <w:r w:rsidR="002D6B59" w:rsidRPr="004032F4">
        <w:rPr>
          <w:rFonts w:ascii="Times New Roman" w:eastAsia="Calibri" w:hAnsi="Times New Roman" w:cs="Times New Roman"/>
          <w:spacing w:val="-4"/>
          <w:sz w:val="28"/>
          <w:szCs w:val="28"/>
        </w:rPr>
        <w:t xml:space="preserve">соответствующих налоговых </w:t>
      </w:r>
      <w:r w:rsidR="004475B0" w:rsidRPr="004032F4">
        <w:rPr>
          <w:rFonts w:ascii="Times New Roman" w:eastAsia="Calibri" w:hAnsi="Times New Roman" w:cs="Times New Roman"/>
          <w:spacing w:val="-4"/>
          <w:sz w:val="28"/>
          <w:szCs w:val="28"/>
        </w:rPr>
        <w:t>став</w:t>
      </w:r>
      <w:r w:rsidR="002D6B59" w:rsidRPr="004032F4">
        <w:rPr>
          <w:rFonts w:ascii="Times New Roman" w:eastAsia="Calibri" w:hAnsi="Times New Roman" w:cs="Times New Roman"/>
          <w:spacing w:val="-4"/>
          <w:sz w:val="28"/>
          <w:szCs w:val="28"/>
        </w:rPr>
        <w:t>ок</w:t>
      </w:r>
      <w:r w:rsidR="004475B0" w:rsidRPr="004032F4">
        <w:rPr>
          <w:rFonts w:ascii="Times New Roman" w:eastAsia="Calibri" w:hAnsi="Times New Roman" w:cs="Times New Roman"/>
          <w:spacing w:val="-4"/>
          <w:sz w:val="28"/>
          <w:szCs w:val="28"/>
        </w:rPr>
        <w:t xml:space="preserve"> </w:t>
      </w:r>
      <w:r w:rsidR="00C80877" w:rsidRPr="004032F4">
        <w:rPr>
          <w:rFonts w:ascii="Times New Roman" w:eastAsia="Calibri" w:hAnsi="Times New Roman" w:cs="Times New Roman"/>
          <w:spacing w:val="-4"/>
          <w:sz w:val="28"/>
          <w:szCs w:val="28"/>
        </w:rPr>
        <w:t xml:space="preserve">текущего бюджетного цикла </w:t>
      </w:r>
      <w:r w:rsidR="004475B0" w:rsidRPr="004032F4">
        <w:rPr>
          <w:rFonts w:ascii="Times New Roman" w:eastAsia="Calibri" w:hAnsi="Times New Roman" w:cs="Times New Roman"/>
          <w:spacing w:val="-4"/>
          <w:sz w:val="28"/>
          <w:szCs w:val="28"/>
        </w:rPr>
        <w:t>2024</w:t>
      </w:r>
      <w:r w:rsidR="00C80877" w:rsidRPr="004032F4">
        <w:rPr>
          <w:rFonts w:ascii="Times New Roman" w:eastAsia="Calibri" w:hAnsi="Times New Roman" w:cs="Times New Roman"/>
          <w:spacing w:val="-4"/>
          <w:sz w:val="28"/>
          <w:szCs w:val="28"/>
        </w:rPr>
        <w:t>–2026</w:t>
      </w:r>
      <w:r w:rsidR="004475B0" w:rsidRPr="004032F4">
        <w:rPr>
          <w:rFonts w:ascii="Times New Roman" w:eastAsia="Calibri" w:hAnsi="Times New Roman" w:cs="Times New Roman"/>
          <w:spacing w:val="-4"/>
          <w:sz w:val="28"/>
          <w:szCs w:val="28"/>
        </w:rPr>
        <w:t xml:space="preserve"> год</w:t>
      </w:r>
      <w:r w:rsidR="00C80877" w:rsidRPr="004032F4">
        <w:rPr>
          <w:rFonts w:ascii="Times New Roman" w:eastAsia="Calibri" w:hAnsi="Times New Roman" w:cs="Times New Roman"/>
          <w:spacing w:val="-4"/>
          <w:sz w:val="28"/>
          <w:szCs w:val="28"/>
        </w:rPr>
        <w:t>ов</w:t>
      </w:r>
      <w:r w:rsidR="004475B0" w:rsidRPr="004032F4">
        <w:rPr>
          <w:rFonts w:ascii="Times New Roman" w:eastAsia="Calibri" w:hAnsi="Times New Roman" w:cs="Times New Roman"/>
          <w:spacing w:val="-4"/>
          <w:sz w:val="28"/>
          <w:szCs w:val="28"/>
        </w:rPr>
        <w:t xml:space="preserve">. </w:t>
      </w:r>
    </w:p>
    <w:p w14:paraId="53630183" w14:textId="58E0EC57" w:rsidR="00362B95" w:rsidRPr="007E0556" w:rsidRDefault="004475B0" w:rsidP="000A24FE">
      <w:pPr>
        <w:widowControl w:val="0"/>
        <w:spacing w:after="0" w:line="240" w:lineRule="auto"/>
        <w:ind w:firstLine="709"/>
        <w:jc w:val="both"/>
        <w:rPr>
          <w:rFonts w:ascii="Times New Roman" w:eastAsia="Calibri" w:hAnsi="Times New Roman" w:cs="Times New Roman"/>
          <w:spacing w:val="-4"/>
          <w:sz w:val="28"/>
          <w:szCs w:val="28"/>
        </w:rPr>
      </w:pPr>
      <w:r w:rsidRPr="004032F4">
        <w:rPr>
          <w:rFonts w:ascii="Times New Roman" w:eastAsia="Calibri" w:hAnsi="Times New Roman" w:cs="Times New Roman"/>
          <w:spacing w:val="-4"/>
          <w:sz w:val="28"/>
          <w:szCs w:val="28"/>
        </w:rPr>
        <w:t>По расчетам счетной палаты применени</w:t>
      </w:r>
      <w:r w:rsidR="002D6B59" w:rsidRPr="004032F4">
        <w:rPr>
          <w:rFonts w:ascii="Times New Roman" w:eastAsia="Calibri" w:hAnsi="Times New Roman" w:cs="Times New Roman"/>
          <w:spacing w:val="-4"/>
          <w:sz w:val="28"/>
          <w:szCs w:val="28"/>
        </w:rPr>
        <w:t>е</w:t>
      </w:r>
      <w:r w:rsidRPr="004032F4">
        <w:rPr>
          <w:rFonts w:ascii="Times New Roman" w:eastAsia="Calibri" w:hAnsi="Times New Roman" w:cs="Times New Roman"/>
          <w:spacing w:val="-4"/>
          <w:sz w:val="28"/>
          <w:szCs w:val="28"/>
        </w:rPr>
        <w:t xml:space="preserve"> налоговых ставок </w:t>
      </w:r>
      <w:r w:rsidR="00A92075" w:rsidRPr="004032F4">
        <w:rPr>
          <w:rFonts w:ascii="Times New Roman" w:eastAsia="Calibri" w:hAnsi="Times New Roman" w:cs="Times New Roman"/>
          <w:spacing w:val="-4"/>
          <w:sz w:val="28"/>
          <w:szCs w:val="28"/>
        </w:rPr>
        <w:t xml:space="preserve">в редакции от </w:t>
      </w:r>
      <w:r w:rsidR="002D6B59" w:rsidRPr="004032F4">
        <w:rPr>
          <w:rFonts w:ascii="Times New Roman" w:eastAsia="Calibri" w:hAnsi="Times New Roman" w:cs="Times New Roman"/>
          <w:spacing w:val="-4"/>
          <w:sz w:val="28"/>
          <w:szCs w:val="28"/>
        </w:rPr>
        <w:t xml:space="preserve">29.10.2024 позволит увеличить объем прогнозируемых поступлений по акцизам </w:t>
      </w:r>
      <w:r w:rsidRPr="004032F4">
        <w:rPr>
          <w:rFonts w:ascii="Times New Roman" w:eastAsia="Calibri" w:hAnsi="Times New Roman" w:cs="Times New Roman"/>
          <w:spacing w:val="-4"/>
          <w:sz w:val="28"/>
          <w:szCs w:val="28"/>
        </w:rPr>
        <w:t>порядка 1,</w:t>
      </w:r>
      <w:r w:rsidR="008E0325" w:rsidRPr="004032F4">
        <w:rPr>
          <w:rFonts w:ascii="Times New Roman" w:eastAsia="Calibri" w:hAnsi="Times New Roman" w:cs="Times New Roman"/>
          <w:spacing w:val="-4"/>
          <w:sz w:val="28"/>
          <w:szCs w:val="28"/>
        </w:rPr>
        <w:t>4</w:t>
      </w:r>
      <w:r w:rsidRPr="004032F4">
        <w:rPr>
          <w:rFonts w:ascii="Times New Roman" w:eastAsia="Calibri" w:hAnsi="Times New Roman" w:cs="Times New Roman"/>
          <w:spacing w:val="-4"/>
          <w:sz w:val="28"/>
          <w:szCs w:val="28"/>
        </w:rPr>
        <w:t xml:space="preserve"> </w:t>
      </w:r>
      <w:proofErr w:type="spellStart"/>
      <w:r w:rsidRPr="004032F4">
        <w:rPr>
          <w:rFonts w:ascii="Times New Roman" w:eastAsia="Calibri" w:hAnsi="Times New Roman" w:cs="Times New Roman"/>
          <w:spacing w:val="-4"/>
          <w:sz w:val="28"/>
          <w:szCs w:val="28"/>
        </w:rPr>
        <w:t>млрд.рублей</w:t>
      </w:r>
      <w:proofErr w:type="spellEnd"/>
      <w:r w:rsidRPr="004032F4">
        <w:rPr>
          <w:rFonts w:ascii="Times New Roman" w:eastAsia="Calibri" w:hAnsi="Times New Roman" w:cs="Times New Roman"/>
          <w:spacing w:val="-4"/>
          <w:sz w:val="28"/>
          <w:szCs w:val="28"/>
        </w:rPr>
        <w:t xml:space="preserve"> на 2025 год, 1,</w:t>
      </w:r>
      <w:r w:rsidR="008E0325" w:rsidRPr="004032F4">
        <w:rPr>
          <w:rFonts w:ascii="Times New Roman" w:eastAsia="Calibri" w:hAnsi="Times New Roman" w:cs="Times New Roman"/>
          <w:spacing w:val="-4"/>
          <w:sz w:val="28"/>
          <w:szCs w:val="28"/>
        </w:rPr>
        <w:t>5</w:t>
      </w:r>
      <w:r w:rsidRPr="004032F4">
        <w:rPr>
          <w:rFonts w:ascii="Times New Roman" w:eastAsia="Calibri" w:hAnsi="Times New Roman" w:cs="Times New Roman"/>
          <w:spacing w:val="-4"/>
          <w:sz w:val="28"/>
          <w:szCs w:val="28"/>
        </w:rPr>
        <w:t xml:space="preserve"> </w:t>
      </w:r>
      <w:proofErr w:type="spellStart"/>
      <w:r w:rsidRPr="004032F4">
        <w:rPr>
          <w:rFonts w:ascii="Times New Roman" w:eastAsia="Calibri" w:hAnsi="Times New Roman" w:cs="Times New Roman"/>
          <w:spacing w:val="-4"/>
          <w:sz w:val="28"/>
          <w:szCs w:val="28"/>
        </w:rPr>
        <w:t>млрд.ру</w:t>
      </w:r>
      <w:r w:rsidR="00A732E6" w:rsidRPr="004032F4">
        <w:rPr>
          <w:rFonts w:ascii="Times New Roman" w:eastAsia="Calibri" w:hAnsi="Times New Roman" w:cs="Times New Roman"/>
          <w:spacing w:val="-4"/>
          <w:sz w:val="28"/>
          <w:szCs w:val="28"/>
        </w:rPr>
        <w:t>б</w:t>
      </w:r>
      <w:r w:rsidRPr="004032F4">
        <w:rPr>
          <w:rFonts w:ascii="Times New Roman" w:eastAsia="Calibri" w:hAnsi="Times New Roman" w:cs="Times New Roman"/>
          <w:spacing w:val="-4"/>
          <w:sz w:val="28"/>
          <w:szCs w:val="28"/>
        </w:rPr>
        <w:t>лей</w:t>
      </w:r>
      <w:proofErr w:type="spellEnd"/>
      <w:r w:rsidRPr="004032F4">
        <w:rPr>
          <w:rFonts w:ascii="Times New Roman" w:eastAsia="Calibri" w:hAnsi="Times New Roman" w:cs="Times New Roman"/>
          <w:spacing w:val="-4"/>
          <w:sz w:val="28"/>
          <w:szCs w:val="28"/>
        </w:rPr>
        <w:t xml:space="preserve"> на 2026 год, 1,7 млрд. рублей на 2027 </w:t>
      </w:r>
      <w:r w:rsidRPr="007E0556">
        <w:rPr>
          <w:rFonts w:ascii="Times New Roman" w:eastAsia="Calibri" w:hAnsi="Times New Roman" w:cs="Times New Roman"/>
          <w:spacing w:val="-4"/>
          <w:sz w:val="28"/>
          <w:szCs w:val="28"/>
        </w:rPr>
        <w:t>год</w:t>
      </w:r>
      <w:r w:rsidR="00BB7024" w:rsidRPr="007E0556">
        <w:rPr>
          <w:rFonts w:ascii="Times New Roman" w:eastAsia="Calibri" w:hAnsi="Times New Roman" w:cs="Times New Roman"/>
          <w:spacing w:val="-4"/>
          <w:sz w:val="28"/>
          <w:szCs w:val="28"/>
        </w:rPr>
        <w:t>, что будет являться резервом для уточнения доходов.</w:t>
      </w:r>
    </w:p>
    <w:p w14:paraId="70148B46" w14:textId="724E6210" w:rsidR="0066529F" w:rsidRPr="004032F4" w:rsidRDefault="00167ACE" w:rsidP="00167ACE">
      <w:pPr>
        <w:pStyle w:val="a3"/>
        <w:spacing w:before="120"/>
        <w:ind w:firstLine="709"/>
        <w:jc w:val="both"/>
        <w:rPr>
          <w:spacing w:val="-6"/>
          <w:sz w:val="28"/>
          <w:szCs w:val="28"/>
        </w:rPr>
      </w:pPr>
      <w:r w:rsidRPr="007E0556">
        <w:rPr>
          <w:sz w:val="28"/>
          <w:szCs w:val="28"/>
        </w:rPr>
        <w:t xml:space="preserve">2) </w:t>
      </w:r>
      <w:proofErr w:type="gramStart"/>
      <w:r w:rsidR="0066529F" w:rsidRPr="007E0556">
        <w:rPr>
          <w:sz w:val="28"/>
          <w:szCs w:val="28"/>
        </w:rPr>
        <w:t>В</w:t>
      </w:r>
      <w:proofErr w:type="gramEnd"/>
      <w:r w:rsidR="0066529F" w:rsidRPr="007E0556">
        <w:rPr>
          <w:sz w:val="28"/>
          <w:szCs w:val="28"/>
        </w:rPr>
        <w:t xml:space="preserve"> расчете прогнозной суммы поступлений по налогу на прибыль</w:t>
      </w:r>
      <w:r w:rsidR="0066529F" w:rsidRPr="004032F4">
        <w:rPr>
          <w:sz w:val="28"/>
          <w:szCs w:val="28"/>
        </w:rPr>
        <w:t xml:space="preserve"> организаций</w:t>
      </w:r>
      <w:r w:rsidR="0066529F" w:rsidRPr="004032F4">
        <w:rPr>
          <w:spacing w:val="-6"/>
          <w:sz w:val="28"/>
          <w:szCs w:val="28"/>
        </w:rPr>
        <w:t xml:space="preserve"> главным администратором доходов УФНС по Тульской области учтены выпадающие доходы по </w:t>
      </w:r>
      <w:r w:rsidR="0066529F" w:rsidRPr="004032F4">
        <w:rPr>
          <w:sz w:val="28"/>
          <w:szCs w:val="28"/>
        </w:rPr>
        <w:t>налогу на прибыль организаций</w:t>
      </w:r>
      <w:r w:rsidR="0066529F" w:rsidRPr="004032F4">
        <w:rPr>
          <w:spacing w:val="-6"/>
          <w:sz w:val="28"/>
          <w:szCs w:val="28"/>
        </w:rPr>
        <w:t xml:space="preserve"> в результате предоставленных льгот законами Тульской области в размере 12 509,1 млн. рублей, 13 297,2 млн. рублей, 14 254,6 млн. рублей соответственно в 2025, 2026 и 2027 годах.</w:t>
      </w:r>
    </w:p>
    <w:p w14:paraId="319F067B" w14:textId="40EFCFFA" w:rsidR="0066529F" w:rsidRPr="004032F4" w:rsidRDefault="00E767C6" w:rsidP="00E77F91">
      <w:pPr>
        <w:widowControl w:val="0"/>
        <w:tabs>
          <w:tab w:val="left" w:pos="993"/>
        </w:tabs>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В</w:t>
      </w:r>
      <w:r w:rsidR="0066529F" w:rsidRPr="004032F4">
        <w:rPr>
          <w:rFonts w:ascii="Times New Roman" w:hAnsi="Times New Roman" w:cs="Times New Roman"/>
          <w:sz w:val="28"/>
          <w:szCs w:val="28"/>
        </w:rPr>
        <w:t xml:space="preserve"> основных направлениях налоговой политики Тульской области на 2025 год и плановый период 2026 и 2027 годов объем выпадающих доходов на 2025, 2026, 2027 годы прогнозируется в сумме 8 358,7 млн. рублей, 3 661,4 млн. рублей, 3 366,2 млн. рублей соответственно.</w:t>
      </w:r>
      <w:r w:rsidR="005C1BD0" w:rsidRPr="004032F4">
        <w:rPr>
          <w:sz w:val="28"/>
          <w:szCs w:val="28"/>
        </w:rPr>
        <w:t xml:space="preserve"> </w:t>
      </w:r>
      <w:r w:rsidR="005C1BD0" w:rsidRPr="004032F4">
        <w:rPr>
          <w:rFonts w:ascii="Times New Roman" w:hAnsi="Times New Roman" w:cs="Times New Roman"/>
          <w:sz w:val="28"/>
          <w:szCs w:val="28"/>
        </w:rPr>
        <w:t xml:space="preserve">Объем выпадающих доходов в связи предоставлением законами Тульской области налоговых льгот в 2024 </w:t>
      </w:r>
      <w:r w:rsidR="005C1BD0" w:rsidRPr="004032F4">
        <w:rPr>
          <w:rFonts w:ascii="Times New Roman" w:hAnsi="Times New Roman" w:cs="Times New Roman"/>
          <w:sz w:val="28"/>
          <w:szCs w:val="28"/>
        </w:rPr>
        <w:lastRenderedPageBreak/>
        <w:t>году оценивается в 13 517,3 млн. рублей, что составит порядка 10% планового объема налоговых доходов консолидированного бюджета.</w:t>
      </w:r>
    </w:p>
    <w:p w14:paraId="10E8A8FD" w14:textId="11288BF5" w:rsidR="005C1BD0" w:rsidRPr="004032F4" w:rsidRDefault="005C1BD0" w:rsidP="00E77F91">
      <w:pPr>
        <w:pStyle w:val="a3"/>
        <w:ind w:firstLine="709"/>
        <w:jc w:val="both"/>
        <w:rPr>
          <w:spacing w:val="-6"/>
          <w:sz w:val="28"/>
          <w:szCs w:val="28"/>
          <w:u w:val="single"/>
        </w:rPr>
      </w:pPr>
      <w:r w:rsidRPr="004032F4">
        <w:rPr>
          <w:spacing w:val="-6"/>
          <w:sz w:val="28"/>
          <w:szCs w:val="28"/>
        </w:rPr>
        <w:t>Таким образом, в расчетах по налогу на прибыль организаций главным администраторо</w:t>
      </w:r>
      <w:r w:rsidR="00614739" w:rsidRPr="004032F4">
        <w:rPr>
          <w:spacing w:val="-6"/>
          <w:sz w:val="28"/>
          <w:szCs w:val="28"/>
        </w:rPr>
        <w:t>м</w:t>
      </w:r>
      <w:r w:rsidRPr="004032F4">
        <w:rPr>
          <w:spacing w:val="-6"/>
          <w:sz w:val="28"/>
          <w:szCs w:val="28"/>
        </w:rPr>
        <w:t xml:space="preserve"> доходов учтены выпадающие доходы в объеме, значительно превышающем объем налоговых расходов, прогнозируемый министерством экономического развития Тульской области.</w:t>
      </w:r>
    </w:p>
    <w:p w14:paraId="239BD210" w14:textId="4E0A3F42" w:rsidR="004F6AD7" w:rsidRPr="004032F4" w:rsidRDefault="006179E5" w:rsidP="00A54730">
      <w:pPr>
        <w:widowControl w:val="0"/>
        <w:spacing w:before="240" w:after="8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Объемы </w:t>
      </w:r>
      <w:r w:rsidRPr="004032F4">
        <w:rPr>
          <w:rFonts w:ascii="Times New Roman" w:eastAsia="Calibri" w:hAnsi="Times New Roman" w:cs="Times New Roman"/>
          <w:i/>
          <w:sz w:val="28"/>
          <w:szCs w:val="28"/>
        </w:rPr>
        <w:t>неналоговых доходов</w:t>
      </w:r>
      <w:r w:rsidRPr="004032F4">
        <w:rPr>
          <w:rFonts w:ascii="Times New Roman" w:eastAsia="Calibri" w:hAnsi="Times New Roman" w:cs="Times New Roman"/>
          <w:sz w:val="28"/>
          <w:szCs w:val="28"/>
        </w:rPr>
        <w:t xml:space="preserve"> и их доли в объеме налоговых и неналоговых доходов в 202</w:t>
      </w:r>
      <w:r w:rsidR="00E11FF5" w:rsidRPr="004032F4">
        <w:rPr>
          <w:rFonts w:ascii="Times New Roman" w:eastAsia="Calibri" w:hAnsi="Times New Roman" w:cs="Times New Roman"/>
          <w:sz w:val="28"/>
          <w:szCs w:val="28"/>
        </w:rPr>
        <w:t>4</w:t>
      </w:r>
      <w:r w:rsidRPr="004032F4">
        <w:rPr>
          <w:rFonts w:ascii="Times New Roman" w:eastAsia="Calibri" w:hAnsi="Times New Roman" w:cs="Times New Roman"/>
          <w:sz w:val="28"/>
          <w:szCs w:val="28"/>
        </w:rPr>
        <w:t>–</w:t>
      </w:r>
      <w:r w:rsidR="00933509" w:rsidRPr="004032F4">
        <w:rPr>
          <w:rFonts w:ascii="Times New Roman" w:eastAsia="Calibri" w:hAnsi="Times New Roman" w:cs="Times New Roman"/>
          <w:sz w:val="28"/>
          <w:szCs w:val="28"/>
        </w:rPr>
        <w:t>2027</w:t>
      </w:r>
      <w:r w:rsidRPr="004032F4">
        <w:rPr>
          <w:rFonts w:ascii="Times New Roman" w:eastAsia="Calibri" w:hAnsi="Times New Roman" w:cs="Times New Roman"/>
          <w:sz w:val="28"/>
          <w:szCs w:val="28"/>
        </w:rPr>
        <w:t xml:space="preserve"> годах представлены в таблице.</w:t>
      </w:r>
    </w:p>
    <w:tbl>
      <w:tblPr>
        <w:tblStyle w:val="af2"/>
        <w:tblW w:w="5000" w:type="pct"/>
        <w:jc w:val="center"/>
        <w:tblLook w:val="04A0" w:firstRow="1" w:lastRow="0" w:firstColumn="1" w:lastColumn="0" w:noHBand="0" w:noVBand="1"/>
      </w:tblPr>
      <w:tblGrid>
        <w:gridCol w:w="3822"/>
        <w:gridCol w:w="1417"/>
        <w:gridCol w:w="1418"/>
        <w:gridCol w:w="1417"/>
        <w:gridCol w:w="1270"/>
      </w:tblGrid>
      <w:tr w:rsidR="006179E5" w:rsidRPr="004032F4" w14:paraId="7A1863E2" w14:textId="77777777" w:rsidTr="000D4368">
        <w:trPr>
          <w:trHeight w:val="199"/>
          <w:tblHeader/>
          <w:jc w:val="center"/>
        </w:trPr>
        <w:tc>
          <w:tcPr>
            <w:tcW w:w="3822" w:type="dxa"/>
            <w:shd w:val="clear" w:color="auto" w:fill="F2F2F2" w:themeFill="background1" w:themeFillShade="F2"/>
            <w:vAlign w:val="center"/>
          </w:tcPr>
          <w:p w14:paraId="72F9D263" w14:textId="77777777" w:rsidR="006179E5" w:rsidRPr="004032F4" w:rsidRDefault="006179E5" w:rsidP="00513089">
            <w:pPr>
              <w:jc w:val="center"/>
              <w:rPr>
                <w:rFonts w:eastAsia="Calibri"/>
                <w:spacing w:val="-4"/>
                <w:sz w:val="18"/>
                <w:szCs w:val="18"/>
              </w:rPr>
            </w:pPr>
            <w:r w:rsidRPr="004032F4">
              <w:rPr>
                <w:rFonts w:eastAsia="Calibri"/>
                <w:spacing w:val="-4"/>
                <w:sz w:val="18"/>
                <w:szCs w:val="18"/>
              </w:rPr>
              <w:t>Наименование неналоговых доходов</w:t>
            </w:r>
          </w:p>
        </w:tc>
        <w:tc>
          <w:tcPr>
            <w:tcW w:w="1417" w:type="dxa"/>
            <w:shd w:val="clear" w:color="auto" w:fill="F2F2F2" w:themeFill="background1" w:themeFillShade="F2"/>
          </w:tcPr>
          <w:p w14:paraId="593012D9" w14:textId="6E9C12CD" w:rsidR="006179E5" w:rsidRPr="004032F4" w:rsidRDefault="006179E5" w:rsidP="00E11FF5">
            <w:pPr>
              <w:jc w:val="center"/>
              <w:rPr>
                <w:rFonts w:eastAsia="Calibri"/>
                <w:spacing w:val="-4"/>
                <w:sz w:val="18"/>
                <w:szCs w:val="18"/>
              </w:rPr>
            </w:pPr>
            <w:r w:rsidRPr="004032F4">
              <w:rPr>
                <w:rFonts w:eastAsia="Calibri"/>
                <w:spacing w:val="-4"/>
                <w:sz w:val="18"/>
                <w:szCs w:val="18"/>
              </w:rPr>
              <w:t>202</w:t>
            </w:r>
            <w:r w:rsidR="00E11FF5" w:rsidRPr="004032F4">
              <w:rPr>
                <w:rFonts w:eastAsia="Calibri"/>
                <w:spacing w:val="-4"/>
                <w:sz w:val="18"/>
                <w:szCs w:val="18"/>
              </w:rPr>
              <w:t>4</w:t>
            </w:r>
            <w:r w:rsidRPr="004032F4">
              <w:rPr>
                <w:rFonts w:eastAsia="Calibri"/>
                <w:spacing w:val="-4"/>
                <w:sz w:val="18"/>
                <w:szCs w:val="18"/>
              </w:rPr>
              <w:t xml:space="preserve"> год</w:t>
            </w:r>
            <w:r w:rsidRPr="004032F4">
              <w:rPr>
                <w:rFonts w:eastAsia="Calibri"/>
                <w:spacing w:val="-4"/>
                <w:sz w:val="18"/>
                <w:szCs w:val="18"/>
              </w:rPr>
              <w:br/>
              <w:t>(оценка)</w:t>
            </w:r>
          </w:p>
        </w:tc>
        <w:tc>
          <w:tcPr>
            <w:tcW w:w="1418" w:type="dxa"/>
            <w:shd w:val="clear" w:color="auto" w:fill="F2F2F2" w:themeFill="background1" w:themeFillShade="F2"/>
            <w:vAlign w:val="center"/>
          </w:tcPr>
          <w:p w14:paraId="04FA3E14" w14:textId="2C3CCCBD" w:rsidR="006179E5" w:rsidRPr="004032F4" w:rsidRDefault="00933509" w:rsidP="005E073E">
            <w:pPr>
              <w:jc w:val="center"/>
              <w:rPr>
                <w:rFonts w:eastAsia="Calibri"/>
                <w:spacing w:val="-4"/>
                <w:sz w:val="18"/>
                <w:szCs w:val="18"/>
              </w:rPr>
            </w:pPr>
            <w:r w:rsidRPr="004032F4">
              <w:rPr>
                <w:rFonts w:eastAsia="Calibri"/>
                <w:spacing w:val="-4"/>
                <w:sz w:val="18"/>
                <w:szCs w:val="18"/>
              </w:rPr>
              <w:t>2025</w:t>
            </w:r>
            <w:r w:rsidR="005E073E" w:rsidRPr="004032F4">
              <w:rPr>
                <w:rFonts w:eastAsia="Calibri"/>
                <w:spacing w:val="-4"/>
                <w:sz w:val="18"/>
                <w:szCs w:val="18"/>
                <w:lang w:val="en-US"/>
              </w:rPr>
              <w:t xml:space="preserve"> </w:t>
            </w:r>
            <w:r w:rsidR="006179E5" w:rsidRPr="004032F4">
              <w:rPr>
                <w:rFonts w:eastAsia="Calibri"/>
                <w:spacing w:val="-4"/>
                <w:sz w:val="18"/>
                <w:szCs w:val="18"/>
              </w:rPr>
              <w:t>год (прогноз)</w:t>
            </w:r>
          </w:p>
        </w:tc>
        <w:tc>
          <w:tcPr>
            <w:tcW w:w="1417" w:type="dxa"/>
            <w:shd w:val="clear" w:color="auto" w:fill="F2F2F2" w:themeFill="background1" w:themeFillShade="F2"/>
            <w:vAlign w:val="center"/>
          </w:tcPr>
          <w:p w14:paraId="0F2C323A" w14:textId="1BA546CD" w:rsidR="006179E5" w:rsidRPr="004032F4" w:rsidRDefault="00933509" w:rsidP="005E073E">
            <w:pPr>
              <w:jc w:val="center"/>
              <w:rPr>
                <w:rFonts w:eastAsia="Calibri"/>
                <w:spacing w:val="-4"/>
                <w:sz w:val="18"/>
                <w:szCs w:val="18"/>
              </w:rPr>
            </w:pPr>
            <w:r w:rsidRPr="004032F4">
              <w:rPr>
                <w:rFonts w:eastAsia="Calibri"/>
                <w:spacing w:val="-4"/>
                <w:sz w:val="18"/>
                <w:szCs w:val="18"/>
              </w:rPr>
              <w:t>2026</w:t>
            </w:r>
            <w:r w:rsidR="005E073E" w:rsidRPr="004032F4">
              <w:rPr>
                <w:rFonts w:eastAsia="Calibri"/>
                <w:spacing w:val="-4"/>
                <w:sz w:val="18"/>
                <w:szCs w:val="18"/>
                <w:lang w:val="en-US"/>
              </w:rPr>
              <w:t xml:space="preserve"> </w:t>
            </w:r>
            <w:r w:rsidR="006179E5" w:rsidRPr="004032F4">
              <w:rPr>
                <w:rFonts w:eastAsia="Calibri"/>
                <w:spacing w:val="-4"/>
                <w:sz w:val="18"/>
                <w:szCs w:val="18"/>
              </w:rPr>
              <w:t>год (прогноз)</w:t>
            </w:r>
          </w:p>
        </w:tc>
        <w:tc>
          <w:tcPr>
            <w:tcW w:w="1270" w:type="dxa"/>
            <w:shd w:val="clear" w:color="auto" w:fill="F2F2F2" w:themeFill="background1" w:themeFillShade="F2"/>
            <w:vAlign w:val="center"/>
          </w:tcPr>
          <w:p w14:paraId="75091FDD" w14:textId="341996E8" w:rsidR="006179E5" w:rsidRPr="004032F4" w:rsidRDefault="00933509" w:rsidP="005E073E">
            <w:pPr>
              <w:jc w:val="center"/>
              <w:rPr>
                <w:rFonts w:eastAsia="Calibri"/>
                <w:spacing w:val="-4"/>
                <w:sz w:val="18"/>
                <w:szCs w:val="18"/>
              </w:rPr>
            </w:pPr>
            <w:r w:rsidRPr="004032F4">
              <w:rPr>
                <w:rFonts w:eastAsia="Calibri"/>
                <w:spacing w:val="-4"/>
                <w:sz w:val="18"/>
                <w:szCs w:val="18"/>
              </w:rPr>
              <w:t>2027</w:t>
            </w:r>
            <w:r w:rsidR="005E073E" w:rsidRPr="004032F4">
              <w:rPr>
                <w:rFonts w:eastAsia="Calibri"/>
                <w:spacing w:val="-4"/>
                <w:sz w:val="18"/>
                <w:szCs w:val="18"/>
                <w:lang w:val="en-US"/>
              </w:rPr>
              <w:t xml:space="preserve"> </w:t>
            </w:r>
            <w:r w:rsidR="006179E5" w:rsidRPr="004032F4">
              <w:rPr>
                <w:rFonts w:eastAsia="Calibri"/>
                <w:spacing w:val="-4"/>
                <w:sz w:val="18"/>
                <w:szCs w:val="18"/>
              </w:rPr>
              <w:t>год (прогноз)</w:t>
            </w:r>
          </w:p>
        </w:tc>
      </w:tr>
      <w:tr w:rsidR="006179E5" w:rsidRPr="004032F4" w14:paraId="7508C093" w14:textId="77777777" w:rsidTr="000D4368">
        <w:trPr>
          <w:trHeight w:val="199"/>
          <w:jc w:val="center"/>
        </w:trPr>
        <w:tc>
          <w:tcPr>
            <w:tcW w:w="3822" w:type="dxa"/>
          </w:tcPr>
          <w:p w14:paraId="5AFA3CAB" w14:textId="1E57DB04" w:rsidR="006179E5" w:rsidRPr="004032F4" w:rsidRDefault="006179E5" w:rsidP="006179E5">
            <w:pPr>
              <w:ind w:left="-57" w:right="-113"/>
              <w:rPr>
                <w:rFonts w:eastAsia="Calibri"/>
                <w:spacing w:val="-4"/>
                <w:sz w:val="18"/>
                <w:szCs w:val="18"/>
              </w:rPr>
            </w:pPr>
            <w:r w:rsidRPr="004032F4">
              <w:rPr>
                <w:rFonts w:eastAsia="Calibri"/>
                <w:spacing w:val="-4"/>
                <w:sz w:val="18"/>
                <w:szCs w:val="18"/>
              </w:rPr>
              <w:t>Доля неналоговых доходов в объеме налоговых и неналоговых доходов</w:t>
            </w:r>
          </w:p>
        </w:tc>
        <w:tc>
          <w:tcPr>
            <w:tcW w:w="1417" w:type="dxa"/>
            <w:vAlign w:val="bottom"/>
          </w:tcPr>
          <w:p w14:paraId="4B042D86" w14:textId="106281E8" w:rsidR="006179E5" w:rsidRPr="004032F4" w:rsidRDefault="00E11FF5" w:rsidP="001473CC">
            <w:pPr>
              <w:jc w:val="center"/>
              <w:rPr>
                <w:rFonts w:eastAsia="Calibri"/>
                <w:spacing w:val="-4"/>
                <w:sz w:val="18"/>
                <w:szCs w:val="18"/>
              </w:rPr>
            </w:pPr>
            <w:r w:rsidRPr="004032F4">
              <w:rPr>
                <w:rFonts w:eastAsia="Calibri"/>
                <w:spacing w:val="-4"/>
                <w:sz w:val="18"/>
                <w:szCs w:val="18"/>
              </w:rPr>
              <w:t>4</w:t>
            </w:r>
            <w:r w:rsidR="006179E5" w:rsidRPr="004032F4">
              <w:rPr>
                <w:rFonts w:eastAsia="Calibri"/>
                <w:spacing w:val="-4"/>
                <w:sz w:val="18"/>
                <w:szCs w:val="18"/>
              </w:rPr>
              <w:t>,</w:t>
            </w:r>
            <w:r w:rsidR="001473CC" w:rsidRPr="004032F4">
              <w:rPr>
                <w:rFonts w:eastAsia="Calibri"/>
                <w:spacing w:val="-4"/>
                <w:sz w:val="18"/>
                <w:szCs w:val="18"/>
              </w:rPr>
              <w:t>8</w:t>
            </w:r>
            <w:r w:rsidR="006179E5" w:rsidRPr="004032F4">
              <w:rPr>
                <w:rFonts w:eastAsia="Calibri"/>
                <w:spacing w:val="-4"/>
                <w:sz w:val="18"/>
                <w:szCs w:val="18"/>
              </w:rPr>
              <w:t>%</w:t>
            </w:r>
          </w:p>
        </w:tc>
        <w:tc>
          <w:tcPr>
            <w:tcW w:w="1418" w:type="dxa"/>
            <w:vAlign w:val="bottom"/>
          </w:tcPr>
          <w:p w14:paraId="4CF66042" w14:textId="5BC0727E" w:rsidR="006179E5" w:rsidRPr="004032F4" w:rsidRDefault="006179E5" w:rsidP="001473CC">
            <w:pPr>
              <w:jc w:val="center"/>
              <w:rPr>
                <w:rFonts w:eastAsia="Calibri"/>
                <w:spacing w:val="-4"/>
                <w:sz w:val="18"/>
                <w:szCs w:val="18"/>
              </w:rPr>
            </w:pPr>
            <w:r w:rsidRPr="004032F4">
              <w:rPr>
                <w:rFonts w:eastAsia="Calibri"/>
                <w:spacing w:val="-4"/>
                <w:sz w:val="18"/>
                <w:szCs w:val="18"/>
              </w:rPr>
              <w:t>2,</w:t>
            </w:r>
            <w:r w:rsidR="001473CC" w:rsidRPr="004032F4">
              <w:rPr>
                <w:rFonts w:eastAsia="Calibri"/>
                <w:spacing w:val="-4"/>
                <w:sz w:val="18"/>
                <w:szCs w:val="18"/>
              </w:rPr>
              <w:t>6</w:t>
            </w:r>
            <w:r w:rsidRPr="004032F4">
              <w:rPr>
                <w:rFonts w:eastAsia="Calibri"/>
                <w:spacing w:val="-4"/>
                <w:sz w:val="18"/>
                <w:szCs w:val="18"/>
              </w:rPr>
              <w:t>%</w:t>
            </w:r>
          </w:p>
        </w:tc>
        <w:tc>
          <w:tcPr>
            <w:tcW w:w="1417" w:type="dxa"/>
            <w:vAlign w:val="bottom"/>
          </w:tcPr>
          <w:p w14:paraId="22D7B2A6" w14:textId="5B09632B" w:rsidR="006179E5" w:rsidRPr="004032F4" w:rsidRDefault="006179E5" w:rsidP="001473CC">
            <w:pPr>
              <w:jc w:val="center"/>
              <w:rPr>
                <w:rFonts w:eastAsia="Calibri"/>
                <w:spacing w:val="-4"/>
                <w:sz w:val="18"/>
                <w:szCs w:val="18"/>
              </w:rPr>
            </w:pPr>
            <w:r w:rsidRPr="004032F4">
              <w:rPr>
                <w:rFonts w:eastAsia="Calibri"/>
                <w:spacing w:val="-4"/>
                <w:sz w:val="18"/>
                <w:szCs w:val="18"/>
              </w:rPr>
              <w:t>2,</w:t>
            </w:r>
            <w:r w:rsidR="001473CC" w:rsidRPr="004032F4">
              <w:rPr>
                <w:rFonts w:eastAsia="Calibri"/>
                <w:spacing w:val="-4"/>
                <w:sz w:val="18"/>
                <w:szCs w:val="18"/>
              </w:rPr>
              <w:t>4</w:t>
            </w:r>
            <w:r w:rsidRPr="004032F4">
              <w:rPr>
                <w:rFonts w:eastAsia="Calibri"/>
                <w:spacing w:val="-4"/>
                <w:sz w:val="18"/>
                <w:szCs w:val="18"/>
              </w:rPr>
              <w:t>%</w:t>
            </w:r>
          </w:p>
        </w:tc>
        <w:tc>
          <w:tcPr>
            <w:tcW w:w="1270" w:type="dxa"/>
            <w:vAlign w:val="bottom"/>
          </w:tcPr>
          <w:p w14:paraId="47ED48A5" w14:textId="1396078F" w:rsidR="006179E5" w:rsidRPr="004032F4" w:rsidRDefault="00E11FF5" w:rsidP="001473CC">
            <w:pPr>
              <w:jc w:val="center"/>
              <w:rPr>
                <w:rFonts w:eastAsia="Calibri"/>
                <w:spacing w:val="-4"/>
                <w:sz w:val="18"/>
                <w:szCs w:val="18"/>
              </w:rPr>
            </w:pPr>
            <w:r w:rsidRPr="004032F4">
              <w:rPr>
                <w:rFonts w:eastAsia="Calibri"/>
                <w:spacing w:val="-4"/>
                <w:sz w:val="18"/>
                <w:szCs w:val="18"/>
              </w:rPr>
              <w:t>2,</w:t>
            </w:r>
            <w:r w:rsidR="001473CC" w:rsidRPr="004032F4">
              <w:rPr>
                <w:rFonts w:eastAsia="Calibri"/>
                <w:spacing w:val="-4"/>
                <w:sz w:val="18"/>
                <w:szCs w:val="18"/>
              </w:rPr>
              <w:t>2</w:t>
            </w:r>
            <w:r w:rsidR="006179E5" w:rsidRPr="004032F4">
              <w:rPr>
                <w:rFonts w:eastAsia="Calibri"/>
                <w:spacing w:val="-4"/>
                <w:sz w:val="18"/>
                <w:szCs w:val="18"/>
              </w:rPr>
              <w:t>%</w:t>
            </w:r>
          </w:p>
        </w:tc>
      </w:tr>
      <w:tr w:rsidR="006179E5" w:rsidRPr="004032F4" w14:paraId="61177EF5" w14:textId="77777777" w:rsidTr="00CF143D">
        <w:trPr>
          <w:trHeight w:val="199"/>
          <w:jc w:val="center"/>
        </w:trPr>
        <w:tc>
          <w:tcPr>
            <w:tcW w:w="3822" w:type="dxa"/>
          </w:tcPr>
          <w:p w14:paraId="5A851158" w14:textId="77777777" w:rsidR="00167ACE" w:rsidRPr="004032F4" w:rsidRDefault="00167ACE" w:rsidP="00167ACE">
            <w:pPr>
              <w:ind w:left="-57" w:right="-113"/>
              <w:rPr>
                <w:rFonts w:eastAsia="Calibri"/>
                <w:b/>
                <w:spacing w:val="-4"/>
                <w:sz w:val="18"/>
                <w:szCs w:val="18"/>
              </w:rPr>
            </w:pPr>
            <w:r w:rsidRPr="004032F4">
              <w:rPr>
                <w:rFonts w:eastAsia="Calibri"/>
                <w:b/>
                <w:spacing w:val="-4"/>
                <w:sz w:val="18"/>
                <w:szCs w:val="18"/>
              </w:rPr>
              <w:t xml:space="preserve">Неналоговые доходы, </w:t>
            </w:r>
          </w:p>
          <w:p w14:paraId="2D11B649" w14:textId="3DF75275" w:rsidR="00167ACE" w:rsidRPr="004032F4" w:rsidRDefault="00167ACE" w:rsidP="00167ACE">
            <w:pPr>
              <w:ind w:left="-57" w:right="-113"/>
              <w:rPr>
                <w:rFonts w:eastAsia="Calibri"/>
                <w:spacing w:val="-4"/>
                <w:sz w:val="18"/>
                <w:szCs w:val="18"/>
              </w:rPr>
            </w:pPr>
            <w:r w:rsidRPr="004032F4">
              <w:rPr>
                <w:rFonts w:eastAsia="Calibri"/>
                <w:spacing w:val="-4"/>
                <w:sz w:val="18"/>
                <w:szCs w:val="18"/>
              </w:rPr>
              <w:t>в том числе:</w:t>
            </w:r>
          </w:p>
        </w:tc>
        <w:tc>
          <w:tcPr>
            <w:tcW w:w="1417" w:type="dxa"/>
          </w:tcPr>
          <w:p w14:paraId="1B8AD9FA" w14:textId="7879FE11" w:rsidR="006179E5" w:rsidRPr="004032F4" w:rsidRDefault="00E11FF5" w:rsidP="0073661D">
            <w:pPr>
              <w:jc w:val="center"/>
              <w:rPr>
                <w:rFonts w:eastAsia="Calibri"/>
                <w:b/>
                <w:spacing w:val="-4"/>
                <w:sz w:val="18"/>
                <w:szCs w:val="18"/>
                <w:lang w:val="en-US"/>
              </w:rPr>
            </w:pPr>
            <w:r w:rsidRPr="004032F4">
              <w:rPr>
                <w:rFonts w:eastAsia="Calibri"/>
                <w:b/>
                <w:spacing w:val="-4"/>
                <w:sz w:val="18"/>
                <w:szCs w:val="18"/>
              </w:rPr>
              <w:t>5 622,3</w:t>
            </w:r>
          </w:p>
        </w:tc>
        <w:tc>
          <w:tcPr>
            <w:tcW w:w="1418" w:type="dxa"/>
          </w:tcPr>
          <w:p w14:paraId="38D8FBED" w14:textId="6EC8E27F" w:rsidR="006179E5" w:rsidRPr="004032F4" w:rsidRDefault="00E11FF5" w:rsidP="0073661D">
            <w:pPr>
              <w:jc w:val="center"/>
              <w:rPr>
                <w:rFonts w:eastAsia="Calibri"/>
                <w:b/>
                <w:spacing w:val="-4"/>
                <w:sz w:val="18"/>
                <w:szCs w:val="18"/>
              </w:rPr>
            </w:pPr>
            <w:r w:rsidRPr="004032F4">
              <w:rPr>
                <w:rFonts w:eastAsia="Calibri"/>
                <w:b/>
                <w:spacing w:val="-4"/>
                <w:sz w:val="18"/>
                <w:szCs w:val="18"/>
              </w:rPr>
              <w:t>3 110,4</w:t>
            </w:r>
          </w:p>
        </w:tc>
        <w:tc>
          <w:tcPr>
            <w:tcW w:w="1417" w:type="dxa"/>
          </w:tcPr>
          <w:p w14:paraId="77457E19" w14:textId="11E74569" w:rsidR="006179E5" w:rsidRPr="004032F4" w:rsidRDefault="00E11FF5" w:rsidP="0073661D">
            <w:pPr>
              <w:jc w:val="center"/>
              <w:rPr>
                <w:rFonts w:eastAsia="Calibri"/>
                <w:b/>
                <w:spacing w:val="-4"/>
                <w:sz w:val="18"/>
                <w:szCs w:val="18"/>
              </w:rPr>
            </w:pPr>
            <w:r w:rsidRPr="004032F4">
              <w:rPr>
                <w:rFonts w:eastAsia="Calibri"/>
                <w:b/>
                <w:spacing w:val="-4"/>
                <w:sz w:val="18"/>
                <w:szCs w:val="18"/>
              </w:rPr>
              <w:t>3 119,6</w:t>
            </w:r>
          </w:p>
        </w:tc>
        <w:tc>
          <w:tcPr>
            <w:tcW w:w="1270" w:type="dxa"/>
          </w:tcPr>
          <w:p w14:paraId="40037E77" w14:textId="3D6C7DB7" w:rsidR="006179E5" w:rsidRPr="004032F4" w:rsidRDefault="00E11FF5" w:rsidP="0073661D">
            <w:pPr>
              <w:jc w:val="center"/>
              <w:rPr>
                <w:rFonts w:eastAsia="Calibri"/>
                <w:b/>
                <w:spacing w:val="-4"/>
                <w:sz w:val="18"/>
                <w:szCs w:val="18"/>
              </w:rPr>
            </w:pPr>
            <w:r w:rsidRPr="004032F4">
              <w:rPr>
                <w:rFonts w:eastAsia="Calibri"/>
                <w:b/>
                <w:spacing w:val="-4"/>
                <w:sz w:val="18"/>
                <w:szCs w:val="18"/>
              </w:rPr>
              <w:t>3 124,3</w:t>
            </w:r>
          </w:p>
        </w:tc>
      </w:tr>
      <w:tr w:rsidR="006179E5" w:rsidRPr="004032F4" w14:paraId="70376432" w14:textId="77777777" w:rsidTr="000D4368">
        <w:trPr>
          <w:trHeight w:val="199"/>
          <w:jc w:val="center"/>
        </w:trPr>
        <w:tc>
          <w:tcPr>
            <w:tcW w:w="3822" w:type="dxa"/>
          </w:tcPr>
          <w:p w14:paraId="25983D7D" w14:textId="4357224E" w:rsidR="006179E5" w:rsidRPr="004032F4" w:rsidRDefault="006179E5" w:rsidP="006179E5">
            <w:pPr>
              <w:ind w:left="-57" w:right="-113"/>
              <w:rPr>
                <w:rFonts w:eastAsia="Calibri"/>
                <w:spacing w:val="-4"/>
                <w:sz w:val="18"/>
                <w:szCs w:val="18"/>
              </w:rPr>
            </w:pPr>
            <w:r w:rsidRPr="004032F4">
              <w:rPr>
                <w:rFonts w:eastAsia="Calibri"/>
                <w:spacing w:val="-4"/>
                <w:sz w:val="18"/>
                <w:szCs w:val="18"/>
              </w:rPr>
              <w:t>доходы от операций по управлению остатками средств на едином казначейском счете</w:t>
            </w:r>
          </w:p>
        </w:tc>
        <w:tc>
          <w:tcPr>
            <w:tcW w:w="1417" w:type="dxa"/>
            <w:vAlign w:val="bottom"/>
          </w:tcPr>
          <w:p w14:paraId="5C7BAEAA" w14:textId="70372B24" w:rsidR="006179E5" w:rsidRPr="004032F4" w:rsidRDefault="00E11FF5" w:rsidP="0073661D">
            <w:pPr>
              <w:jc w:val="center"/>
              <w:rPr>
                <w:rFonts w:eastAsia="Calibri"/>
                <w:spacing w:val="-4"/>
                <w:sz w:val="18"/>
                <w:szCs w:val="18"/>
              </w:rPr>
            </w:pPr>
            <w:r w:rsidRPr="004032F4">
              <w:rPr>
                <w:rFonts w:eastAsia="Calibri"/>
                <w:spacing w:val="-4"/>
                <w:sz w:val="18"/>
                <w:szCs w:val="18"/>
              </w:rPr>
              <w:t>1 613,9</w:t>
            </w:r>
          </w:p>
        </w:tc>
        <w:tc>
          <w:tcPr>
            <w:tcW w:w="1418" w:type="dxa"/>
            <w:vAlign w:val="bottom"/>
          </w:tcPr>
          <w:p w14:paraId="0FE889D3" w14:textId="3CB51255" w:rsidR="006179E5" w:rsidRPr="004032F4" w:rsidRDefault="006179E5" w:rsidP="006179E5">
            <w:pPr>
              <w:jc w:val="center"/>
              <w:rPr>
                <w:rFonts w:eastAsia="Calibri"/>
                <w:spacing w:val="-4"/>
                <w:sz w:val="18"/>
                <w:szCs w:val="18"/>
              </w:rPr>
            </w:pPr>
            <w:r w:rsidRPr="004032F4">
              <w:rPr>
                <w:rFonts w:eastAsia="Calibri"/>
                <w:spacing w:val="-4"/>
                <w:sz w:val="18"/>
                <w:szCs w:val="18"/>
              </w:rPr>
              <w:t>0,0</w:t>
            </w:r>
          </w:p>
        </w:tc>
        <w:tc>
          <w:tcPr>
            <w:tcW w:w="1417" w:type="dxa"/>
            <w:vAlign w:val="bottom"/>
          </w:tcPr>
          <w:p w14:paraId="66FC23DD" w14:textId="098D1A04" w:rsidR="006179E5" w:rsidRPr="004032F4" w:rsidRDefault="006179E5" w:rsidP="006179E5">
            <w:pPr>
              <w:jc w:val="center"/>
              <w:rPr>
                <w:rFonts w:eastAsia="Calibri"/>
                <w:spacing w:val="-4"/>
                <w:sz w:val="18"/>
                <w:szCs w:val="18"/>
              </w:rPr>
            </w:pPr>
            <w:r w:rsidRPr="004032F4">
              <w:rPr>
                <w:rFonts w:eastAsia="Calibri"/>
                <w:spacing w:val="-4"/>
                <w:sz w:val="18"/>
                <w:szCs w:val="18"/>
              </w:rPr>
              <w:t>0,0</w:t>
            </w:r>
          </w:p>
        </w:tc>
        <w:tc>
          <w:tcPr>
            <w:tcW w:w="1270" w:type="dxa"/>
            <w:vAlign w:val="bottom"/>
          </w:tcPr>
          <w:p w14:paraId="71F8C8AC" w14:textId="052BC00F" w:rsidR="006179E5" w:rsidRPr="004032F4" w:rsidRDefault="006179E5" w:rsidP="006179E5">
            <w:pPr>
              <w:jc w:val="center"/>
              <w:rPr>
                <w:rFonts w:eastAsia="Calibri"/>
                <w:spacing w:val="-4"/>
                <w:sz w:val="18"/>
                <w:szCs w:val="18"/>
              </w:rPr>
            </w:pPr>
            <w:r w:rsidRPr="004032F4">
              <w:rPr>
                <w:rFonts w:eastAsia="Calibri"/>
                <w:spacing w:val="-4"/>
                <w:sz w:val="18"/>
                <w:szCs w:val="18"/>
              </w:rPr>
              <w:t>0,0</w:t>
            </w:r>
          </w:p>
        </w:tc>
      </w:tr>
      <w:tr w:rsidR="008457BE" w:rsidRPr="004032F4" w14:paraId="1CC68928" w14:textId="77777777" w:rsidTr="000D4368">
        <w:trPr>
          <w:trHeight w:val="199"/>
          <w:jc w:val="center"/>
        </w:trPr>
        <w:tc>
          <w:tcPr>
            <w:tcW w:w="3822" w:type="dxa"/>
          </w:tcPr>
          <w:p w14:paraId="559E93D8" w14:textId="348803CD" w:rsidR="008457BE" w:rsidRPr="004032F4" w:rsidRDefault="008457BE" w:rsidP="006179E5">
            <w:pPr>
              <w:ind w:left="-57" w:right="-113"/>
              <w:rPr>
                <w:rFonts w:eastAsia="Calibri"/>
                <w:spacing w:val="-4"/>
                <w:sz w:val="18"/>
                <w:szCs w:val="18"/>
              </w:rPr>
            </w:pPr>
            <w:r w:rsidRPr="004032F4">
              <w:rPr>
                <w:rFonts w:eastAsia="Calibri"/>
                <w:spacing w:val="-4"/>
                <w:sz w:val="18"/>
                <w:szCs w:val="18"/>
              </w:rPr>
              <w:t>доходы в виде прибыли, приходящейся на доли в уставных капиталах хозяйствующих товариществ и обществ, или дивидендов по акциям, принадлежащим субъекту РФ</w:t>
            </w:r>
          </w:p>
        </w:tc>
        <w:tc>
          <w:tcPr>
            <w:tcW w:w="1417" w:type="dxa"/>
            <w:vAlign w:val="bottom"/>
          </w:tcPr>
          <w:p w14:paraId="3F9AA7A0" w14:textId="78518D70" w:rsidR="008457BE" w:rsidRPr="004032F4" w:rsidRDefault="008457BE" w:rsidP="0073661D">
            <w:pPr>
              <w:jc w:val="center"/>
              <w:rPr>
                <w:rFonts w:eastAsia="Calibri"/>
                <w:spacing w:val="-4"/>
                <w:sz w:val="18"/>
                <w:szCs w:val="18"/>
              </w:rPr>
            </w:pPr>
            <w:r w:rsidRPr="004032F4">
              <w:rPr>
                <w:rFonts w:eastAsia="Calibri"/>
                <w:spacing w:val="-4"/>
                <w:sz w:val="18"/>
                <w:szCs w:val="18"/>
              </w:rPr>
              <w:t>69,1</w:t>
            </w:r>
          </w:p>
        </w:tc>
        <w:tc>
          <w:tcPr>
            <w:tcW w:w="1418" w:type="dxa"/>
            <w:vAlign w:val="bottom"/>
          </w:tcPr>
          <w:p w14:paraId="2B1D7D04" w14:textId="32E266C6" w:rsidR="008457BE" w:rsidRPr="004032F4" w:rsidRDefault="008457BE" w:rsidP="006179E5">
            <w:pPr>
              <w:jc w:val="center"/>
              <w:rPr>
                <w:rFonts w:eastAsia="Calibri"/>
                <w:spacing w:val="-4"/>
                <w:sz w:val="18"/>
                <w:szCs w:val="18"/>
              </w:rPr>
            </w:pPr>
            <w:r w:rsidRPr="004032F4">
              <w:rPr>
                <w:rFonts w:eastAsia="Calibri"/>
                <w:spacing w:val="-4"/>
                <w:sz w:val="18"/>
                <w:szCs w:val="18"/>
              </w:rPr>
              <w:t>25,5</w:t>
            </w:r>
          </w:p>
        </w:tc>
        <w:tc>
          <w:tcPr>
            <w:tcW w:w="1417" w:type="dxa"/>
            <w:vAlign w:val="bottom"/>
          </w:tcPr>
          <w:p w14:paraId="2551DEC4" w14:textId="6106AF3B" w:rsidR="008457BE" w:rsidRPr="004032F4" w:rsidRDefault="008457BE" w:rsidP="006179E5">
            <w:pPr>
              <w:jc w:val="center"/>
              <w:rPr>
                <w:rFonts w:eastAsia="Calibri"/>
                <w:spacing w:val="-4"/>
                <w:sz w:val="18"/>
                <w:szCs w:val="18"/>
              </w:rPr>
            </w:pPr>
            <w:r w:rsidRPr="004032F4">
              <w:rPr>
                <w:rFonts w:eastAsia="Calibri"/>
                <w:spacing w:val="-4"/>
                <w:sz w:val="18"/>
                <w:szCs w:val="18"/>
              </w:rPr>
              <w:t>26,5</w:t>
            </w:r>
          </w:p>
        </w:tc>
        <w:tc>
          <w:tcPr>
            <w:tcW w:w="1270" w:type="dxa"/>
            <w:vAlign w:val="bottom"/>
          </w:tcPr>
          <w:p w14:paraId="50DBD6A6" w14:textId="587D4984" w:rsidR="008457BE" w:rsidRPr="004032F4" w:rsidRDefault="008457BE" w:rsidP="006179E5">
            <w:pPr>
              <w:jc w:val="center"/>
              <w:rPr>
                <w:rFonts w:eastAsia="Calibri"/>
                <w:spacing w:val="-4"/>
                <w:sz w:val="18"/>
                <w:szCs w:val="18"/>
              </w:rPr>
            </w:pPr>
            <w:r w:rsidRPr="004032F4">
              <w:rPr>
                <w:rFonts w:eastAsia="Calibri"/>
                <w:spacing w:val="-4"/>
                <w:sz w:val="18"/>
                <w:szCs w:val="18"/>
              </w:rPr>
              <w:t>27,1</w:t>
            </w:r>
          </w:p>
        </w:tc>
      </w:tr>
      <w:tr w:rsidR="008457BE" w:rsidRPr="004032F4" w14:paraId="093CE016" w14:textId="77777777" w:rsidTr="000D4368">
        <w:trPr>
          <w:trHeight w:val="199"/>
          <w:jc w:val="center"/>
        </w:trPr>
        <w:tc>
          <w:tcPr>
            <w:tcW w:w="3822" w:type="dxa"/>
          </w:tcPr>
          <w:p w14:paraId="7F921DE4" w14:textId="26A885B3" w:rsidR="008457BE" w:rsidRPr="004032F4" w:rsidRDefault="008457BE" w:rsidP="006179E5">
            <w:pPr>
              <w:ind w:left="-57" w:right="-113"/>
              <w:rPr>
                <w:rFonts w:eastAsia="Calibri"/>
                <w:spacing w:val="-4"/>
                <w:sz w:val="18"/>
                <w:szCs w:val="18"/>
              </w:rPr>
            </w:pPr>
            <w:r w:rsidRPr="004032F4">
              <w:rPr>
                <w:rFonts w:eastAsia="Calibri"/>
                <w:spacing w:val="-4"/>
                <w:sz w:val="18"/>
                <w:szCs w:val="18"/>
              </w:rPr>
              <w:t>проценты, полученные от предоставления бюджетных кредитов внутри страны</w:t>
            </w:r>
          </w:p>
        </w:tc>
        <w:tc>
          <w:tcPr>
            <w:tcW w:w="1417" w:type="dxa"/>
            <w:vAlign w:val="bottom"/>
          </w:tcPr>
          <w:p w14:paraId="2391A9C4" w14:textId="6BAC0975" w:rsidR="008457BE" w:rsidRPr="004032F4" w:rsidRDefault="008457BE" w:rsidP="0073661D">
            <w:pPr>
              <w:jc w:val="center"/>
              <w:rPr>
                <w:rFonts w:eastAsia="Calibri"/>
                <w:spacing w:val="-4"/>
                <w:sz w:val="18"/>
                <w:szCs w:val="18"/>
              </w:rPr>
            </w:pPr>
            <w:r w:rsidRPr="004032F4">
              <w:rPr>
                <w:rFonts w:eastAsia="Calibri"/>
                <w:spacing w:val="-4"/>
                <w:sz w:val="18"/>
                <w:szCs w:val="18"/>
              </w:rPr>
              <w:t>20,9</w:t>
            </w:r>
          </w:p>
        </w:tc>
        <w:tc>
          <w:tcPr>
            <w:tcW w:w="1418" w:type="dxa"/>
            <w:vAlign w:val="bottom"/>
          </w:tcPr>
          <w:p w14:paraId="262A9A73" w14:textId="328D786C" w:rsidR="008457BE" w:rsidRPr="004032F4" w:rsidRDefault="008457BE" w:rsidP="006179E5">
            <w:pPr>
              <w:jc w:val="center"/>
              <w:rPr>
                <w:rFonts w:eastAsia="Calibri"/>
                <w:spacing w:val="-4"/>
                <w:sz w:val="18"/>
                <w:szCs w:val="18"/>
              </w:rPr>
            </w:pPr>
            <w:r w:rsidRPr="004032F4">
              <w:rPr>
                <w:rFonts w:eastAsia="Calibri"/>
                <w:spacing w:val="-4"/>
                <w:sz w:val="18"/>
                <w:szCs w:val="18"/>
              </w:rPr>
              <w:t>30,9</w:t>
            </w:r>
          </w:p>
        </w:tc>
        <w:tc>
          <w:tcPr>
            <w:tcW w:w="1417" w:type="dxa"/>
            <w:vAlign w:val="bottom"/>
          </w:tcPr>
          <w:p w14:paraId="4B73E3E0" w14:textId="2A1DFAB9" w:rsidR="008457BE" w:rsidRPr="004032F4" w:rsidRDefault="008457BE" w:rsidP="006179E5">
            <w:pPr>
              <w:jc w:val="center"/>
              <w:rPr>
                <w:rFonts w:eastAsia="Calibri"/>
                <w:spacing w:val="-4"/>
                <w:sz w:val="18"/>
                <w:szCs w:val="18"/>
              </w:rPr>
            </w:pPr>
            <w:r w:rsidRPr="004032F4">
              <w:rPr>
                <w:rFonts w:eastAsia="Calibri"/>
                <w:spacing w:val="-4"/>
                <w:sz w:val="18"/>
                <w:szCs w:val="18"/>
              </w:rPr>
              <w:t>29,6</w:t>
            </w:r>
          </w:p>
        </w:tc>
        <w:tc>
          <w:tcPr>
            <w:tcW w:w="1270" w:type="dxa"/>
            <w:vAlign w:val="bottom"/>
          </w:tcPr>
          <w:p w14:paraId="37F9E7C2" w14:textId="5B2844C0" w:rsidR="008457BE" w:rsidRPr="004032F4" w:rsidRDefault="008457BE" w:rsidP="006179E5">
            <w:pPr>
              <w:jc w:val="center"/>
              <w:rPr>
                <w:rFonts w:eastAsia="Calibri"/>
                <w:spacing w:val="-4"/>
                <w:sz w:val="18"/>
                <w:szCs w:val="18"/>
              </w:rPr>
            </w:pPr>
            <w:r w:rsidRPr="004032F4">
              <w:rPr>
                <w:rFonts w:eastAsia="Calibri"/>
                <w:spacing w:val="-4"/>
                <w:sz w:val="18"/>
                <w:szCs w:val="18"/>
              </w:rPr>
              <w:t>19,9</w:t>
            </w:r>
          </w:p>
        </w:tc>
      </w:tr>
      <w:tr w:rsidR="006179E5" w:rsidRPr="004032F4" w14:paraId="18B8719F" w14:textId="77777777" w:rsidTr="000D4368">
        <w:trPr>
          <w:trHeight w:val="199"/>
          <w:jc w:val="center"/>
        </w:trPr>
        <w:tc>
          <w:tcPr>
            <w:tcW w:w="3822" w:type="dxa"/>
            <w:shd w:val="clear" w:color="auto" w:fill="E7E6E6" w:themeFill="background2"/>
          </w:tcPr>
          <w:p w14:paraId="6BD0B10D" w14:textId="532FE799" w:rsidR="006179E5" w:rsidRPr="004032F4" w:rsidRDefault="00E54E09" w:rsidP="008E0934">
            <w:pPr>
              <w:ind w:left="-57" w:right="-113"/>
              <w:rPr>
                <w:rFonts w:eastAsia="Calibri"/>
                <w:spacing w:val="-4"/>
                <w:sz w:val="18"/>
                <w:szCs w:val="18"/>
              </w:rPr>
            </w:pPr>
            <w:r w:rsidRPr="004032F4">
              <w:rPr>
                <w:rFonts w:eastAsia="Calibri"/>
                <w:spacing w:val="-4"/>
                <w:sz w:val="18"/>
                <w:szCs w:val="18"/>
              </w:rPr>
              <w:t>д</w:t>
            </w:r>
            <w:r w:rsidR="006179E5" w:rsidRPr="004032F4">
              <w:rPr>
                <w:rFonts w:eastAsia="Calibri"/>
                <w:spacing w:val="-4"/>
                <w:sz w:val="18"/>
                <w:szCs w:val="18"/>
              </w:rPr>
              <w:t>оходы от использования государственного имущества</w:t>
            </w:r>
            <w:r w:rsidRPr="004032F4">
              <w:rPr>
                <w:rFonts w:eastAsia="Calibri"/>
                <w:spacing w:val="-4"/>
                <w:sz w:val="18"/>
                <w:szCs w:val="18"/>
              </w:rPr>
              <w:t xml:space="preserve"> (</w:t>
            </w:r>
            <w:r w:rsidR="008E0934" w:rsidRPr="004032F4">
              <w:rPr>
                <w:rFonts w:eastAsia="Calibri"/>
                <w:spacing w:val="-4"/>
                <w:sz w:val="18"/>
                <w:szCs w:val="18"/>
              </w:rPr>
              <w:t>доходы от сдачи в аренду</w:t>
            </w:r>
            <w:r w:rsidRPr="004032F4">
              <w:rPr>
                <w:rFonts w:eastAsia="Calibri"/>
                <w:spacing w:val="-4"/>
                <w:sz w:val="18"/>
                <w:szCs w:val="18"/>
              </w:rPr>
              <w:t xml:space="preserve"> имущества, земельных участков и др.)</w:t>
            </w:r>
          </w:p>
        </w:tc>
        <w:tc>
          <w:tcPr>
            <w:tcW w:w="1417" w:type="dxa"/>
            <w:shd w:val="clear" w:color="auto" w:fill="E7E6E6" w:themeFill="background2"/>
            <w:vAlign w:val="bottom"/>
          </w:tcPr>
          <w:p w14:paraId="661F9FAE" w14:textId="132FA472" w:rsidR="006179E5" w:rsidRPr="004032F4" w:rsidRDefault="008457BE" w:rsidP="0073661D">
            <w:pPr>
              <w:jc w:val="center"/>
              <w:rPr>
                <w:rFonts w:eastAsia="Calibri"/>
                <w:spacing w:val="-4"/>
                <w:sz w:val="18"/>
                <w:szCs w:val="18"/>
              </w:rPr>
            </w:pPr>
            <w:r w:rsidRPr="004032F4">
              <w:rPr>
                <w:rFonts w:eastAsia="Calibri"/>
                <w:spacing w:val="-4"/>
                <w:sz w:val="18"/>
                <w:szCs w:val="18"/>
              </w:rPr>
              <w:t>44,5</w:t>
            </w:r>
          </w:p>
        </w:tc>
        <w:tc>
          <w:tcPr>
            <w:tcW w:w="1418" w:type="dxa"/>
            <w:shd w:val="clear" w:color="auto" w:fill="E7E6E6" w:themeFill="background2"/>
            <w:vAlign w:val="bottom"/>
          </w:tcPr>
          <w:p w14:paraId="40251E0F" w14:textId="3518FC67" w:rsidR="006179E5" w:rsidRPr="004032F4" w:rsidRDefault="00250BDD" w:rsidP="0073661D">
            <w:pPr>
              <w:jc w:val="center"/>
              <w:rPr>
                <w:rFonts w:eastAsia="Calibri"/>
                <w:spacing w:val="-4"/>
                <w:sz w:val="18"/>
                <w:szCs w:val="18"/>
              </w:rPr>
            </w:pPr>
            <w:r w:rsidRPr="004032F4">
              <w:rPr>
                <w:rFonts w:eastAsia="Calibri"/>
                <w:spacing w:val="-4"/>
                <w:sz w:val="18"/>
                <w:szCs w:val="18"/>
              </w:rPr>
              <w:t>51,6</w:t>
            </w:r>
          </w:p>
        </w:tc>
        <w:tc>
          <w:tcPr>
            <w:tcW w:w="1417" w:type="dxa"/>
            <w:shd w:val="clear" w:color="auto" w:fill="E7E6E6" w:themeFill="background2"/>
            <w:vAlign w:val="bottom"/>
          </w:tcPr>
          <w:p w14:paraId="6AFEF34C" w14:textId="18784AE2" w:rsidR="006179E5" w:rsidRPr="004032F4" w:rsidRDefault="00250BDD" w:rsidP="0073661D">
            <w:pPr>
              <w:jc w:val="center"/>
              <w:rPr>
                <w:rFonts w:eastAsia="Calibri"/>
                <w:spacing w:val="-4"/>
                <w:sz w:val="18"/>
                <w:szCs w:val="18"/>
              </w:rPr>
            </w:pPr>
            <w:r w:rsidRPr="004032F4">
              <w:rPr>
                <w:rFonts w:eastAsia="Calibri"/>
                <w:spacing w:val="-4"/>
                <w:sz w:val="18"/>
                <w:szCs w:val="18"/>
              </w:rPr>
              <w:t>49,4</w:t>
            </w:r>
          </w:p>
        </w:tc>
        <w:tc>
          <w:tcPr>
            <w:tcW w:w="1270" w:type="dxa"/>
            <w:shd w:val="clear" w:color="auto" w:fill="E7E6E6" w:themeFill="background2"/>
            <w:vAlign w:val="bottom"/>
          </w:tcPr>
          <w:p w14:paraId="51C8A03F" w14:textId="041D39EE" w:rsidR="006179E5" w:rsidRPr="004032F4" w:rsidRDefault="00250BDD" w:rsidP="0073661D">
            <w:pPr>
              <w:jc w:val="center"/>
              <w:rPr>
                <w:rFonts w:eastAsia="Calibri"/>
                <w:spacing w:val="-4"/>
                <w:sz w:val="18"/>
                <w:szCs w:val="18"/>
              </w:rPr>
            </w:pPr>
            <w:r w:rsidRPr="004032F4">
              <w:rPr>
                <w:rFonts w:eastAsia="Calibri"/>
                <w:spacing w:val="-4"/>
                <w:sz w:val="18"/>
                <w:szCs w:val="18"/>
              </w:rPr>
              <w:t>50,2</w:t>
            </w:r>
          </w:p>
        </w:tc>
      </w:tr>
      <w:tr w:rsidR="00250BDD" w:rsidRPr="004032F4" w14:paraId="6E58DA13" w14:textId="77777777" w:rsidTr="000D4368">
        <w:trPr>
          <w:trHeight w:val="199"/>
          <w:jc w:val="center"/>
        </w:trPr>
        <w:tc>
          <w:tcPr>
            <w:tcW w:w="3822" w:type="dxa"/>
          </w:tcPr>
          <w:p w14:paraId="74786CF6" w14:textId="1AE8AEA9" w:rsidR="00250BDD" w:rsidRPr="004032F4" w:rsidRDefault="00250BDD" w:rsidP="008E0934">
            <w:pPr>
              <w:ind w:left="-57" w:right="-113"/>
              <w:rPr>
                <w:rFonts w:eastAsia="Calibri"/>
                <w:spacing w:val="-4"/>
                <w:sz w:val="18"/>
                <w:szCs w:val="18"/>
              </w:rPr>
            </w:pPr>
            <w:r w:rsidRPr="004032F4">
              <w:rPr>
                <w:rFonts w:eastAsia="Calibri"/>
                <w:spacing w:val="-4"/>
                <w:sz w:val="18"/>
                <w:szCs w:val="18"/>
              </w:rPr>
              <w:t>платежи при пользовании природными ресурсами</w:t>
            </w:r>
          </w:p>
        </w:tc>
        <w:tc>
          <w:tcPr>
            <w:tcW w:w="1417" w:type="dxa"/>
            <w:vAlign w:val="bottom"/>
          </w:tcPr>
          <w:p w14:paraId="4AF91167" w14:textId="694C92DC" w:rsidR="00250BDD" w:rsidRPr="004032F4" w:rsidRDefault="00250BDD" w:rsidP="0073661D">
            <w:pPr>
              <w:jc w:val="center"/>
              <w:rPr>
                <w:rFonts w:eastAsia="Calibri"/>
                <w:spacing w:val="-4"/>
                <w:sz w:val="18"/>
                <w:szCs w:val="18"/>
              </w:rPr>
            </w:pPr>
            <w:r w:rsidRPr="004032F4">
              <w:rPr>
                <w:rFonts w:eastAsia="Calibri"/>
                <w:spacing w:val="-4"/>
                <w:sz w:val="18"/>
                <w:szCs w:val="18"/>
              </w:rPr>
              <w:t>110,8</w:t>
            </w:r>
          </w:p>
        </w:tc>
        <w:tc>
          <w:tcPr>
            <w:tcW w:w="1418" w:type="dxa"/>
            <w:vAlign w:val="bottom"/>
          </w:tcPr>
          <w:p w14:paraId="501D75F5" w14:textId="1A97CD2B" w:rsidR="00250BDD" w:rsidRPr="004032F4" w:rsidRDefault="00250BDD" w:rsidP="0073661D">
            <w:pPr>
              <w:jc w:val="center"/>
              <w:rPr>
                <w:rFonts w:eastAsia="Calibri"/>
                <w:spacing w:val="-4"/>
                <w:sz w:val="18"/>
                <w:szCs w:val="18"/>
              </w:rPr>
            </w:pPr>
            <w:r w:rsidRPr="004032F4">
              <w:rPr>
                <w:rFonts w:eastAsia="Calibri"/>
                <w:spacing w:val="-4"/>
                <w:sz w:val="18"/>
                <w:szCs w:val="18"/>
              </w:rPr>
              <w:t>109,9</w:t>
            </w:r>
          </w:p>
        </w:tc>
        <w:tc>
          <w:tcPr>
            <w:tcW w:w="1417" w:type="dxa"/>
            <w:vAlign w:val="bottom"/>
          </w:tcPr>
          <w:p w14:paraId="1543142B" w14:textId="0700BD19" w:rsidR="00250BDD" w:rsidRPr="004032F4" w:rsidRDefault="00250BDD" w:rsidP="0073661D">
            <w:pPr>
              <w:jc w:val="center"/>
              <w:rPr>
                <w:rFonts w:eastAsia="Calibri"/>
                <w:spacing w:val="-4"/>
                <w:sz w:val="18"/>
                <w:szCs w:val="18"/>
              </w:rPr>
            </w:pPr>
            <w:r w:rsidRPr="004032F4">
              <w:rPr>
                <w:rFonts w:eastAsia="Calibri"/>
                <w:spacing w:val="-4"/>
                <w:sz w:val="18"/>
                <w:szCs w:val="18"/>
              </w:rPr>
              <w:t>109,9</w:t>
            </w:r>
          </w:p>
        </w:tc>
        <w:tc>
          <w:tcPr>
            <w:tcW w:w="1270" w:type="dxa"/>
            <w:vAlign w:val="bottom"/>
          </w:tcPr>
          <w:p w14:paraId="49697922" w14:textId="426327EC" w:rsidR="00250BDD" w:rsidRPr="004032F4" w:rsidRDefault="00250BDD" w:rsidP="0073661D">
            <w:pPr>
              <w:jc w:val="center"/>
              <w:rPr>
                <w:rFonts w:eastAsia="Calibri"/>
                <w:spacing w:val="-4"/>
                <w:sz w:val="18"/>
                <w:szCs w:val="18"/>
              </w:rPr>
            </w:pPr>
            <w:r w:rsidRPr="004032F4">
              <w:rPr>
                <w:rFonts w:eastAsia="Calibri"/>
                <w:spacing w:val="-4"/>
                <w:sz w:val="18"/>
                <w:szCs w:val="18"/>
              </w:rPr>
              <w:t>109,9</w:t>
            </w:r>
          </w:p>
        </w:tc>
      </w:tr>
      <w:tr w:rsidR="001A746A" w:rsidRPr="004032F4" w14:paraId="36389EB0" w14:textId="77777777" w:rsidTr="000D4368">
        <w:trPr>
          <w:trHeight w:val="199"/>
          <w:jc w:val="center"/>
        </w:trPr>
        <w:tc>
          <w:tcPr>
            <w:tcW w:w="3822" w:type="dxa"/>
          </w:tcPr>
          <w:p w14:paraId="2E13972C" w14:textId="0534C7DA" w:rsidR="001A746A" w:rsidRPr="004032F4" w:rsidRDefault="001A746A" w:rsidP="008E0934">
            <w:pPr>
              <w:ind w:left="-57" w:right="-113"/>
              <w:rPr>
                <w:rFonts w:eastAsia="Calibri"/>
                <w:spacing w:val="-4"/>
                <w:sz w:val="18"/>
                <w:szCs w:val="18"/>
              </w:rPr>
            </w:pPr>
            <w:r w:rsidRPr="004032F4">
              <w:rPr>
                <w:rFonts w:eastAsia="Calibri"/>
                <w:spacing w:val="-4"/>
                <w:sz w:val="18"/>
                <w:szCs w:val="18"/>
              </w:rPr>
              <w:t>доходы от оказания платных услуг и компенсации затрат государства</w:t>
            </w:r>
          </w:p>
        </w:tc>
        <w:tc>
          <w:tcPr>
            <w:tcW w:w="1417" w:type="dxa"/>
            <w:vAlign w:val="bottom"/>
          </w:tcPr>
          <w:p w14:paraId="409B4B8D" w14:textId="41F3AC70" w:rsidR="001A746A" w:rsidRPr="004032F4" w:rsidRDefault="008457BE" w:rsidP="0073661D">
            <w:pPr>
              <w:jc w:val="center"/>
              <w:rPr>
                <w:rFonts w:eastAsia="Calibri"/>
                <w:spacing w:val="-4"/>
                <w:sz w:val="18"/>
                <w:szCs w:val="18"/>
              </w:rPr>
            </w:pPr>
            <w:r w:rsidRPr="004032F4">
              <w:rPr>
                <w:rFonts w:eastAsia="Calibri"/>
                <w:spacing w:val="-4"/>
                <w:sz w:val="18"/>
                <w:szCs w:val="18"/>
              </w:rPr>
              <w:t>188,7</w:t>
            </w:r>
          </w:p>
        </w:tc>
        <w:tc>
          <w:tcPr>
            <w:tcW w:w="1418" w:type="dxa"/>
            <w:vAlign w:val="bottom"/>
          </w:tcPr>
          <w:p w14:paraId="20AE2E86" w14:textId="54E3AFD0" w:rsidR="001A746A" w:rsidRPr="004032F4" w:rsidRDefault="001A746A" w:rsidP="0073661D">
            <w:pPr>
              <w:jc w:val="center"/>
              <w:rPr>
                <w:rFonts w:eastAsia="Calibri"/>
                <w:spacing w:val="-4"/>
                <w:sz w:val="18"/>
                <w:szCs w:val="18"/>
              </w:rPr>
            </w:pPr>
            <w:r w:rsidRPr="004032F4">
              <w:rPr>
                <w:rFonts w:eastAsia="Calibri"/>
                <w:spacing w:val="-4"/>
                <w:sz w:val="18"/>
                <w:szCs w:val="18"/>
              </w:rPr>
              <w:t>137,3</w:t>
            </w:r>
          </w:p>
        </w:tc>
        <w:tc>
          <w:tcPr>
            <w:tcW w:w="1417" w:type="dxa"/>
            <w:vAlign w:val="bottom"/>
          </w:tcPr>
          <w:p w14:paraId="553B9D66" w14:textId="70FF5948" w:rsidR="001A746A" w:rsidRPr="004032F4" w:rsidRDefault="00250BDD" w:rsidP="0073661D">
            <w:pPr>
              <w:jc w:val="center"/>
              <w:rPr>
                <w:rFonts w:eastAsia="Calibri"/>
                <w:spacing w:val="-4"/>
                <w:sz w:val="18"/>
                <w:szCs w:val="18"/>
              </w:rPr>
            </w:pPr>
            <w:r w:rsidRPr="004032F4">
              <w:rPr>
                <w:rFonts w:eastAsia="Calibri"/>
                <w:spacing w:val="-4"/>
                <w:sz w:val="18"/>
                <w:szCs w:val="18"/>
              </w:rPr>
              <w:t>136,5</w:t>
            </w:r>
          </w:p>
        </w:tc>
        <w:tc>
          <w:tcPr>
            <w:tcW w:w="1270" w:type="dxa"/>
            <w:vAlign w:val="bottom"/>
          </w:tcPr>
          <w:p w14:paraId="6B124046" w14:textId="0F11031D" w:rsidR="001A746A" w:rsidRPr="004032F4" w:rsidRDefault="00250BDD" w:rsidP="0073661D">
            <w:pPr>
              <w:jc w:val="center"/>
              <w:rPr>
                <w:rFonts w:eastAsia="Calibri"/>
                <w:spacing w:val="-4"/>
                <w:sz w:val="18"/>
                <w:szCs w:val="18"/>
              </w:rPr>
            </w:pPr>
            <w:r w:rsidRPr="004032F4">
              <w:rPr>
                <w:rFonts w:eastAsia="Calibri"/>
                <w:spacing w:val="-4"/>
                <w:sz w:val="18"/>
                <w:szCs w:val="18"/>
              </w:rPr>
              <w:t>137,1</w:t>
            </w:r>
          </w:p>
        </w:tc>
      </w:tr>
      <w:tr w:rsidR="000D4368" w:rsidRPr="004032F4" w14:paraId="664EEEEA" w14:textId="77777777" w:rsidTr="000D4368">
        <w:trPr>
          <w:trHeight w:val="199"/>
          <w:jc w:val="center"/>
        </w:trPr>
        <w:tc>
          <w:tcPr>
            <w:tcW w:w="3822" w:type="dxa"/>
            <w:shd w:val="clear" w:color="auto" w:fill="E7E6E6" w:themeFill="background2"/>
          </w:tcPr>
          <w:p w14:paraId="04746294" w14:textId="7E8B67F3" w:rsidR="000D4368" w:rsidRPr="004032F4" w:rsidRDefault="000D4368" w:rsidP="000D4368">
            <w:pPr>
              <w:ind w:left="-57" w:right="-113"/>
              <w:rPr>
                <w:rFonts w:eastAsia="Calibri"/>
                <w:spacing w:val="-4"/>
                <w:sz w:val="18"/>
                <w:szCs w:val="18"/>
              </w:rPr>
            </w:pPr>
            <w:r w:rsidRPr="004032F4">
              <w:rPr>
                <w:rFonts w:eastAsia="Calibri"/>
                <w:spacing w:val="-4"/>
                <w:sz w:val="18"/>
                <w:szCs w:val="18"/>
              </w:rPr>
              <w:t>доходы от продажи материальных и нематериальных активов (в т.ч. доходы от приватизации государственного имущества)</w:t>
            </w:r>
          </w:p>
        </w:tc>
        <w:tc>
          <w:tcPr>
            <w:tcW w:w="1417" w:type="dxa"/>
            <w:shd w:val="clear" w:color="auto" w:fill="E7E6E6" w:themeFill="background2"/>
            <w:vAlign w:val="bottom"/>
          </w:tcPr>
          <w:p w14:paraId="7FF67EFC" w14:textId="451FC5E5" w:rsidR="000D4368" w:rsidRPr="004032F4" w:rsidRDefault="000D4368" w:rsidP="000D4368">
            <w:pPr>
              <w:jc w:val="center"/>
              <w:rPr>
                <w:rFonts w:eastAsia="Calibri"/>
                <w:spacing w:val="-4"/>
                <w:sz w:val="18"/>
                <w:szCs w:val="18"/>
              </w:rPr>
            </w:pPr>
            <w:r w:rsidRPr="004032F4">
              <w:rPr>
                <w:rFonts w:eastAsia="Calibri"/>
                <w:spacing w:val="-4"/>
                <w:sz w:val="18"/>
                <w:szCs w:val="18"/>
              </w:rPr>
              <w:t>22,1</w:t>
            </w:r>
          </w:p>
        </w:tc>
        <w:tc>
          <w:tcPr>
            <w:tcW w:w="1418" w:type="dxa"/>
            <w:shd w:val="clear" w:color="auto" w:fill="E7E6E6" w:themeFill="background2"/>
            <w:vAlign w:val="bottom"/>
          </w:tcPr>
          <w:p w14:paraId="2E7284BB" w14:textId="6EF7BC54" w:rsidR="000D4368" w:rsidRPr="004032F4" w:rsidRDefault="000D4368" w:rsidP="000D4368">
            <w:pPr>
              <w:jc w:val="center"/>
              <w:rPr>
                <w:rFonts w:eastAsia="Calibri"/>
                <w:spacing w:val="-4"/>
                <w:sz w:val="18"/>
                <w:szCs w:val="18"/>
              </w:rPr>
            </w:pPr>
            <w:r w:rsidRPr="004032F4">
              <w:rPr>
                <w:rFonts w:eastAsia="Calibri"/>
                <w:spacing w:val="-4"/>
                <w:sz w:val="18"/>
                <w:szCs w:val="18"/>
              </w:rPr>
              <w:t>5,2</w:t>
            </w:r>
          </w:p>
        </w:tc>
        <w:tc>
          <w:tcPr>
            <w:tcW w:w="1417" w:type="dxa"/>
            <w:shd w:val="clear" w:color="auto" w:fill="E7E6E6" w:themeFill="background2"/>
            <w:vAlign w:val="bottom"/>
          </w:tcPr>
          <w:p w14:paraId="7A5AC515" w14:textId="3100D010" w:rsidR="000D4368" w:rsidRPr="004032F4" w:rsidRDefault="000D4368" w:rsidP="000D4368">
            <w:pPr>
              <w:jc w:val="center"/>
              <w:rPr>
                <w:rFonts w:eastAsia="Calibri"/>
                <w:spacing w:val="-4"/>
                <w:sz w:val="18"/>
                <w:szCs w:val="18"/>
              </w:rPr>
            </w:pPr>
            <w:r w:rsidRPr="004032F4">
              <w:rPr>
                <w:rFonts w:eastAsia="Calibri"/>
                <w:spacing w:val="-4"/>
                <w:sz w:val="18"/>
                <w:szCs w:val="18"/>
              </w:rPr>
              <w:t>4,6</w:t>
            </w:r>
          </w:p>
        </w:tc>
        <w:tc>
          <w:tcPr>
            <w:tcW w:w="1270" w:type="dxa"/>
            <w:shd w:val="clear" w:color="auto" w:fill="E7E6E6" w:themeFill="background2"/>
            <w:vAlign w:val="bottom"/>
          </w:tcPr>
          <w:p w14:paraId="0747BDF4" w14:textId="073ABEDF" w:rsidR="000D4368" w:rsidRPr="004032F4" w:rsidRDefault="000D4368" w:rsidP="000D4368">
            <w:pPr>
              <w:jc w:val="center"/>
              <w:rPr>
                <w:rFonts w:eastAsia="Calibri"/>
                <w:spacing w:val="-4"/>
                <w:sz w:val="18"/>
                <w:szCs w:val="18"/>
              </w:rPr>
            </w:pPr>
            <w:r w:rsidRPr="004032F4">
              <w:rPr>
                <w:rFonts w:eastAsia="Calibri"/>
                <w:spacing w:val="-4"/>
                <w:sz w:val="18"/>
                <w:szCs w:val="18"/>
              </w:rPr>
              <w:t>4,6</w:t>
            </w:r>
          </w:p>
        </w:tc>
      </w:tr>
      <w:tr w:rsidR="000D4368" w:rsidRPr="004032F4" w14:paraId="1FE5FDCD" w14:textId="77777777" w:rsidTr="000D4368">
        <w:trPr>
          <w:trHeight w:val="199"/>
          <w:jc w:val="center"/>
        </w:trPr>
        <w:tc>
          <w:tcPr>
            <w:tcW w:w="3822" w:type="dxa"/>
          </w:tcPr>
          <w:p w14:paraId="1F372D40" w14:textId="3BE5538D" w:rsidR="000D4368" w:rsidRPr="004032F4" w:rsidRDefault="000D4368" w:rsidP="000D4368">
            <w:pPr>
              <w:ind w:left="-57" w:right="-113"/>
              <w:rPr>
                <w:rFonts w:eastAsia="Calibri"/>
                <w:spacing w:val="-4"/>
                <w:sz w:val="18"/>
                <w:szCs w:val="18"/>
              </w:rPr>
            </w:pPr>
            <w:r w:rsidRPr="004032F4">
              <w:rPr>
                <w:rFonts w:eastAsia="Calibri"/>
                <w:spacing w:val="-4"/>
                <w:sz w:val="18"/>
                <w:szCs w:val="18"/>
              </w:rPr>
              <w:t>административные платежи и сборы</w:t>
            </w:r>
          </w:p>
        </w:tc>
        <w:tc>
          <w:tcPr>
            <w:tcW w:w="1417" w:type="dxa"/>
            <w:vAlign w:val="bottom"/>
          </w:tcPr>
          <w:p w14:paraId="22CFBE8D" w14:textId="67C31B04" w:rsidR="000D4368" w:rsidRPr="004032F4" w:rsidRDefault="000D4368" w:rsidP="000D4368">
            <w:pPr>
              <w:jc w:val="center"/>
              <w:rPr>
                <w:rFonts w:eastAsia="Calibri"/>
                <w:spacing w:val="-4"/>
                <w:sz w:val="18"/>
                <w:szCs w:val="18"/>
              </w:rPr>
            </w:pPr>
            <w:r w:rsidRPr="004032F4">
              <w:rPr>
                <w:rFonts w:eastAsia="Calibri"/>
                <w:spacing w:val="-4"/>
                <w:sz w:val="18"/>
                <w:szCs w:val="18"/>
              </w:rPr>
              <w:t>1,7</w:t>
            </w:r>
          </w:p>
        </w:tc>
        <w:tc>
          <w:tcPr>
            <w:tcW w:w="1418" w:type="dxa"/>
            <w:vAlign w:val="bottom"/>
          </w:tcPr>
          <w:p w14:paraId="16CDF9F2" w14:textId="4CA6A49D" w:rsidR="000D4368" w:rsidRPr="004032F4" w:rsidRDefault="000D4368" w:rsidP="000D4368">
            <w:pPr>
              <w:jc w:val="center"/>
              <w:rPr>
                <w:rFonts w:eastAsia="Calibri"/>
                <w:spacing w:val="-4"/>
                <w:sz w:val="18"/>
                <w:szCs w:val="18"/>
              </w:rPr>
            </w:pPr>
            <w:r w:rsidRPr="004032F4">
              <w:rPr>
                <w:rFonts w:eastAsia="Calibri"/>
                <w:spacing w:val="-4"/>
                <w:sz w:val="18"/>
                <w:szCs w:val="18"/>
              </w:rPr>
              <w:t>1,6</w:t>
            </w:r>
          </w:p>
        </w:tc>
        <w:tc>
          <w:tcPr>
            <w:tcW w:w="1417" w:type="dxa"/>
            <w:vAlign w:val="bottom"/>
          </w:tcPr>
          <w:p w14:paraId="76FA80C4" w14:textId="1AB12F01" w:rsidR="000D4368" w:rsidRPr="004032F4" w:rsidRDefault="000D4368" w:rsidP="000D4368">
            <w:pPr>
              <w:jc w:val="center"/>
              <w:rPr>
                <w:rFonts w:eastAsia="Calibri"/>
                <w:spacing w:val="-4"/>
                <w:sz w:val="18"/>
                <w:szCs w:val="18"/>
              </w:rPr>
            </w:pPr>
            <w:r w:rsidRPr="004032F4">
              <w:rPr>
                <w:rFonts w:eastAsia="Calibri"/>
                <w:spacing w:val="-4"/>
                <w:sz w:val="18"/>
                <w:szCs w:val="18"/>
              </w:rPr>
              <w:t>1,6</w:t>
            </w:r>
          </w:p>
        </w:tc>
        <w:tc>
          <w:tcPr>
            <w:tcW w:w="1270" w:type="dxa"/>
            <w:vAlign w:val="bottom"/>
          </w:tcPr>
          <w:p w14:paraId="032AE6D4" w14:textId="1A64E712" w:rsidR="000D4368" w:rsidRPr="004032F4" w:rsidRDefault="000D4368" w:rsidP="000D4368">
            <w:pPr>
              <w:jc w:val="center"/>
              <w:rPr>
                <w:rFonts w:eastAsia="Calibri"/>
                <w:spacing w:val="-4"/>
                <w:sz w:val="18"/>
                <w:szCs w:val="18"/>
              </w:rPr>
            </w:pPr>
            <w:r w:rsidRPr="004032F4">
              <w:rPr>
                <w:rFonts w:eastAsia="Calibri"/>
                <w:spacing w:val="-4"/>
                <w:sz w:val="18"/>
                <w:szCs w:val="18"/>
              </w:rPr>
              <w:t>1,6</w:t>
            </w:r>
          </w:p>
        </w:tc>
      </w:tr>
      <w:tr w:rsidR="000D4368" w:rsidRPr="004032F4" w14:paraId="3F6CD8D8" w14:textId="77777777" w:rsidTr="000D4368">
        <w:trPr>
          <w:trHeight w:val="199"/>
          <w:jc w:val="center"/>
        </w:trPr>
        <w:tc>
          <w:tcPr>
            <w:tcW w:w="3822" w:type="dxa"/>
          </w:tcPr>
          <w:p w14:paraId="04B38D39" w14:textId="5218B997" w:rsidR="000D4368" w:rsidRPr="004032F4" w:rsidRDefault="000D4368" w:rsidP="000D4368">
            <w:pPr>
              <w:spacing w:before="40"/>
              <w:ind w:left="-57" w:right="-113"/>
              <w:rPr>
                <w:rFonts w:eastAsia="Calibri"/>
                <w:spacing w:val="-4"/>
                <w:sz w:val="18"/>
                <w:szCs w:val="18"/>
              </w:rPr>
            </w:pPr>
            <w:r w:rsidRPr="004032F4">
              <w:rPr>
                <w:rFonts w:eastAsia="Calibri"/>
                <w:spacing w:val="-4"/>
                <w:sz w:val="18"/>
                <w:szCs w:val="18"/>
              </w:rPr>
              <w:t>штрафы, санкции, возмещение ущерба</w:t>
            </w:r>
          </w:p>
        </w:tc>
        <w:tc>
          <w:tcPr>
            <w:tcW w:w="1417" w:type="dxa"/>
          </w:tcPr>
          <w:p w14:paraId="4C578882" w14:textId="2ED17CD3" w:rsidR="000D4368" w:rsidRPr="004032F4" w:rsidRDefault="000D4368" w:rsidP="000D4368">
            <w:pPr>
              <w:spacing w:before="40"/>
              <w:jc w:val="center"/>
              <w:rPr>
                <w:rFonts w:eastAsia="Calibri"/>
                <w:spacing w:val="-4"/>
                <w:sz w:val="18"/>
                <w:szCs w:val="18"/>
              </w:rPr>
            </w:pPr>
            <w:r w:rsidRPr="004032F4">
              <w:rPr>
                <w:rFonts w:eastAsia="Calibri"/>
                <w:spacing w:val="-4"/>
                <w:sz w:val="18"/>
                <w:szCs w:val="18"/>
              </w:rPr>
              <w:t>3 550,6</w:t>
            </w:r>
          </w:p>
        </w:tc>
        <w:tc>
          <w:tcPr>
            <w:tcW w:w="1418" w:type="dxa"/>
            <w:vAlign w:val="bottom"/>
          </w:tcPr>
          <w:p w14:paraId="773D838B" w14:textId="0A486797" w:rsidR="000D4368" w:rsidRPr="004032F4" w:rsidRDefault="000D4368" w:rsidP="000D4368">
            <w:pPr>
              <w:spacing w:before="40"/>
              <w:jc w:val="center"/>
              <w:rPr>
                <w:rFonts w:eastAsia="Calibri"/>
                <w:spacing w:val="-4"/>
                <w:sz w:val="18"/>
                <w:szCs w:val="18"/>
              </w:rPr>
            </w:pPr>
            <w:r w:rsidRPr="004032F4">
              <w:rPr>
                <w:rFonts w:eastAsia="Calibri"/>
                <w:spacing w:val="-4"/>
                <w:sz w:val="18"/>
                <w:szCs w:val="18"/>
              </w:rPr>
              <w:t>2 747,3</w:t>
            </w:r>
          </w:p>
        </w:tc>
        <w:tc>
          <w:tcPr>
            <w:tcW w:w="1417" w:type="dxa"/>
            <w:vAlign w:val="bottom"/>
          </w:tcPr>
          <w:p w14:paraId="0DEC6269" w14:textId="3997E3F8" w:rsidR="000D4368" w:rsidRPr="004032F4" w:rsidRDefault="000D4368" w:rsidP="000D4368">
            <w:pPr>
              <w:spacing w:before="40"/>
              <w:jc w:val="center"/>
              <w:rPr>
                <w:rFonts w:eastAsia="Calibri"/>
                <w:spacing w:val="-4"/>
                <w:sz w:val="18"/>
                <w:szCs w:val="18"/>
              </w:rPr>
            </w:pPr>
            <w:r w:rsidRPr="004032F4">
              <w:rPr>
                <w:rFonts w:eastAsia="Calibri"/>
                <w:spacing w:val="-4"/>
                <w:sz w:val="18"/>
                <w:szCs w:val="18"/>
              </w:rPr>
              <w:t>2 760,3</w:t>
            </w:r>
          </w:p>
        </w:tc>
        <w:tc>
          <w:tcPr>
            <w:tcW w:w="1270" w:type="dxa"/>
            <w:vAlign w:val="bottom"/>
          </w:tcPr>
          <w:p w14:paraId="408813D0" w14:textId="6105CAC9" w:rsidR="000D4368" w:rsidRPr="004032F4" w:rsidRDefault="000D4368" w:rsidP="000D4368">
            <w:pPr>
              <w:spacing w:before="40"/>
              <w:jc w:val="center"/>
              <w:rPr>
                <w:rFonts w:eastAsia="Calibri"/>
                <w:spacing w:val="-4"/>
                <w:sz w:val="18"/>
                <w:szCs w:val="18"/>
              </w:rPr>
            </w:pPr>
            <w:r w:rsidRPr="004032F4">
              <w:rPr>
                <w:rFonts w:eastAsia="Calibri"/>
                <w:spacing w:val="-4"/>
                <w:sz w:val="18"/>
                <w:szCs w:val="18"/>
              </w:rPr>
              <w:t>2 772,7</w:t>
            </w:r>
          </w:p>
        </w:tc>
      </w:tr>
      <w:tr w:rsidR="000D4368" w:rsidRPr="004032F4" w14:paraId="07E5A09D" w14:textId="77777777" w:rsidTr="000D4368">
        <w:trPr>
          <w:trHeight w:val="199"/>
          <w:jc w:val="center"/>
        </w:trPr>
        <w:tc>
          <w:tcPr>
            <w:tcW w:w="3822" w:type="dxa"/>
          </w:tcPr>
          <w:p w14:paraId="0A4F6AF2" w14:textId="777B78F7" w:rsidR="000D4368" w:rsidRPr="004032F4" w:rsidRDefault="000D4368" w:rsidP="000D4368">
            <w:pPr>
              <w:spacing w:before="40"/>
              <w:ind w:left="-57" w:right="-113"/>
              <w:rPr>
                <w:rFonts w:eastAsia="Calibri"/>
                <w:spacing w:val="-4"/>
                <w:sz w:val="18"/>
                <w:szCs w:val="18"/>
              </w:rPr>
            </w:pPr>
            <w:r w:rsidRPr="004032F4">
              <w:rPr>
                <w:rFonts w:eastAsia="Calibri"/>
                <w:spacing w:val="-4"/>
                <w:sz w:val="18"/>
                <w:szCs w:val="18"/>
              </w:rPr>
              <w:t>прочие неналоговые доходы</w:t>
            </w:r>
          </w:p>
        </w:tc>
        <w:tc>
          <w:tcPr>
            <w:tcW w:w="1417" w:type="dxa"/>
          </w:tcPr>
          <w:p w14:paraId="23C66CA7" w14:textId="5E58AA93" w:rsidR="000D4368" w:rsidRPr="004032F4" w:rsidRDefault="000D4368" w:rsidP="000D4368">
            <w:pPr>
              <w:spacing w:before="40"/>
              <w:jc w:val="center"/>
              <w:rPr>
                <w:rFonts w:eastAsia="Calibri"/>
                <w:spacing w:val="-4"/>
                <w:sz w:val="18"/>
                <w:szCs w:val="18"/>
              </w:rPr>
            </w:pPr>
            <w:r w:rsidRPr="004032F4">
              <w:rPr>
                <w:rFonts w:eastAsia="Calibri"/>
                <w:spacing w:val="-4"/>
                <w:sz w:val="18"/>
                <w:szCs w:val="18"/>
                <w:lang w:val="en-US"/>
              </w:rPr>
              <w:t>&lt;0</w:t>
            </w:r>
            <w:r w:rsidRPr="004032F4">
              <w:rPr>
                <w:rFonts w:eastAsia="Calibri"/>
                <w:spacing w:val="-4"/>
                <w:sz w:val="18"/>
                <w:szCs w:val="18"/>
              </w:rPr>
              <w:t>,</w:t>
            </w:r>
            <w:r w:rsidRPr="004032F4">
              <w:rPr>
                <w:rFonts w:eastAsia="Calibri"/>
                <w:spacing w:val="-4"/>
                <w:sz w:val="18"/>
                <w:szCs w:val="18"/>
                <w:lang w:val="en-US"/>
              </w:rPr>
              <w:t>0001</w:t>
            </w:r>
          </w:p>
        </w:tc>
        <w:tc>
          <w:tcPr>
            <w:tcW w:w="1418" w:type="dxa"/>
            <w:vAlign w:val="bottom"/>
          </w:tcPr>
          <w:p w14:paraId="0E4318FD" w14:textId="30060B81" w:rsidR="000D4368" w:rsidRPr="004032F4" w:rsidRDefault="000D4368" w:rsidP="000D4368">
            <w:pPr>
              <w:spacing w:before="40"/>
              <w:jc w:val="center"/>
              <w:rPr>
                <w:rFonts w:eastAsia="Calibri"/>
                <w:spacing w:val="-4"/>
                <w:sz w:val="18"/>
                <w:szCs w:val="18"/>
              </w:rPr>
            </w:pPr>
            <w:r w:rsidRPr="004032F4">
              <w:rPr>
                <w:rFonts w:eastAsia="Calibri"/>
                <w:spacing w:val="-4"/>
                <w:sz w:val="18"/>
                <w:szCs w:val="18"/>
              </w:rPr>
              <w:t>1,0</w:t>
            </w:r>
          </w:p>
        </w:tc>
        <w:tc>
          <w:tcPr>
            <w:tcW w:w="1417" w:type="dxa"/>
            <w:vAlign w:val="bottom"/>
          </w:tcPr>
          <w:p w14:paraId="3F225EFA" w14:textId="2C016FBD" w:rsidR="000D4368" w:rsidRPr="004032F4" w:rsidRDefault="000D4368" w:rsidP="000D4368">
            <w:pPr>
              <w:spacing w:before="40"/>
              <w:jc w:val="center"/>
              <w:rPr>
                <w:rFonts w:eastAsia="Calibri"/>
                <w:spacing w:val="-4"/>
                <w:sz w:val="18"/>
                <w:szCs w:val="18"/>
              </w:rPr>
            </w:pPr>
            <w:r w:rsidRPr="004032F4">
              <w:rPr>
                <w:rFonts w:eastAsia="Calibri"/>
                <w:spacing w:val="-4"/>
                <w:sz w:val="18"/>
                <w:szCs w:val="18"/>
              </w:rPr>
              <w:t>1,0</w:t>
            </w:r>
          </w:p>
        </w:tc>
        <w:tc>
          <w:tcPr>
            <w:tcW w:w="1270" w:type="dxa"/>
            <w:vAlign w:val="bottom"/>
          </w:tcPr>
          <w:p w14:paraId="24A27816" w14:textId="4E28631A" w:rsidR="000D4368" w:rsidRPr="004032F4" w:rsidRDefault="000D4368" w:rsidP="000D4368">
            <w:pPr>
              <w:spacing w:before="40"/>
              <w:jc w:val="center"/>
              <w:rPr>
                <w:rFonts w:eastAsia="Calibri"/>
                <w:spacing w:val="-4"/>
                <w:sz w:val="18"/>
                <w:szCs w:val="18"/>
              </w:rPr>
            </w:pPr>
            <w:r w:rsidRPr="004032F4">
              <w:rPr>
                <w:rFonts w:eastAsia="Calibri"/>
                <w:spacing w:val="-4"/>
                <w:sz w:val="18"/>
                <w:szCs w:val="18"/>
              </w:rPr>
              <w:t>1,0</w:t>
            </w:r>
          </w:p>
        </w:tc>
      </w:tr>
    </w:tbl>
    <w:p w14:paraId="38851BCC" w14:textId="5E8A98B2" w:rsidR="00122DFB" w:rsidRDefault="002C5B62" w:rsidP="00484330">
      <w:pPr>
        <w:widowControl w:val="0"/>
        <w:spacing w:before="120" w:after="0" w:line="240" w:lineRule="auto"/>
        <w:ind w:firstLine="709"/>
        <w:jc w:val="both"/>
        <w:rPr>
          <w:rFonts w:ascii="Times New Roman" w:eastAsia="Calibri" w:hAnsi="Times New Roman" w:cs="Times New Roman"/>
          <w:sz w:val="28"/>
        </w:rPr>
      </w:pPr>
      <w:r w:rsidRPr="004032F4">
        <w:rPr>
          <w:rFonts w:ascii="Times New Roman" w:eastAsia="Calibri" w:hAnsi="Times New Roman" w:cs="Times New Roman"/>
          <w:sz w:val="28"/>
        </w:rPr>
        <w:t xml:space="preserve">Из представленной таблицы видно, что неналоговые доходы прогнозируются в целом со снижением к предыдущему году. </w:t>
      </w:r>
      <w:r w:rsidR="00122DFB" w:rsidRPr="004032F4">
        <w:rPr>
          <w:rFonts w:ascii="Times New Roman" w:eastAsia="Calibri" w:hAnsi="Times New Roman" w:cs="Times New Roman"/>
          <w:sz w:val="28"/>
        </w:rPr>
        <w:t xml:space="preserve">В структуре </w:t>
      </w:r>
      <w:r w:rsidR="00E54E09" w:rsidRPr="004032F4">
        <w:rPr>
          <w:rFonts w:ascii="Times New Roman" w:eastAsia="Calibri" w:hAnsi="Times New Roman" w:cs="Times New Roman"/>
          <w:sz w:val="28"/>
        </w:rPr>
        <w:t xml:space="preserve">налоговых и неналоговых </w:t>
      </w:r>
      <w:r w:rsidR="00122DFB" w:rsidRPr="004032F4">
        <w:rPr>
          <w:rFonts w:ascii="Times New Roman" w:eastAsia="Calibri" w:hAnsi="Times New Roman" w:cs="Times New Roman"/>
          <w:sz w:val="28"/>
        </w:rPr>
        <w:t xml:space="preserve">доходов бюджета области доля неналоговых доходов составляет незначительную часть, </w:t>
      </w:r>
      <w:r w:rsidR="00445D5A" w:rsidRPr="004032F4">
        <w:rPr>
          <w:rFonts w:ascii="Times New Roman" w:eastAsia="Calibri" w:hAnsi="Times New Roman" w:cs="Times New Roman"/>
          <w:sz w:val="28"/>
        </w:rPr>
        <w:t xml:space="preserve">которая </w:t>
      </w:r>
      <w:r w:rsidR="00122DFB" w:rsidRPr="004032F4">
        <w:rPr>
          <w:rFonts w:ascii="Times New Roman" w:eastAsia="Calibri" w:hAnsi="Times New Roman" w:cs="Times New Roman"/>
          <w:sz w:val="28"/>
        </w:rPr>
        <w:t xml:space="preserve">из года в год снижается: </w:t>
      </w:r>
      <w:r w:rsidR="00E54E09" w:rsidRPr="004032F4">
        <w:rPr>
          <w:rFonts w:ascii="Times New Roman" w:eastAsia="Calibri" w:hAnsi="Times New Roman" w:cs="Times New Roman"/>
          <w:sz w:val="28"/>
        </w:rPr>
        <w:t xml:space="preserve">с </w:t>
      </w:r>
      <w:r w:rsidR="00E11FF5" w:rsidRPr="004032F4">
        <w:rPr>
          <w:rFonts w:ascii="Times New Roman" w:eastAsia="Calibri" w:hAnsi="Times New Roman" w:cs="Times New Roman"/>
          <w:sz w:val="28"/>
        </w:rPr>
        <w:t>4</w:t>
      </w:r>
      <w:r w:rsidR="00E54E09" w:rsidRPr="004032F4">
        <w:rPr>
          <w:rFonts w:ascii="Times New Roman" w:eastAsia="Calibri" w:hAnsi="Times New Roman" w:cs="Times New Roman"/>
          <w:sz w:val="28"/>
        </w:rPr>
        <w:t>,</w:t>
      </w:r>
      <w:r w:rsidR="001473CC" w:rsidRPr="004032F4">
        <w:rPr>
          <w:rFonts w:ascii="Times New Roman" w:eastAsia="Calibri" w:hAnsi="Times New Roman" w:cs="Times New Roman"/>
          <w:sz w:val="28"/>
        </w:rPr>
        <w:t>8</w:t>
      </w:r>
      <w:r w:rsidR="00E54E09" w:rsidRPr="004032F4">
        <w:rPr>
          <w:rFonts w:ascii="Times New Roman" w:eastAsia="Calibri" w:hAnsi="Times New Roman" w:cs="Times New Roman"/>
          <w:sz w:val="28"/>
        </w:rPr>
        <w:t>% (</w:t>
      </w:r>
      <w:r w:rsidR="00122DFB" w:rsidRPr="004032F4">
        <w:rPr>
          <w:rFonts w:ascii="Times New Roman" w:eastAsia="Calibri" w:hAnsi="Times New Roman" w:cs="Times New Roman"/>
          <w:sz w:val="28"/>
        </w:rPr>
        <w:t>по оценке исполнения в 202</w:t>
      </w:r>
      <w:r w:rsidR="00E11FF5" w:rsidRPr="004032F4">
        <w:rPr>
          <w:rFonts w:ascii="Times New Roman" w:eastAsia="Calibri" w:hAnsi="Times New Roman" w:cs="Times New Roman"/>
          <w:sz w:val="28"/>
        </w:rPr>
        <w:t>4</w:t>
      </w:r>
      <w:r w:rsidR="00122DFB" w:rsidRPr="004032F4">
        <w:rPr>
          <w:rFonts w:ascii="Times New Roman" w:eastAsia="Calibri" w:hAnsi="Times New Roman" w:cs="Times New Roman"/>
          <w:sz w:val="28"/>
        </w:rPr>
        <w:t xml:space="preserve"> году</w:t>
      </w:r>
      <w:r w:rsidR="00E54E09" w:rsidRPr="004032F4">
        <w:rPr>
          <w:rFonts w:ascii="Times New Roman" w:eastAsia="Calibri" w:hAnsi="Times New Roman" w:cs="Times New Roman"/>
          <w:sz w:val="28"/>
        </w:rPr>
        <w:t xml:space="preserve">) до </w:t>
      </w:r>
      <w:r w:rsidR="00E11FF5" w:rsidRPr="004032F4">
        <w:rPr>
          <w:rFonts w:ascii="Times New Roman" w:eastAsia="Calibri" w:hAnsi="Times New Roman" w:cs="Times New Roman"/>
          <w:sz w:val="28"/>
        </w:rPr>
        <w:t>2,</w:t>
      </w:r>
      <w:r w:rsidR="001473CC" w:rsidRPr="004032F4">
        <w:rPr>
          <w:rFonts w:ascii="Times New Roman" w:eastAsia="Calibri" w:hAnsi="Times New Roman" w:cs="Times New Roman"/>
          <w:sz w:val="28"/>
        </w:rPr>
        <w:t>2</w:t>
      </w:r>
      <w:r w:rsidR="00E54E09" w:rsidRPr="004032F4">
        <w:rPr>
          <w:rFonts w:ascii="Times New Roman" w:eastAsia="Calibri" w:hAnsi="Times New Roman" w:cs="Times New Roman"/>
          <w:sz w:val="28"/>
        </w:rPr>
        <w:t>%</w:t>
      </w:r>
      <w:r w:rsidR="00122DFB" w:rsidRPr="004032F4">
        <w:rPr>
          <w:rFonts w:ascii="Times New Roman" w:eastAsia="Calibri" w:hAnsi="Times New Roman" w:cs="Times New Roman"/>
          <w:sz w:val="28"/>
        </w:rPr>
        <w:t xml:space="preserve"> </w:t>
      </w:r>
      <w:r w:rsidR="00D235F6" w:rsidRPr="004032F4">
        <w:rPr>
          <w:rFonts w:ascii="Times New Roman" w:eastAsia="Calibri" w:hAnsi="Times New Roman" w:cs="Times New Roman"/>
          <w:sz w:val="28"/>
        </w:rPr>
        <w:t>(</w:t>
      </w:r>
      <w:r w:rsidR="00122DFB" w:rsidRPr="004032F4">
        <w:rPr>
          <w:rFonts w:ascii="Times New Roman" w:eastAsia="Calibri" w:hAnsi="Times New Roman" w:cs="Times New Roman"/>
          <w:sz w:val="28"/>
        </w:rPr>
        <w:t xml:space="preserve">в </w:t>
      </w:r>
      <w:r w:rsidR="00933509" w:rsidRPr="004032F4">
        <w:rPr>
          <w:rFonts w:ascii="Times New Roman" w:eastAsia="Calibri" w:hAnsi="Times New Roman" w:cs="Times New Roman"/>
          <w:sz w:val="28"/>
        </w:rPr>
        <w:t>2027</w:t>
      </w:r>
      <w:r w:rsidR="00122DFB" w:rsidRPr="004032F4">
        <w:rPr>
          <w:rFonts w:ascii="Times New Roman" w:eastAsia="Calibri" w:hAnsi="Times New Roman" w:cs="Times New Roman"/>
          <w:sz w:val="28"/>
        </w:rPr>
        <w:t xml:space="preserve"> году</w:t>
      </w:r>
      <w:r w:rsidR="00D235F6" w:rsidRPr="004032F4">
        <w:rPr>
          <w:rFonts w:ascii="Times New Roman" w:eastAsia="Calibri" w:hAnsi="Times New Roman" w:cs="Times New Roman"/>
          <w:sz w:val="28"/>
        </w:rPr>
        <w:t>)</w:t>
      </w:r>
      <w:r w:rsidR="00122DFB" w:rsidRPr="004032F4">
        <w:rPr>
          <w:rFonts w:ascii="Times New Roman" w:eastAsia="Calibri" w:hAnsi="Times New Roman" w:cs="Times New Roman"/>
          <w:sz w:val="28"/>
        </w:rPr>
        <w:t>.</w:t>
      </w:r>
    </w:p>
    <w:p w14:paraId="47D7A7B0" w14:textId="0A294481" w:rsidR="00BB7024" w:rsidRPr="004032F4" w:rsidRDefault="00BB7024" w:rsidP="00484330">
      <w:pPr>
        <w:widowControl w:val="0"/>
        <w:spacing w:before="120" w:after="0" w:line="240" w:lineRule="auto"/>
        <w:ind w:firstLine="709"/>
        <w:jc w:val="both"/>
        <w:rPr>
          <w:rFonts w:ascii="Times New Roman" w:eastAsia="Times New Roman" w:hAnsi="Times New Roman" w:cs="Times New Roman"/>
          <w:sz w:val="28"/>
          <w:szCs w:val="28"/>
          <w:lang w:eastAsia="ru-RU"/>
        </w:rPr>
      </w:pPr>
      <w:r w:rsidRPr="007E0556">
        <w:rPr>
          <w:rFonts w:ascii="Times New Roman" w:eastAsia="Times New Roman" w:hAnsi="Times New Roman" w:cs="Times New Roman"/>
          <w:sz w:val="28"/>
          <w:szCs w:val="28"/>
          <w:lang w:eastAsia="ru-RU"/>
        </w:rPr>
        <w:t>Доходы от операций по управлению остатками средств на едином казначейском счете не является прогнозируемым показателем. Вместе с тем, динамика предыдущих лет показывает, что в бюджет области поступает порядка 1,0-1,5 млрд. рублей по этому доходному источнику.</w:t>
      </w:r>
    </w:p>
    <w:p w14:paraId="17AC3F6C" w14:textId="79C27DA3" w:rsidR="0000546A" w:rsidRPr="004032F4" w:rsidRDefault="00C51AEF" w:rsidP="00FB7390">
      <w:pPr>
        <w:spacing w:after="0" w:line="240" w:lineRule="auto"/>
        <w:ind w:firstLine="709"/>
        <w:jc w:val="both"/>
        <w:rPr>
          <w:rFonts w:ascii="Times New Roman" w:eastAsia="Calibri" w:hAnsi="Times New Roman" w:cs="Times New Roman"/>
          <w:spacing w:val="-4"/>
          <w:sz w:val="28"/>
          <w:szCs w:val="28"/>
        </w:rPr>
      </w:pPr>
      <w:r w:rsidRPr="004032F4">
        <w:rPr>
          <w:rFonts w:ascii="Times New Roman" w:eastAsia="Calibri" w:hAnsi="Times New Roman" w:cs="Times New Roman"/>
          <w:spacing w:val="-4"/>
          <w:sz w:val="28"/>
          <w:szCs w:val="28"/>
        </w:rPr>
        <w:t xml:space="preserve">Неналоговые доходы </w:t>
      </w:r>
      <w:r w:rsidR="00020592" w:rsidRPr="004032F4">
        <w:rPr>
          <w:rFonts w:ascii="Times New Roman" w:eastAsia="Calibri" w:hAnsi="Times New Roman" w:cs="Times New Roman"/>
          <w:spacing w:val="-4"/>
          <w:sz w:val="28"/>
          <w:szCs w:val="28"/>
        </w:rPr>
        <w:t xml:space="preserve">на </w:t>
      </w:r>
      <w:r w:rsidR="00933509" w:rsidRPr="004032F4">
        <w:rPr>
          <w:rFonts w:ascii="Times New Roman" w:eastAsia="Calibri" w:hAnsi="Times New Roman" w:cs="Times New Roman"/>
          <w:spacing w:val="-4"/>
          <w:sz w:val="28"/>
          <w:szCs w:val="28"/>
        </w:rPr>
        <w:t>2025</w:t>
      </w:r>
      <w:r w:rsidR="00020592" w:rsidRPr="004032F4">
        <w:rPr>
          <w:rFonts w:ascii="Times New Roman" w:eastAsia="Calibri" w:hAnsi="Times New Roman" w:cs="Times New Roman"/>
          <w:spacing w:val="-4"/>
          <w:sz w:val="28"/>
          <w:szCs w:val="28"/>
        </w:rPr>
        <w:t>–</w:t>
      </w:r>
      <w:r w:rsidR="00933509" w:rsidRPr="004032F4">
        <w:rPr>
          <w:rFonts w:ascii="Times New Roman" w:eastAsia="Calibri" w:hAnsi="Times New Roman" w:cs="Times New Roman"/>
          <w:spacing w:val="-4"/>
          <w:sz w:val="28"/>
          <w:szCs w:val="28"/>
        </w:rPr>
        <w:t>2027</w:t>
      </w:r>
      <w:r w:rsidR="00020592" w:rsidRPr="004032F4">
        <w:rPr>
          <w:rFonts w:ascii="Times New Roman" w:eastAsia="Calibri" w:hAnsi="Times New Roman" w:cs="Times New Roman"/>
          <w:spacing w:val="-4"/>
          <w:sz w:val="28"/>
          <w:szCs w:val="28"/>
        </w:rPr>
        <w:t xml:space="preserve"> годы </w:t>
      </w:r>
      <w:r w:rsidR="007A13D0" w:rsidRPr="004032F4">
        <w:rPr>
          <w:rFonts w:ascii="Times New Roman" w:hAnsi="Times New Roman" w:cs="Times New Roman"/>
          <w:spacing w:val="-4"/>
          <w:sz w:val="28"/>
          <w:szCs w:val="28"/>
        </w:rPr>
        <w:t xml:space="preserve">более чем </w:t>
      </w:r>
      <w:r w:rsidRPr="004032F4">
        <w:rPr>
          <w:rFonts w:ascii="Times New Roman" w:eastAsia="Calibri" w:hAnsi="Times New Roman" w:cs="Times New Roman"/>
          <w:spacing w:val="-4"/>
          <w:sz w:val="28"/>
          <w:szCs w:val="28"/>
        </w:rPr>
        <w:t>на 8</w:t>
      </w:r>
      <w:r w:rsidR="00E11FF5" w:rsidRPr="004032F4">
        <w:rPr>
          <w:rFonts w:ascii="Times New Roman" w:eastAsia="Calibri" w:hAnsi="Times New Roman" w:cs="Times New Roman"/>
          <w:spacing w:val="-4"/>
          <w:sz w:val="28"/>
          <w:szCs w:val="28"/>
        </w:rPr>
        <w:t>8</w:t>
      </w:r>
      <w:r w:rsidRPr="004032F4">
        <w:rPr>
          <w:rFonts w:ascii="Times New Roman" w:eastAsia="Calibri" w:hAnsi="Times New Roman" w:cs="Times New Roman"/>
          <w:spacing w:val="-4"/>
          <w:sz w:val="28"/>
          <w:szCs w:val="28"/>
        </w:rPr>
        <w:t>% сформированы за счет штрафов, санкций и возмещения ущерба</w:t>
      </w:r>
      <w:r w:rsidR="000D4368" w:rsidRPr="004032F4">
        <w:rPr>
          <w:rFonts w:ascii="Times New Roman" w:eastAsia="Calibri" w:hAnsi="Times New Roman" w:cs="Times New Roman"/>
          <w:spacing w:val="-4"/>
          <w:sz w:val="28"/>
          <w:szCs w:val="28"/>
        </w:rPr>
        <w:t>, их доля в</w:t>
      </w:r>
      <w:r w:rsidRPr="004032F4">
        <w:rPr>
          <w:rFonts w:ascii="Times New Roman" w:eastAsia="Calibri" w:hAnsi="Times New Roman" w:cs="Times New Roman"/>
          <w:spacing w:val="-4"/>
          <w:sz w:val="28"/>
          <w:szCs w:val="28"/>
        </w:rPr>
        <w:t xml:space="preserve"> </w:t>
      </w:r>
      <w:r w:rsidR="000D4368" w:rsidRPr="004032F4">
        <w:rPr>
          <w:rFonts w:ascii="Times New Roman" w:eastAsia="Calibri" w:hAnsi="Times New Roman" w:cs="Times New Roman"/>
          <w:spacing w:val="-4"/>
          <w:sz w:val="28"/>
          <w:szCs w:val="28"/>
        </w:rPr>
        <w:t>объеме неналоговых доходов составит в 2025, 2026, 2027 годах</w:t>
      </w:r>
      <w:r w:rsidRPr="004032F4">
        <w:rPr>
          <w:rFonts w:ascii="Times New Roman" w:eastAsia="Calibri" w:hAnsi="Times New Roman" w:cs="Times New Roman"/>
          <w:spacing w:val="-4"/>
          <w:sz w:val="28"/>
          <w:szCs w:val="28"/>
        </w:rPr>
        <w:t xml:space="preserve"> соответственно </w:t>
      </w:r>
      <w:r w:rsidR="000D4368" w:rsidRPr="004032F4">
        <w:rPr>
          <w:rFonts w:ascii="Times New Roman" w:eastAsia="Calibri" w:hAnsi="Times New Roman" w:cs="Times New Roman"/>
          <w:spacing w:val="-4"/>
          <w:sz w:val="28"/>
          <w:szCs w:val="28"/>
        </w:rPr>
        <w:t>88,3%, 88,5%, 88,7%.</w:t>
      </w:r>
    </w:p>
    <w:p w14:paraId="28633ED1" w14:textId="77777777" w:rsidR="000D4368" w:rsidRPr="004032F4" w:rsidRDefault="000D4368" w:rsidP="0014120D">
      <w:pPr>
        <w:spacing w:before="120" w:after="0" w:line="240" w:lineRule="auto"/>
        <w:ind w:firstLine="709"/>
        <w:jc w:val="both"/>
        <w:rPr>
          <w:rFonts w:ascii="Times New Roman" w:eastAsia="Calibri" w:hAnsi="Times New Roman" w:cs="Times New Roman"/>
          <w:spacing w:val="-4"/>
          <w:sz w:val="28"/>
          <w:szCs w:val="28"/>
        </w:rPr>
      </w:pPr>
      <w:r w:rsidRPr="004032F4">
        <w:rPr>
          <w:rFonts w:ascii="Times New Roman" w:eastAsia="Calibri" w:hAnsi="Times New Roman" w:cs="Times New Roman"/>
          <w:spacing w:val="-4"/>
          <w:sz w:val="28"/>
          <w:szCs w:val="28"/>
        </w:rPr>
        <w:t xml:space="preserve">Доля </w:t>
      </w:r>
      <w:r w:rsidR="0014120D" w:rsidRPr="004032F4">
        <w:rPr>
          <w:rFonts w:ascii="Times New Roman" w:eastAsia="Calibri" w:hAnsi="Times New Roman" w:cs="Times New Roman"/>
          <w:spacing w:val="-4"/>
          <w:sz w:val="28"/>
          <w:szCs w:val="28"/>
        </w:rPr>
        <w:t>доходов от использования имущества и доходов от продажи материальных и нематериальных активов</w:t>
      </w:r>
      <w:r w:rsidRPr="004032F4">
        <w:rPr>
          <w:rFonts w:ascii="Times New Roman" w:eastAsia="Calibri" w:hAnsi="Times New Roman" w:cs="Times New Roman"/>
          <w:spacing w:val="-4"/>
          <w:sz w:val="28"/>
          <w:szCs w:val="28"/>
        </w:rPr>
        <w:t xml:space="preserve"> в 2025, 2026, 2027 годах составит соответственно 1,8%, 1,7%, 1,8% от объема неналоговых доходов</w:t>
      </w:r>
      <w:r w:rsidR="0014120D" w:rsidRPr="004032F4">
        <w:rPr>
          <w:rFonts w:ascii="Times New Roman" w:eastAsia="Calibri" w:hAnsi="Times New Roman" w:cs="Times New Roman"/>
          <w:spacing w:val="-4"/>
          <w:sz w:val="28"/>
          <w:szCs w:val="28"/>
        </w:rPr>
        <w:t xml:space="preserve">. </w:t>
      </w:r>
    </w:p>
    <w:p w14:paraId="050500A0" w14:textId="25B8B0CD" w:rsidR="00697211" w:rsidRPr="004032F4" w:rsidRDefault="00697211" w:rsidP="00697211">
      <w:pPr>
        <w:spacing w:before="120" w:after="0" w:line="240" w:lineRule="auto"/>
        <w:ind w:firstLine="709"/>
        <w:jc w:val="both"/>
        <w:rPr>
          <w:rFonts w:ascii="Times New Roman" w:eastAsia="Calibri" w:hAnsi="Times New Roman" w:cs="Times New Roman"/>
          <w:spacing w:val="-4"/>
          <w:sz w:val="28"/>
          <w:szCs w:val="28"/>
        </w:rPr>
      </w:pPr>
      <w:r w:rsidRPr="004032F4">
        <w:rPr>
          <w:rFonts w:ascii="Times New Roman" w:eastAsia="Calibri" w:hAnsi="Times New Roman" w:cs="Times New Roman"/>
          <w:spacing w:val="-4"/>
          <w:sz w:val="28"/>
          <w:szCs w:val="28"/>
        </w:rPr>
        <w:t xml:space="preserve">Так, объем доходов от использования имущества и доходов от продажи материальных и нематериальных активов в объеме неналоговых доходов по оценке исполнения бюджета в 2024 году составит 66,6 млн. рублей. Согласно </w:t>
      </w:r>
      <w:r w:rsidRPr="004032F4">
        <w:rPr>
          <w:rFonts w:ascii="Times New Roman" w:eastAsia="Calibri" w:hAnsi="Times New Roman" w:cs="Times New Roman"/>
          <w:spacing w:val="-4"/>
          <w:sz w:val="28"/>
          <w:szCs w:val="28"/>
        </w:rPr>
        <w:lastRenderedPageBreak/>
        <w:t>проекту бюджета, в 2025 году объем указанных доходов составит 56,8 млн. рублей, в том числе: доходы от использования имущества – 51,6 млн. рублей</w:t>
      </w:r>
      <w:r w:rsidRPr="004032F4">
        <w:rPr>
          <w:rFonts w:ascii="Times New Roman" w:eastAsia="Calibri" w:hAnsi="Times New Roman" w:cs="Times New Roman"/>
          <w:spacing w:val="-4"/>
          <w:sz w:val="28"/>
          <w:szCs w:val="28"/>
          <w:vertAlign w:val="superscript"/>
        </w:rPr>
        <w:footnoteReference w:id="9"/>
      </w:r>
      <w:r w:rsidRPr="004032F4">
        <w:rPr>
          <w:rFonts w:ascii="Times New Roman" w:eastAsia="Calibri" w:hAnsi="Times New Roman" w:cs="Times New Roman"/>
          <w:spacing w:val="-4"/>
          <w:sz w:val="28"/>
          <w:szCs w:val="28"/>
        </w:rPr>
        <w:t>; доходы от продажи материальных и нематериальных активов – 5,2 млн. рублей</w:t>
      </w:r>
      <w:r w:rsidRPr="004032F4">
        <w:rPr>
          <w:rFonts w:ascii="Times New Roman" w:eastAsia="Calibri" w:hAnsi="Times New Roman" w:cs="Times New Roman"/>
          <w:spacing w:val="-4"/>
          <w:sz w:val="28"/>
          <w:szCs w:val="28"/>
          <w:vertAlign w:val="superscript"/>
        </w:rPr>
        <w:footnoteReference w:id="10"/>
      </w:r>
      <w:r w:rsidRPr="004032F4">
        <w:rPr>
          <w:rFonts w:ascii="Times New Roman" w:eastAsia="Calibri" w:hAnsi="Times New Roman" w:cs="Times New Roman"/>
          <w:spacing w:val="-4"/>
          <w:sz w:val="28"/>
          <w:szCs w:val="28"/>
        </w:rPr>
        <w:t>. Доли указанных доходов в 2025–2026 годах составят соответственно 1,7% и 0,2%.</w:t>
      </w:r>
    </w:p>
    <w:p w14:paraId="3AB7CEC2" w14:textId="2DAA3A70" w:rsidR="00697211" w:rsidRPr="004032F4" w:rsidRDefault="0036724F" w:rsidP="00F165B8">
      <w:pPr>
        <w:spacing w:after="0" w:line="240" w:lineRule="auto"/>
        <w:ind w:firstLine="709"/>
        <w:jc w:val="both"/>
        <w:rPr>
          <w:rFonts w:ascii="Times New Roman" w:eastAsia="Calibri" w:hAnsi="Times New Roman" w:cs="Times New Roman"/>
          <w:spacing w:val="-4"/>
          <w:sz w:val="28"/>
          <w:szCs w:val="28"/>
        </w:rPr>
      </w:pPr>
      <w:r w:rsidRPr="004032F4">
        <w:rPr>
          <w:rFonts w:ascii="Times New Roman" w:eastAsia="Calibri" w:hAnsi="Times New Roman" w:cs="Times New Roman"/>
          <w:spacing w:val="-4"/>
          <w:sz w:val="28"/>
          <w:szCs w:val="28"/>
        </w:rPr>
        <w:t>Анализ прогнозных поступлений в разрезе подстатей доходов данной подгруппы доход</w:t>
      </w:r>
      <w:r w:rsidR="00614739" w:rsidRPr="004032F4">
        <w:rPr>
          <w:rFonts w:ascii="Times New Roman" w:eastAsia="Calibri" w:hAnsi="Times New Roman" w:cs="Times New Roman"/>
          <w:spacing w:val="-4"/>
          <w:sz w:val="28"/>
          <w:szCs w:val="28"/>
        </w:rPr>
        <w:t>ов</w:t>
      </w:r>
      <w:r w:rsidRPr="004032F4">
        <w:rPr>
          <w:rFonts w:ascii="Times New Roman" w:eastAsia="Calibri" w:hAnsi="Times New Roman" w:cs="Times New Roman"/>
          <w:spacing w:val="-4"/>
          <w:sz w:val="28"/>
          <w:szCs w:val="28"/>
        </w:rPr>
        <w:t xml:space="preserve"> показал, что в</w:t>
      </w:r>
      <w:r w:rsidR="000D4368" w:rsidRPr="004032F4">
        <w:rPr>
          <w:rFonts w:ascii="Times New Roman" w:eastAsia="Calibri" w:hAnsi="Times New Roman" w:cs="Times New Roman"/>
          <w:spacing w:val="-4"/>
          <w:sz w:val="28"/>
          <w:szCs w:val="28"/>
        </w:rPr>
        <w:t xml:space="preserve"> доходах от использования имущества в новом бюджетном цикле </w:t>
      </w:r>
      <w:r w:rsidR="006515A9" w:rsidRPr="004032F4">
        <w:rPr>
          <w:rFonts w:ascii="Times New Roman" w:eastAsia="Calibri" w:hAnsi="Times New Roman" w:cs="Times New Roman"/>
          <w:spacing w:val="-4"/>
          <w:sz w:val="28"/>
          <w:szCs w:val="28"/>
        </w:rPr>
        <w:t xml:space="preserve">не прогнозируются платежи от государственных унитарных предприятий </w:t>
      </w:r>
      <w:r w:rsidR="006515A9" w:rsidRPr="004032F4">
        <w:rPr>
          <w:rFonts w:ascii="Times New Roman" w:eastAsia="Calibri" w:hAnsi="Times New Roman" w:cs="Times New Roman"/>
          <w:spacing w:val="-4"/>
          <w:sz w:val="24"/>
          <w:szCs w:val="24"/>
        </w:rPr>
        <w:t>(в 2024 год</w:t>
      </w:r>
      <w:r w:rsidR="00614739" w:rsidRPr="004032F4">
        <w:rPr>
          <w:rFonts w:ascii="Times New Roman" w:eastAsia="Calibri" w:hAnsi="Times New Roman" w:cs="Times New Roman"/>
          <w:spacing w:val="-4"/>
          <w:sz w:val="24"/>
          <w:szCs w:val="24"/>
        </w:rPr>
        <w:t>у</w:t>
      </w:r>
      <w:r w:rsidR="006515A9" w:rsidRPr="004032F4">
        <w:rPr>
          <w:rFonts w:ascii="Times New Roman" w:eastAsia="Calibri" w:hAnsi="Times New Roman" w:cs="Times New Roman"/>
          <w:spacing w:val="-4"/>
          <w:sz w:val="24"/>
          <w:szCs w:val="24"/>
        </w:rPr>
        <w:t xml:space="preserve"> платежи от государственных унитарных предприятий составили 746,0 тыс. рублей)</w:t>
      </w:r>
      <w:r w:rsidR="006515A9" w:rsidRPr="004032F4">
        <w:rPr>
          <w:rFonts w:ascii="Times New Roman" w:eastAsia="Calibri" w:hAnsi="Times New Roman" w:cs="Times New Roman"/>
          <w:spacing w:val="-4"/>
          <w:sz w:val="28"/>
          <w:szCs w:val="28"/>
        </w:rPr>
        <w:t xml:space="preserve">. Согласно </w:t>
      </w:r>
      <w:proofErr w:type="gramStart"/>
      <w:r w:rsidR="006515A9" w:rsidRPr="004032F4">
        <w:rPr>
          <w:rFonts w:ascii="Times New Roman" w:eastAsia="Calibri" w:hAnsi="Times New Roman" w:cs="Times New Roman"/>
          <w:spacing w:val="-4"/>
          <w:sz w:val="28"/>
          <w:szCs w:val="28"/>
        </w:rPr>
        <w:t>перечн</w:t>
      </w:r>
      <w:r w:rsidR="00614739" w:rsidRPr="004032F4">
        <w:rPr>
          <w:rFonts w:ascii="Times New Roman" w:eastAsia="Calibri" w:hAnsi="Times New Roman" w:cs="Times New Roman"/>
          <w:spacing w:val="-4"/>
          <w:sz w:val="28"/>
          <w:szCs w:val="28"/>
        </w:rPr>
        <w:t>ю</w:t>
      </w:r>
      <w:r w:rsidR="006515A9" w:rsidRPr="004032F4">
        <w:rPr>
          <w:rFonts w:ascii="Times New Roman" w:eastAsia="Calibri" w:hAnsi="Times New Roman" w:cs="Times New Roman"/>
          <w:spacing w:val="-4"/>
          <w:sz w:val="28"/>
          <w:szCs w:val="28"/>
        </w:rPr>
        <w:t xml:space="preserve"> государственных предприятий Тульской области</w:t>
      </w:r>
      <w:proofErr w:type="gramEnd"/>
      <w:r w:rsidR="006515A9" w:rsidRPr="004032F4">
        <w:rPr>
          <w:rFonts w:ascii="Times New Roman" w:eastAsia="Calibri" w:hAnsi="Times New Roman" w:cs="Times New Roman"/>
          <w:spacing w:val="-4"/>
          <w:sz w:val="28"/>
          <w:szCs w:val="28"/>
        </w:rPr>
        <w:t xml:space="preserve"> с основными показателями их деятельности на 2025 год и на плановый период 2026 и 2027 годов </w:t>
      </w:r>
      <w:r w:rsidR="006515A9" w:rsidRPr="004032F4">
        <w:rPr>
          <w:rFonts w:ascii="Times New Roman" w:eastAsia="Calibri" w:hAnsi="Times New Roman" w:cs="Times New Roman"/>
          <w:spacing w:val="-4"/>
          <w:sz w:val="24"/>
          <w:szCs w:val="24"/>
        </w:rPr>
        <w:t>(приложение №15 к Письму Губернатора)</w:t>
      </w:r>
      <w:r w:rsidR="00614739" w:rsidRPr="004032F4">
        <w:rPr>
          <w:rFonts w:ascii="Times New Roman" w:eastAsia="Calibri" w:hAnsi="Times New Roman" w:cs="Times New Roman"/>
          <w:spacing w:val="-4"/>
          <w:sz w:val="24"/>
          <w:szCs w:val="24"/>
        </w:rPr>
        <w:t>,</w:t>
      </w:r>
      <w:r w:rsidR="006515A9" w:rsidRPr="004032F4">
        <w:rPr>
          <w:rFonts w:ascii="Times New Roman" w:eastAsia="Calibri" w:hAnsi="Times New Roman" w:cs="Times New Roman"/>
          <w:spacing w:val="-4"/>
          <w:sz w:val="28"/>
          <w:szCs w:val="28"/>
        </w:rPr>
        <w:t xml:space="preserve"> ГУП </w:t>
      </w:r>
      <w:r w:rsidRPr="004032F4">
        <w:rPr>
          <w:rFonts w:ascii="Times New Roman" w:eastAsia="Calibri" w:hAnsi="Times New Roman" w:cs="Times New Roman"/>
          <w:spacing w:val="-4"/>
          <w:sz w:val="28"/>
          <w:szCs w:val="28"/>
        </w:rPr>
        <w:t xml:space="preserve">ТО «Киреевский ветеринарно-санитарный утилизационный завод» находится в </w:t>
      </w:r>
      <w:r w:rsidR="00614739" w:rsidRPr="004032F4">
        <w:rPr>
          <w:rFonts w:ascii="Times New Roman" w:eastAsia="Calibri" w:hAnsi="Times New Roman" w:cs="Times New Roman"/>
          <w:spacing w:val="-4"/>
          <w:sz w:val="28"/>
          <w:szCs w:val="28"/>
        </w:rPr>
        <w:t>процессе</w:t>
      </w:r>
      <w:r w:rsidRPr="004032F4">
        <w:rPr>
          <w:rFonts w:ascii="Times New Roman" w:eastAsia="Calibri" w:hAnsi="Times New Roman" w:cs="Times New Roman"/>
          <w:spacing w:val="-4"/>
          <w:sz w:val="28"/>
          <w:szCs w:val="28"/>
        </w:rPr>
        <w:t xml:space="preserve"> реорганизации, ГУП ТО «Тула лес» – в </w:t>
      </w:r>
      <w:r w:rsidR="00697211" w:rsidRPr="004032F4">
        <w:rPr>
          <w:rFonts w:ascii="Times New Roman" w:eastAsia="Calibri" w:hAnsi="Times New Roman" w:cs="Times New Roman"/>
          <w:spacing w:val="-4"/>
          <w:sz w:val="28"/>
          <w:szCs w:val="28"/>
        </w:rPr>
        <w:t>процессе</w:t>
      </w:r>
      <w:r w:rsidRPr="004032F4">
        <w:rPr>
          <w:rFonts w:ascii="Times New Roman" w:eastAsia="Calibri" w:hAnsi="Times New Roman" w:cs="Times New Roman"/>
          <w:spacing w:val="-4"/>
          <w:sz w:val="28"/>
          <w:szCs w:val="28"/>
        </w:rPr>
        <w:t xml:space="preserve"> банкротства</w:t>
      </w:r>
      <w:r w:rsidR="00167ACE" w:rsidRPr="004032F4">
        <w:rPr>
          <w:rFonts w:ascii="Times New Roman" w:eastAsia="Calibri" w:hAnsi="Times New Roman" w:cs="Times New Roman"/>
          <w:spacing w:val="-4"/>
          <w:sz w:val="28"/>
          <w:szCs w:val="28"/>
        </w:rPr>
        <w:t>.</w:t>
      </w:r>
      <w:r w:rsidRPr="004032F4">
        <w:rPr>
          <w:rFonts w:ascii="Times New Roman" w:eastAsia="Calibri" w:hAnsi="Times New Roman" w:cs="Times New Roman"/>
          <w:spacing w:val="-4"/>
          <w:sz w:val="28"/>
          <w:szCs w:val="28"/>
        </w:rPr>
        <w:t xml:space="preserve"> </w:t>
      </w:r>
      <w:r w:rsidR="00167ACE" w:rsidRPr="004032F4">
        <w:rPr>
          <w:rFonts w:ascii="Times New Roman" w:eastAsia="Calibri" w:hAnsi="Times New Roman" w:cs="Times New Roman"/>
          <w:spacing w:val="-4"/>
          <w:sz w:val="28"/>
          <w:szCs w:val="28"/>
        </w:rPr>
        <w:t xml:space="preserve">В 2024 году и предыдущие 5 лет в бюджет области указанные </w:t>
      </w:r>
      <w:r w:rsidR="00B813AA" w:rsidRPr="004032F4">
        <w:rPr>
          <w:rFonts w:ascii="Times New Roman" w:eastAsia="Calibri" w:hAnsi="Times New Roman" w:cs="Times New Roman"/>
          <w:spacing w:val="-4"/>
          <w:sz w:val="28"/>
          <w:szCs w:val="28"/>
        </w:rPr>
        <w:t xml:space="preserve">доходы перечислялись от </w:t>
      </w:r>
      <w:r w:rsidRPr="004032F4">
        <w:rPr>
          <w:rFonts w:ascii="Times New Roman" w:eastAsia="Calibri" w:hAnsi="Times New Roman" w:cs="Times New Roman"/>
          <w:spacing w:val="-4"/>
          <w:sz w:val="28"/>
          <w:szCs w:val="28"/>
        </w:rPr>
        <w:t>ГУП «Фармация»</w:t>
      </w:r>
      <w:r w:rsidR="00F165B8" w:rsidRPr="004032F4">
        <w:rPr>
          <w:rFonts w:ascii="Times New Roman" w:eastAsia="Calibri" w:hAnsi="Times New Roman" w:cs="Times New Roman"/>
          <w:spacing w:val="-4"/>
          <w:sz w:val="28"/>
          <w:szCs w:val="28"/>
        </w:rPr>
        <w:t>. В соответствии с Постановлением Правительства Тульской области от 02.04.2024 №144 «О реорганизации Государственного унитарного предприятия Тульской области «Фармация»</w:t>
      </w:r>
      <w:r w:rsidR="00B813AA" w:rsidRPr="004032F4">
        <w:rPr>
          <w:rFonts w:ascii="Times New Roman" w:eastAsia="Calibri" w:hAnsi="Times New Roman" w:cs="Times New Roman"/>
          <w:spacing w:val="-4"/>
          <w:sz w:val="28"/>
          <w:szCs w:val="28"/>
        </w:rPr>
        <w:t>, с 01.10.2024</w:t>
      </w:r>
      <w:r w:rsidR="00697211" w:rsidRPr="004032F4">
        <w:rPr>
          <w:rFonts w:ascii="Times New Roman" w:eastAsia="Calibri" w:hAnsi="Times New Roman" w:cs="Times New Roman"/>
          <w:spacing w:val="-4"/>
          <w:sz w:val="28"/>
          <w:szCs w:val="28"/>
        </w:rPr>
        <w:t xml:space="preserve"> </w:t>
      </w:r>
      <w:r w:rsidR="00F165B8" w:rsidRPr="004032F4">
        <w:rPr>
          <w:rFonts w:ascii="Times New Roman" w:eastAsia="Calibri" w:hAnsi="Times New Roman" w:cs="Times New Roman"/>
          <w:spacing w:val="-4"/>
          <w:sz w:val="28"/>
          <w:szCs w:val="28"/>
        </w:rPr>
        <w:t xml:space="preserve">реорганизовано ГУП «Фармация» в форме </w:t>
      </w:r>
      <w:r w:rsidR="00B813AA" w:rsidRPr="004032F4">
        <w:rPr>
          <w:rFonts w:ascii="Times New Roman" w:eastAsia="Calibri" w:hAnsi="Times New Roman" w:cs="Times New Roman"/>
          <w:spacing w:val="-4"/>
          <w:sz w:val="28"/>
          <w:szCs w:val="28"/>
        </w:rPr>
        <w:t>преобразован</w:t>
      </w:r>
      <w:r w:rsidR="00F165B8" w:rsidRPr="004032F4">
        <w:rPr>
          <w:rFonts w:ascii="Times New Roman" w:eastAsia="Calibri" w:hAnsi="Times New Roman" w:cs="Times New Roman"/>
          <w:spacing w:val="-4"/>
          <w:sz w:val="28"/>
          <w:szCs w:val="28"/>
        </w:rPr>
        <w:t>ия</w:t>
      </w:r>
      <w:r w:rsidR="00B813AA" w:rsidRPr="004032F4">
        <w:rPr>
          <w:rFonts w:ascii="Times New Roman" w:eastAsia="Calibri" w:hAnsi="Times New Roman" w:cs="Times New Roman"/>
          <w:spacing w:val="-4"/>
          <w:sz w:val="28"/>
          <w:szCs w:val="28"/>
        </w:rPr>
        <w:t xml:space="preserve"> в государственное </w:t>
      </w:r>
      <w:r w:rsidR="00B813AA" w:rsidRPr="004032F4">
        <w:rPr>
          <w:rFonts w:ascii="Times New Roman" w:eastAsia="Calibri" w:hAnsi="Times New Roman" w:cs="Times New Roman"/>
          <w:i/>
          <w:spacing w:val="-4"/>
          <w:sz w:val="28"/>
          <w:szCs w:val="28"/>
        </w:rPr>
        <w:t>бюджетное</w:t>
      </w:r>
      <w:r w:rsidR="00B813AA" w:rsidRPr="004032F4">
        <w:rPr>
          <w:rFonts w:ascii="Times New Roman" w:eastAsia="Calibri" w:hAnsi="Times New Roman" w:cs="Times New Roman"/>
          <w:spacing w:val="-4"/>
          <w:sz w:val="28"/>
          <w:szCs w:val="28"/>
        </w:rPr>
        <w:t xml:space="preserve"> учреждение Тульской области.</w:t>
      </w:r>
    </w:p>
    <w:p w14:paraId="44C6F56B" w14:textId="68FD0B13" w:rsidR="00694691" w:rsidRPr="004032F4" w:rsidRDefault="00694691" w:rsidP="00BF49F9">
      <w:pPr>
        <w:spacing w:before="120" w:after="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По результатам анализа представленных расчетов счетная палата отмечает, что в методиках прогнозирования поступлений отдельных неналоговых доходов предусмотрен учет </w:t>
      </w:r>
      <w:r w:rsidRPr="004032F4">
        <w:rPr>
          <w:rFonts w:ascii="Times New Roman" w:eastAsia="Calibri" w:hAnsi="Times New Roman" w:cs="Times New Roman"/>
          <w:i/>
          <w:sz w:val="28"/>
          <w:szCs w:val="28"/>
        </w:rPr>
        <w:t>дебиторской задолженности</w:t>
      </w:r>
      <w:r w:rsidRPr="004032F4">
        <w:rPr>
          <w:rFonts w:ascii="Times New Roman" w:eastAsia="Calibri" w:hAnsi="Times New Roman" w:cs="Times New Roman"/>
          <w:sz w:val="28"/>
          <w:szCs w:val="28"/>
        </w:rPr>
        <w:t xml:space="preserve"> по отдельным неналоговым доходам </w:t>
      </w:r>
      <w:r w:rsidR="00516992" w:rsidRPr="004032F4">
        <w:rPr>
          <w:rFonts w:ascii="Times New Roman" w:eastAsia="Calibri" w:hAnsi="Times New Roman" w:cs="Times New Roman"/>
          <w:sz w:val="28"/>
          <w:szCs w:val="28"/>
        </w:rPr>
        <w:t xml:space="preserve">у </w:t>
      </w:r>
      <w:r w:rsidRPr="004032F4">
        <w:rPr>
          <w:rFonts w:ascii="Times New Roman" w:eastAsia="Calibri" w:hAnsi="Times New Roman" w:cs="Times New Roman"/>
          <w:sz w:val="28"/>
          <w:szCs w:val="28"/>
        </w:rPr>
        <w:t xml:space="preserve">13-ти </w:t>
      </w:r>
      <w:r w:rsidR="00516992" w:rsidRPr="004032F4">
        <w:rPr>
          <w:rFonts w:ascii="Times New Roman" w:eastAsia="Calibri" w:hAnsi="Times New Roman" w:cs="Times New Roman"/>
          <w:sz w:val="28"/>
          <w:szCs w:val="28"/>
        </w:rPr>
        <w:t xml:space="preserve">главных администраторов средств бюджета области (далее – </w:t>
      </w:r>
      <w:r w:rsidRPr="004032F4">
        <w:rPr>
          <w:rFonts w:ascii="Times New Roman" w:eastAsia="Calibri" w:hAnsi="Times New Roman" w:cs="Times New Roman"/>
          <w:sz w:val="28"/>
          <w:szCs w:val="28"/>
        </w:rPr>
        <w:t>ГАБС</w:t>
      </w:r>
      <w:r w:rsidR="00516992" w:rsidRPr="004032F4">
        <w:rPr>
          <w:rFonts w:ascii="Times New Roman" w:eastAsia="Calibri" w:hAnsi="Times New Roman" w:cs="Times New Roman"/>
          <w:sz w:val="28"/>
          <w:szCs w:val="28"/>
        </w:rPr>
        <w:t>)</w:t>
      </w:r>
      <w:r w:rsidRPr="004032F4">
        <w:rPr>
          <w:rFonts w:ascii="Times New Roman" w:eastAsia="Calibri" w:hAnsi="Times New Roman" w:cs="Times New Roman"/>
          <w:sz w:val="28"/>
          <w:szCs w:val="28"/>
        </w:rPr>
        <w:t>:</w:t>
      </w:r>
    </w:p>
    <w:p w14:paraId="1FC1F47F" w14:textId="77777777" w:rsidR="00694691" w:rsidRPr="004032F4" w:rsidRDefault="00694691" w:rsidP="00694691">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t xml:space="preserve">министерство здравоохранения Тульской области (по доходам от денежных взысканий (штрафов)); </w:t>
      </w:r>
    </w:p>
    <w:p w14:paraId="6ECD71D1" w14:textId="08089A95" w:rsidR="00694691" w:rsidRPr="004032F4" w:rsidRDefault="00694691" w:rsidP="00694691">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t>министерство образования Тульской области (по подстатье доходов</w:t>
      </w:r>
      <w:r w:rsidRPr="004032F4">
        <w:t xml:space="preserve"> </w:t>
      </w:r>
      <w:r w:rsidR="00BF49F9" w:rsidRPr="004032F4">
        <w:t xml:space="preserve">– </w:t>
      </w:r>
      <w:r w:rsidRPr="004032F4">
        <w:rPr>
          <w:rFonts w:ascii="Times New Roman" w:eastAsia="Calibri" w:hAnsi="Times New Roman" w:cs="Times New Roman"/>
        </w:rPr>
        <w:t>плат</w:t>
      </w:r>
      <w:r w:rsidR="00BF49F9" w:rsidRPr="004032F4">
        <w:rPr>
          <w:rFonts w:ascii="Times New Roman" w:eastAsia="Calibri" w:hAnsi="Times New Roman" w:cs="Times New Roman"/>
        </w:rPr>
        <w:t>а</w:t>
      </w:r>
      <w:r w:rsidRPr="004032F4">
        <w:rPr>
          <w:rFonts w:ascii="Times New Roman" w:eastAsia="Calibri" w:hAnsi="Times New Roman" w:cs="Times New Roman"/>
        </w:rPr>
        <w:t xml:space="preserve"> по соглашениям об установлении сервитута в отношении земельных участков</w:t>
      </w:r>
      <w:r w:rsidR="0098098C" w:rsidRPr="004032F4">
        <w:rPr>
          <w:rStyle w:val="a5"/>
          <w:rFonts w:ascii="Times New Roman" w:eastAsia="Calibri" w:hAnsi="Times New Roman" w:cs="Times New Roman"/>
        </w:rPr>
        <w:footnoteReference w:id="11"/>
      </w:r>
      <w:r w:rsidRPr="004032F4">
        <w:rPr>
          <w:rFonts w:ascii="Times New Roman" w:eastAsia="Calibri" w:hAnsi="Times New Roman" w:cs="Times New Roman"/>
        </w:rPr>
        <w:t xml:space="preserve">, по 2-м подстатьям подгруппы доходов </w:t>
      </w:r>
      <w:r w:rsidR="00BF49F9" w:rsidRPr="004032F4">
        <w:rPr>
          <w:rFonts w:ascii="Times New Roman" w:eastAsia="Calibri" w:hAnsi="Times New Roman" w:cs="Times New Roman"/>
        </w:rPr>
        <w:t>«Ш</w:t>
      </w:r>
      <w:r w:rsidRPr="004032F4">
        <w:rPr>
          <w:rFonts w:ascii="Times New Roman" w:eastAsia="Calibri" w:hAnsi="Times New Roman" w:cs="Times New Roman"/>
        </w:rPr>
        <w:t>трафы, санкции, возмещение ущерба</w:t>
      </w:r>
      <w:r w:rsidR="00BF49F9" w:rsidRPr="004032F4">
        <w:rPr>
          <w:rFonts w:ascii="Times New Roman" w:eastAsia="Calibri" w:hAnsi="Times New Roman" w:cs="Times New Roman"/>
        </w:rPr>
        <w:t>»</w:t>
      </w:r>
      <w:r w:rsidRPr="004032F4">
        <w:rPr>
          <w:rFonts w:ascii="Times New Roman" w:eastAsia="Calibri" w:hAnsi="Times New Roman" w:cs="Times New Roman"/>
        </w:rPr>
        <w:t>);</w:t>
      </w:r>
    </w:p>
    <w:p w14:paraId="5A945C48" w14:textId="24A8A8A5" w:rsidR="00694691" w:rsidRPr="004032F4" w:rsidRDefault="00694691" w:rsidP="00694691">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lastRenderedPageBreak/>
        <w:t>министерство сельского хозяйства,</w:t>
      </w:r>
      <w:r w:rsidRPr="004032F4">
        <w:t xml:space="preserve"> </w:t>
      </w:r>
      <w:r w:rsidRPr="004032F4">
        <w:rPr>
          <w:rFonts w:ascii="Times New Roman" w:eastAsia="Calibri" w:hAnsi="Times New Roman" w:cs="Times New Roman"/>
        </w:rPr>
        <w:t>природных ресурсов и экологии Тульской области (</w:t>
      </w:r>
      <w:r w:rsidR="00BF49F9" w:rsidRPr="004032F4">
        <w:rPr>
          <w:rFonts w:ascii="Times New Roman" w:eastAsia="Calibri" w:hAnsi="Times New Roman" w:cs="Times New Roman"/>
        </w:rPr>
        <w:t>по подстатье доходов</w:t>
      </w:r>
      <w:r w:rsidRPr="004032F4">
        <w:rPr>
          <w:rFonts w:ascii="Times New Roman" w:eastAsia="Calibri" w:hAnsi="Times New Roman" w:cs="Times New Roman"/>
        </w:rPr>
        <w:t xml:space="preserve"> </w:t>
      </w:r>
      <w:r w:rsidR="00BF49F9" w:rsidRPr="004032F4">
        <w:rPr>
          <w:rFonts w:ascii="Times New Roman" w:eastAsia="Calibri" w:hAnsi="Times New Roman" w:cs="Times New Roman"/>
        </w:rPr>
        <w:t xml:space="preserve">– </w:t>
      </w:r>
      <w:r w:rsidRPr="004032F4">
        <w:rPr>
          <w:rFonts w:ascii="Times New Roman" w:eastAsia="Calibri" w:hAnsi="Times New Roman" w:cs="Times New Roman"/>
        </w:rPr>
        <w:t>плат</w:t>
      </w:r>
      <w:r w:rsidR="00BF49F9" w:rsidRPr="004032F4">
        <w:rPr>
          <w:rFonts w:ascii="Times New Roman" w:eastAsia="Calibri" w:hAnsi="Times New Roman" w:cs="Times New Roman"/>
        </w:rPr>
        <w:t>а</w:t>
      </w:r>
      <w:r w:rsidRPr="004032F4">
        <w:rPr>
          <w:rFonts w:ascii="Times New Roman" w:eastAsia="Calibri" w:hAnsi="Times New Roman" w:cs="Times New Roman"/>
        </w:rPr>
        <w:t xml:space="preserve"> за использование лесов, расположенных на землях лесного фонда, в части, превышающей минимальный размер арендной платы,</w:t>
      </w:r>
      <w:r w:rsidRPr="004032F4">
        <w:t xml:space="preserve"> </w:t>
      </w:r>
      <w:r w:rsidRPr="004032F4">
        <w:rPr>
          <w:rFonts w:ascii="Times New Roman" w:eastAsia="Calibri" w:hAnsi="Times New Roman" w:cs="Times New Roman"/>
        </w:rPr>
        <w:t>доходам от денежных взысканий (штрафов));</w:t>
      </w:r>
    </w:p>
    <w:p w14:paraId="08A50BA7" w14:textId="401D9CCE" w:rsidR="00694691" w:rsidRPr="004032F4" w:rsidRDefault="00694691" w:rsidP="00694691">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t xml:space="preserve">министерство по региональной безопасности Тульской области (по </w:t>
      </w:r>
      <w:r w:rsidR="00BF49F9" w:rsidRPr="004032F4">
        <w:rPr>
          <w:rFonts w:ascii="Times New Roman" w:eastAsia="Calibri" w:hAnsi="Times New Roman" w:cs="Times New Roman"/>
        </w:rPr>
        <w:t>подстатье доходов</w:t>
      </w:r>
      <w:r w:rsidR="00BF49F9" w:rsidRPr="004032F4">
        <w:t xml:space="preserve"> – </w:t>
      </w:r>
      <w:r w:rsidRPr="004032F4">
        <w:rPr>
          <w:rFonts w:ascii="Times New Roman" w:eastAsia="Calibri" w:hAnsi="Times New Roman" w:cs="Times New Roman"/>
        </w:rPr>
        <w:t>прочи</w:t>
      </w:r>
      <w:r w:rsidR="00BF49F9" w:rsidRPr="004032F4">
        <w:rPr>
          <w:rFonts w:ascii="Times New Roman" w:eastAsia="Calibri" w:hAnsi="Times New Roman" w:cs="Times New Roman"/>
        </w:rPr>
        <w:t>е</w:t>
      </w:r>
      <w:r w:rsidRPr="004032F4">
        <w:rPr>
          <w:rFonts w:ascii="Times New Roman" w:eastAsia="Calibri" w:hAnsi="Times New Roman" w:cs="Times New Roman"/>
        </w:rPr>
        <w:t xml:space="preserve"> доход</w:t>
      </w:r>
      <w:r w:rsidR="00BF49F9" w:rsidRPr="004032F4">
        <w:rPr>
          <w:rFonts w:ascii="Times New Roman" w:eastAsia="Calibri" w:hAnsi="Times New Roman" w:cs="Times New Roman"/>
        </w:rPr>
        <w:t>ы</w:t>
      </w:r>
      <w:r w:rsidRPr="004032F4">
        <w:rPr>
          <w:rFonts w:ascii="Times New Roman" w:eastAsia="Calibri" w:hAnsi="Times New Roman" w:cs="Times New Roman"/>
        </w:rPr>
        <w:t xml:space="preserve"> от компенсации затрат бюджета);</w:t>
      </w:r>
    </w:p>
    <w:p w14:paraId="3EBCC2CF" w14:textId="0366058C" w:rsidR="00694691" w:rsidRPr="004032F4" w:rsidRDefault="00694691" w:rsidP="00694691">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t>министерство имущественных и земельных отношений Тульской области (</w:t>
      </w:r>
      <w:r w:rsidR="00BF49F9" w:rsidRPr="004032F4">
        <w:rPr>
          <w:rFonts w:ascii="Times New Roman" w:eastAsia="Calibri" w:hAnsi="Times New Roman" w:cs="Times New Roman"/>
        </w:rPr>
        <w:t>по подстатье доходов</w:t>
      </w:r>
      <w:r w:rsidR="00BF49F9" w:rsidRPr="004032F4">
        <w:t xml:space="preserve"> </w:t>
      </w:r>
      <w:r w:rsidR="00BF49F9" w:rsidRPr="004032F4">
        <w:rPr>
          <w:rFonts w:ascii="Times New Roman" w:eastAsia="Calibri" w:hAnsi="Times New Roman" w:cs="Times New Roman"/>
        </w:rPr>
        <w:t>–</w:t>
      </w:r>
      <w:r w:rsidRPr="004032F4">
        <w:rPr>
          <w:rFonts w:ascii="Times New Roman" w:eastAsia="Calibri" w:hAnsi="Times New Roman" w:cs="Times New Roman"/>
        </w:rPr>
        <w:t xml:space="preserve"> доход</w:t>
      </w:r>
      <w:r w:rsidR="00BF49F9" w:rsidRPr="004032F4">
        <w:rPr>
          <w:rFonts w:ascii="Times New Roman" w:eastAsia="Calibri" w:hAnsi="Times New Roman" w:cs="Times New Roman"/>
        </w:rPr>
        <w:t>ы</w:t>
      </w:r>
      <w:r w:rsidRPr="004032F4">
        <w:rPr>
          <w:rFonts w:ascii="Times New Roman" w:eastAsia="Calibri" w:hAnsi="Times New Roman" w:cs="Times New Roman"/>
        </w:rPr>
        <w:t>, получаемы</w:t>
      </w:r>
      <w:r w:rsidR="00BF49F9" w:rsidRPr="004032F4">
        <w:rPr>
          <w:rFonts w:ascii="Times New Roman" w:eastAsia="Calibri" w:hAnsi="Times New Roman" w:cs="Times New Roman"/>
        </w:rPr>
        <w:t>е</w:t>
      </w:r>
      <w:r w:rsidRPr="004032F4">
        <w:rPr>
          <w:rFonts w:ascii="Times New Roman" w:eastAsia="Calibri" w:hAnsi="Times New Roman" w:cs="Times New Roman"/>
        </w:rPr>
        <w:t xml:space="preserve"> в виде арендной платы за земли, находящиеся в собственности Тульской области);</w:t>
      </w:r>
    </w:p>
    <w:p w14:paraId="6A8A616E" w14:textId="7782F463" w:rsidR="00694691" w:rsidRPr="004032F4" w:rsidRDefault="00694691" w:rsidP="00694691">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t>министерство спорта Тульской области (</w:t>
      </w:r>
      <w:r w:rsidR="00BF49F9" w:rsidRPr="004032F4">
        <w:rPr>
          <w:rFonts w:ascii="Times New Roman" w:eastAsia="Calibri" w:hAnsi="Times New Roman" w:cs="Times New Roman"/>
        </w:rPr>
        <w:t>по подстатье доходов</w:t>
      </w:r>
      <w:r w:rsidR="00BF49F9" w:rsidRPr="004032F4">
        <w:t xml:space="preserve"> – </w:t>
      </w:r>
      <w:r w:rsidR="00BF49F9" w:rsidRPr="004032F4">
        <w:rPr>
          <w:rFonts w:ascii="Times New Roman" w:eastAsia="Calibri" w:hAnsi="Times New Roman" w:cs="Times New Roman"/>
        </w:rPr>
        <w:t>доходы от денежных взысканий (штрафов)</w:t>
      </w:r>
      <w:r w:rsidRPr="004032F4">
        <w:rPr>
          <w:rFonts w:ascii="Times New Roman" w:eastAsia="Calibri" w:hAnsi="Times New Roman" w:cs="Times New Roman"/>
        </w:rPr>
        <w:t>);</w:t>
      </w:r>
    </w:p>
    <w:p w14:paraId="59C897D2" w14:textId="3F389F63" w:rsidR="00694691" w:rsidRPr="004032F4" w:rsidRDefault="00694691" w:rsidP="00694691">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t>министерство строительства Тульской области (</w:t>
      </w:r>
      <w:r w:rsidR="00BF49F9" w:rsidRPr="004032F4">
        <w:rPr>
          <w:rFonts w:ascii="Times New Roman" w:eastAsia="Calibri" w:hAnsi="Times New Roman" w:cs="Times New Roman"/>
        </w:rPr>
        <w:t>по подстатьям доходов</w:t>
      </w:r>
      <w:r w:rsidR="00BF49F9" w:rsidRPr="004032F4">
        <w:t xml:space="preserve"> – </w:t>
      </w:r>
      <w:r w:rsidRPr="004032F4">
        <w:rPr>
          <w:rFonts w:ascii="Times New Roman" w:eastAsia="Calibri" w:hAnsi="Times New Roman" w:cs="Times New Roman"/>
        </w:rPr>
        <w:t>прочи</w:t>
      </w:r>
      <w:r w:rsidR="00BF49F9" w:rsidRPr="004032F4">
        <w:rPr>
          <w:rFonts w:ascii="Times New Roman" w:eastAsia="Calibri" w:hAnsi="Times New Roman" w:cs="Times New Roman"/>
        </w:rPr>
        <w:t>е</w:t>
      </w:r>
      <w:r w:rsidRPr="004032F4">
        <w:rPr>
          <w:rFonts w:ascii="Times New Roman" w:eastAsia="Calibri" w:hAnsi="Times New Roman" w:cs="Times New Roman"/>
        </w:rPr>
        <w:t xml:space="preserve"> доход</w:t>
      </w:r>
      <w:r w:rsidR="00BF49F9" w:rsidRPr="004032F4">
        <w:rPr>
          <w:rFonts w:ascii="Times New Roman" w:eastAsia="Calibri" w:hAnsi="Times New Roman" w:cs="Times New Roman"/>
        </w:rPr>
        <w:t>ы</w:t>
      </w:r>
      <w:r w:rsidRPr="004032F4">
        <w:rPr>
          <w:rFonts w:ascii="Times New Roman" w:eastAsia="Calibri" w:hAnsi="Times New Roman" w:cs="Times New Roman"/>
        </w:rPr>
        <w:t xml:space="preserve"> от компенсации затрат бюджета, доход</w:t>
      </w:r>
      <w:r w:rsidR="00BF49F9" w:rsidRPr="004032F4">
        <w:rPr>
          <w:rFonts w:ascii="Times New Roman" w:eastAsia="Calibri" w:hAnsi="Times New Roman" w:cs="Times New Roman"/>
        </w:rPr>
        <w:t>ы</w:t>
      </w:r>
      <w:r w:rsidRPr="004032F4">
        <w:rPr>
          <w:rFonts w:ascii="Times New Roman" w:eastAsia="Calibri" w:hAnsi="Times New Roman" w:cs="Times New Roman"/>
        </w:rPr>
        <w:t xml:space="preserve"> от денежных взысканий (штрафов));</w:t>
      </w:r>
    </w:p>
    <w:p w14:paraId="7F752B7A" w14:textId="15D973A9" w:rsidR="00694691" w:rsidRPr="004032F4" w:rsidRDefault="00694691" w:rsidP="00694691">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t xml:space="preserve">счетная палата Тульской области (по прочим доходам от компенсации затрат бюджета, по 4-м подстатьям доходов подгруппы доходов </w:t>
      </w:r>
      <w:r w:rsidR="00BF49F9" w:rsidRPr="004032F4">
        <w:rPr>
          <w:rFonts w:ascii="Times New Roman" w:eastAsia="Calibri" w:hAnsi="Times New Roman" w:cs="Times New Roman"/>
        </w:rPr>
        <w:t>«Ш</w:t>
      </w:r>
      <w:r w:rsidRPr="004032F4">
        <w:rPr>
          <w:rFonts w:ascii="Times New Roman" w:eastAsia="Calibri" w:hAnsi="Times New Roman" w:cs="Times New Roman"/>
        </w:rPr>
        <w:t>трафы, санкции, возмещение ущерба</w:t>
      </w:r>
      <w:r w:rsidR="00BF49F9" w:rsidRPr="004032F4">
        <w:rPr>
          <w:rFonts w:ascii="Times New Roman" w:eastAsia="Calibri" w:hAnsi="Times New Roman" w:cs="Times New Roman"/>
        </w:rPr>
        <w:t>»</w:t>
      </w:r>
      <w:r w:rsidRPr="004032F4">
        <w:rPr>
          <w:rFonts w:ascii="Times New Roman" w:eastAsia="Calibri" w:hAnsi="Times New Roman" w:cs="Times New Roman"/>
        </w:rPr>
        <w:t>);</w:t>
      </w:r>
    </w:p>
    <w:p w14:paraId="4D11DF81" w14:textId="1831E75A" w:rsidR="00694691" w:rsidRPr="004032F4" w:rsidRDefault="00694691" w:rsidP="00694691">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t>инспекция Тульской области по государственному надзору за техническим состоянием самоходных машин и других видов техники (</w:t>
      </w:r>
      <w:r w:rsidR="00BF49F9" w:rsidRPr="004032F4">
        <w:rPr>
          <w:rFonts w:ascii="Times New Roman" w:eastAsia="Calibri" w:hAnsi="Times New Roman" w:cs="Times New Roman"/>
        </w:rPr>
        <w:t>по подстатье доходов</w:t>
      </w:r>
      <w:r w:rsidR="00BF49F9" w:rsidRPr="004032F4">
        <w:t xml:space="preserve"> – </w:t>
      </w:r>
      <w:r w:rsidRPr="004032F4">
        <w:rPr>
          <w:rFonts w:ascii="Times New Roman" w:eastAsia="Calibri" w:hAnsi="Times New Roman" w:cs="Times New Roman"/>
        </w:rPr>
        <w:t>прочи</w:t>
      </w:r>
      <w:r w:rsidR="00BF49F9" w:rsidRPr="004032F4">
        <w:rPr>
          <w:rFonts w:ascii="Times New Roman" w:eastAsia="Calibri" w:hAnsi="Times New Roman" w:cs="Times New Roman"/>
        </w:rPr>
        <w:t>е</w:t>
      </w:r>
      <w:r w:rsidRPr="004032F4">
        <w:rPr>
          <w:rFonts w:ascii="Times New Roman" w:eastAsia="Calibri" w:hAnsi="Times New Roman" w:cs="Times New Roman"/>
        </w:rPr>
        <w:t xml:space="preserve"> доход</w:t>
      </w:r>
      <w:r w:rsidR="00BF49F9" w:rsidRPr="004032F4">
        <w:rPr>
          <w:rFonts w:ascii="Times New Roman" w:eastAsia="Calibri" w:hAnsi="Times New Roman" w:cs="Times New Roman"/>
        </w:rPr>
        <w:t>ы</w:t>
      </w:r>
      <w:r w:rsidRPr="004032F4">
        <w:rPr>
          <w:rFonts w:ascii="Times New Roman" w:eastAsia="Calibri" w:hAnsi="Times New Roman" w:cs="Times New Roman"/>
        </w:rPr>
        <w:t xml:space="preserve"> от компенсации затрат бюджета);</w:t>
      </w:r>
    </w:p>
    <w:p w14:paraId="41B83F31" w14:textId="2DC0EB6C" w:rsidR="00694691" w:rsidRPr="004032F4" w:rsidRDefault="00694691" w:rsidP="00694691">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t>комитет Тульской области по архитектуре и градостроительству (</w:t>
      </w:r>
      <w:r w:rsidR="00BF49F9" w:rsidRPr="004032F4">
        <w:rPr>
          <w:rFonts w:ascii="Times New Roman" w:eastAsia="Calibri" w:hAnsi="Times New Roman" w:cs="Times New Roman"/>
        </w:rPr>
        <w:t>по подстатье доходов</w:t>
      </w:r>
      <w:r w:rsidR="00BF49F9" w:rsidRPr="004032F4">
        <w:t xml:space="preserve"> – </w:t>
      </w:r>
      <w:r w:rsidR="00BF49F9" w:rsidRPr="004032F4">
        <w:rPr>
          <w:rFonts w:ascii="Times New Roman" w:eastAsia="Calibri" w:hAnsi="Times New Roman" w:cs="Times New Roman"/>
        </w:rPr>
        <w:t xml:space="preserve">прочие доходы </w:t>
      </w:r>
      <w:r w:rsidRPr="004032F4">
        <w:rPr>
          <w:rFonts w:ascii="Times New Roman" w:eastAsia="Calibri" w:hAnsi="Times New Roman" w:cs="Times New Roman"/>
        </w:rPr>
        <w:t>от компенсации затрат бюджета);</w:t>
      </w:r>
    </w:p>
    <w:p w14:paraId="545D00C8" w14:textId="76A9902D" w:rsidR="00694691" w:rsidRPr="004032F4" w:rsidRDefault="00694691" w:rsidP="00694691">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t xml:space="preserve">Правительство Тульской области (по 4-м подстатьям доходов подгруппы доходов </w:t>
      </w:r>
      <w:r w:rsidR="00BF49F9" w:rsidRPr="004032F4">
        <w:rPr>
          <w:rFonts w:ascii="Times New Roman" w:eastAsia="Calibri" w:hAnsi="Times New Roman" w:cs="Times New Roman"/>
        </w:rPr>
        <w:t>– «Ш</w:t>
      </w:r>
      <w:r w:rsidRPr="004032F4">
        <w:rPr>
          <w:rFonts w:ascii="Times New Roman" w:eastAsia="Calibri" w:hAnsi="Times New Roman" w:cs="Times New Roman"/>
        </w:rPr>
        <w:t>трафы, санкции, возмещение ущерба</w:t>
      </w:r>
      <w:r w:rsidR="00BF49F9" w:rsidRPr="004032F4">
        <w:rPr>
          <w:rFonts w:ascii="Times New Roman" w:eastAsia="Calibri" w:hAnsi="Times New Roman" w:cs="Times New Roman"/>
        </w:rPr>
        <w:t>»</w:t>
      </w:r>
      <w:r w:rsidRPr="004032F4">
        <w:rPr>
          <w:rFonts w:ascii="Times New Roman" w:eastAsia="Calibri" w:hAnsi="Times New Roman" w:cs="Times New Roman"/>
        </w:rPr>
        <w:t>);</w:t>
      </w:r>
    </w:p>
    <w:p w14:paraId="0EF3EB86" w14:textId="1B1D3A58" w:rsidR="00694691" w:rsidRPr="004032F4" w:rsidRDefault="00694691" w:rsidP="00694691">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t xml:space="preserve">министерство по правовому обеспечению Тульской области (по 15-ти подстатьям доходов подгруппы доходов </w:t>
      </w:r>
      <w:r w:rsidR="00BF49F9" w:rsidRPr="004032F4">
        <w:rPr>
          <w:rFonts w:ascii="Times New Roman" w:eastAsia="Calibri" w:hAnsi="Times New Roman" w:cs="Times New Roman"/>
        </w:rPr>
        <w:t>«Ш</w:t>
      </w:r>
      <w:r w:rsidRPr="004032F4">
        <w:rPr>
          <w:rFonts w:ascii="Times New Roman" w:eastAsia="Calibri" w:hAnsi="Times New Roman" w:cs="Times New Roman"/>
        </w:rPr>
        <w:t>трафы, санкции, возмещение ущерба</w:t>
      </w:r>
      <w:r w:rsidR="00BF49F9" w:rsidRPr="004032F4">
        <w:rPr>
          <w:rFonts w:ascii="Times New Roman" w:eastAsia="Calibri" w:hAnsi="Times New Roman" w:cs="Times New Roman"/>
        </w:rPr>
        <w:t>»</w:t>
      </w:r>
      <w:r w:rsidRPr="004032F4">
        <w:rPr>
          <w:rFonts w:ascii="Times New Roman" w:eastAsia="Calibri" w:hAnsi="Times New Roman" w:cs="Times New Roman"/>
        </w:rPr>
        <w:t>);</w:t>
      </w:r>
    </w:p>
    <w:p w14:paraId="3E9F389D" w14:textId="7736AF9D" w:rsidR="00694691" w:rsidRPr="004032F4" w:rsidRDefault="00694691" w:rsidP="00516992">
      <w:pPr>
        <w:spacing w:after="0" w:line="240" w:lineRule="auto"/>
        <w:ind w:firstLine="709"/>
        <w:jc w:val="both"/>
        <w:rPr>
          <w:rFonts w:ascii="Times New Roman" w:eastAsia="Calibri" w:hAnsi="Times New Roman" w:cs="Times New Roman"/>
        </w:rPr>
      </w:pPr>
      <w:r w:rsidRPr="004032F4">
        <w:rPr>
          <w:rFonts w:ascii="Times New Roman" w:eastAsia="Calibri" w:hAnsi="Times New Roman" w:cs="Times New Roman"/>
        </w:rPr>
        <w:t>комитет ветеринарии Тульской области (</w:t>
      </w:r>
      <w:r w:rsidR="00BF49F9" w:rsidRPr="004032F4">
        <w:rPr>
          <w:rFonts w:ascii="Times New Roman" w:eastAsia="Calibri" w:hAnsi="Times New Roman" w:cs="Times New Roman"/>
        </w:rPr>
        <w:t>по подстатье доходов</w:t>
      </w:r>
      <w:r w:rsidR="00BF49F9" w:rsidRPr="004032F4">
        <w:t xml:space="preserve"> – </w:t>
      </w:r>
      <w:r w:rsidR="00BF49F9" w:rsidRPr="004032F4">
        <w:rPr>
          <w:rFonts w:ascii="Times New Roman" w:eastAsia="Calibri" w:hAnsi="Times New Roman" w:cs="Times New Roman"/>
        </w:rPr>
        <w:t xml:space="preserve">прочие доходы </w:t>
      </w:r>
      <w:r w:rsidRPr="004032F4">
        <w:rPr>
          <w:rFonts w:ascii="Times New Roman" w:eastAsia="Calibri" w:hAnsi="Times New Roman" w:cs="Times New Roman"/>
        </w:rPr>
        <w:t>от денежных взысканий (штрафов)).</w:t>
      </w:r>
    </w:p>
    <w:p w14:paraId="776FB515" w14:textId="49527A54" w:rsidR="004032F4" w:rsidRPr="007E0556" w:rsidRDefault="004032F4" w:rsidP="004032F4">
      <w:pPr>
        <w:spacing w:after="0" w:line="240" w:lineRule="auto"/>
        <w:ind w:firstLine="709"/>
        <w:jc w:val="both"/>
        <w:rPr>
          <w:rFonts w:ascii="Times New Roman" w:eastAsia="Calibri" w:hAnsi="Times New Roman" w:cs="Times New Roman"/>
          <w:sz w:val="28"/>
          <w:szCs w:val="28"/>
        </w:rPr>
      </w:pPr>
      <w:r w:rsidRPr="007E0556">
        <w:rPr>
          <w:rFonts w:ascii="Times New Roman" w:eastAsia="Calibri" w:hAnsi="Times New Roman" w:cs="Times New Roman"/>
          <w:sz w:val="28"/>
          <w:szCs w:val="28"/>
        </w:rPr>
        <w:t>Фактически в прогнозируемом показателе доходов дебиторская задолженность учтена министерством сельского хозяйства Тульской области</w:t>
      </w:r>
      <w:r w:rsidRPr="007E0556">
        <w:rPr>
          <w:rFonts w:ascii="Times New Roman" w:eastAsia="Calibri" w:hAnsi="Times New Roman" w:cs="Times New Roman"/>
          <w:sz w:val="24"/>
          <w:szCs w:val="24"/>
        </w:rPr>
        <w:t xml:space="preserve"> (по плате за пользование лесов</w:t>
      </w:r>
      <w:r w:rsidR="00325CA5" w:rsidRPr="007E0556">
        <w:rPr>
          <w:rFonts w:ascii="Times New Roman" w:eastAsia="Calibri" w:hAnsi="Times New Roman" w:cs="Times New Roman"/>
          <w:sz w:val="24"/>
          <w:szCs w:val="24"/>
        </w:rPr>
        <w:t>, по доходам от денежных взысканий (штрафов)</w:t>
      </w:r>
      <w:r w:rsidRPr="007E0556">
        <w:rPr>
          <w:rFonts w:ascii="Times New Roman" w:eastAsia="Calibri" w:hAnsi="Times New Roman" w:cs="Times New Roman"/>
          <w:sz w:val="24"/>
          <w:szCs w:val="24"/>
        </w:rPr>
        <w:t>: по 9,</w:t>
      </w:r>
      <w:r w:rsidR="00325CA5" w:rsidRPr="007E0556">
        <w:rPr>
          <w:rFonts w:ascii="Times New Roman" w:eastAsia="Calibri" w:hAnsi="Times New Roman" w:cs="Times New Roman"/>
          <w:sz w:val="24"/>
          <w:szCs w:val="24"/>
        </w:rPr>
        <w:t>2</w:t>
      </w:r>
      <w:r w:rsidRPr="007E0556">
        <w:rPr>
          <w:rFonts w:ascii="Times New Roman" w:eastAsia="Calibri" w:hAnsi="Times New Roman" w:cs="Times New Roman"/>
          <w:sz w:val="24"/>
          <w:szCs w:val="24"/>
        </w:rPr>
        <w:t>млн. рублей на каждый год бюджетного цикла)</w:t>
      </w:r>
      <w:r w:rsidR="000E053A" w:rsidRPr="007E0556">
        <w:rPr>
          <w:rFonts w:ascii="Times New Roman" w:eastAsia="Calibri" w:hAnsi="Times New Roman" w:cs="Times New Roman"/>
          <w:sz w:val="24"/>
          <w:szCs w:val="24"/>
        </w:rPr>
        <w:t xml:space="preserve">, </w:t>
      </w:r>
      <w:r w:rsidR="000E053A" w:rsidRPr="007E0556">
        <w:rPr>
          <w:rFonts w:ascii="Times New Roman" w:eastAsia="Calibri" w:hAnsi="Times New Roman" w:cs="Times New Roman"/>
          <w:sz w:val="28"/>
          <w:szCs w:val="28"/>
        </w:rPr>
        <w:t xml:space="preserve">министерством имущественных и земельных отношений Тульской области </w:t>
      </w:r>
      <w:r w:rsidR="000E053A" w:rsidRPr="007E0556">
        <w:rPr>
          <w:rFonts w:ascii="Times New Roman" w:eastAsia="Calibri" w:hAnsi="Times New Roman" w:cs="Times New Roman"/>
          <w:sz w:val="24"/>
          <w:szCs w:val="24"/>
        </w:rPr>
        <w:t>(по доходам, получаемым в виде арендной платы за земли, находящиеся в собственности Тульской области: (по 450,0 тыс. рублей на 2025- 2026, 400,0 тыс. рублей на 2027 годы),</w:t>
      </w:r>
      <w:r w:rsidR="000E053A" w:rsidRPr="007E0556">
        <w:t xml:space="preserve"> </w:t>
      </w:r>
      <w:r w:rsidR="000E053A" w:rsidRPr="007E0556">
        <w:rPr>
          <w:rFonts w:ascii="Times New Roman" w:eastAsia="Calibri" w:hAnsi="Times New Roman" w:cs="Times New Roman"/>
          <w:sz w:val="28"/>
          <w:szCs w:val="28"/>
        </w:rPr>
        <w:t>министерством здравоохранения Тульской области</w:t>
      </w:r>
      <w:r w:rsidR="000E053A" w:rsidRPr="007E0556">
        <w:rPr>
          <w:rFonts w:ascii="Times New Roman" w:eastAsia="Calibri" w:hAnsi="Times New Roman" w:cs="Times New Roman"/>
          <w:sz w:val="24"/>
          <w:szCs w:val="24"/>
        </w:rPr>
        <w:t xml:space="preserve"> (по доходам от денежных взысканий (штрафов): по 1</w:t>
      </w:r>
      <w:r w:rsidR="00325CA5" w:rsidRPr="007E0556">
        <w:rPr>
          <w:rFonts w:ascii="Times New Roman" w:eastAsia="Calibri" w:hAnsi="Times New Roman" w:cs="Times New Roman"/>
          <w:sz w:val="24"/>
          <w:szCs w:val="24"/>
        </w:rPr>
        <w:t>65</w:t>
      </w:r>
      <w:r w:rsidR="000E053A" w:rsidRPr="007E0556">
        <w:rPr>
          <w:rFonts w:ascii="Times New Roman" w:eastAsia="Calibri" w:hAnsi="Times New Roman" w:cs="Times New Roman"/>
          <w:sz w:val="24"/>
          <w:szCs w:val="24"/>
        </w:rPr>
        <w:t>,</w:t>
      </w:r>
      <w:r w:rsidR="00325CA5" w:rsidRPr="007E0556">
        <w:rPr>
          <w:rFonts w:ascii="Times New Roman" w:eastAsia="Calibri" w:hAnsi="Times New Roman" w:cs="Times New Roman"/>
          <w:sz w:val="24"/>
          <w:szCs w:val="24"/>
        </w:rPr>
        <w:t>0</w:t>
      </w:r>
      <w:r w:rsidR="000E053A" w:rsidRPr="007E0556">
        <w:rPr>
          <w:rFonts w:ascii="Times New Roman" w:eastAsia="Calibri" w:hAnsi="Times New Roman" w:cs="Times New Roman"/>
          <w:sz w:val="24"/>
          <w:szCs w:val="24"/>
        </w:rPr>
        <w:t xml:space="preserve"> тыс. рублей на каждый год бюджетного цикла).</w:t>
      </w:r>
    </w:p>
    <w:p w14:paraId="1EBDCA79" w14:textId="17D7F7BF" w:rsidR="004032F4" w:rsidRPr="004032F4" w:rsidRDefault="004032F4" w:rsidP="004032F4">
      <w:pPr>
        <w:spacing w:after="0" w:line="240" w:lineRule="auto"/>
        <w:ind w:firstLine="709"/>
        <w:jc w:val="both"/>
        <w:rPr>
          <w:rFonts w:ascii="Times New Roman" w:eastAsia="Calibri" w:hAnsi="Times New Roman" w:cs="Times New Roman"/>
          <w:sz w:val="24"/>
          <w:szCs w:val="24"/>
        </w:rPr>
      </w:pPr>
      <w:r w:rsidRPr="007E0556">
        <w:rPr>
          <w:rFonts w:ascii="Times New Roman" w:eastAsia="Calibri" w:hAnsi="Times New Roman" w:cs="Times New Roman"/>
          <w:sz w:val="24"/>
          <w:szCs w:val="24"/>
        </w:rPr>
        <w:t>Справочно: размер просроченной дебиторской</w:t>
      </w:r>
      <w:r w:rsidRPr="004032F4">
        <w:rPr>
          <w:rFonts w:ascii="Times New Roman" w:eastAsia="Calibri" w:hAnsi="Times New Roman" w:cs="Times New Roman"/>
          <w:sz w:val="24"/>
          <w:szCs w:val="24"/>
        </w:rPr>
        <w:t xml:space="preserve"> задолженности по неналоговым доходам на 01.10.2024 составляет 636,0 млн. рублей. </w:t>
      </w:r>
    </w:p>
    <w:p w14:paraId="0AF635B3" w14:textId="77777777" w:rsidR="00AB6B0A" w:rsidRPr="004032F4" w:rsidRDefault="000B6292" w:rsidP="005C1BD0">
      <w:pPr>
        <w:widowControl w:val="0"/>
        <w:spacing w:before="240" w:after="0" w:line="240" w:lineRule="auto"/>
        <w:ind w:firstLine="709"/>
        <w:jc w:val="both"/>
        <w:rPr>
          <w:rFonts w:ascii="Times New Roman" w:eastAsia="Times New Roman" w:hAnsi="Times New Roman" w:cs="Times New Roman"/>
          <w:b/>
          <w:i/>
          <w:sz w:val="28"/>
          <w:szCs w:val="28"/>
          <w:lang w:eastAsia="ru-RU"/>
        </w:rPr>
      </w:pPr>
      <w:r w:rsidRPr="004032F4">
        <w:rPr>
          <w:rFonts w:ascii="Times New Roman" w:eastAsia="Times New Roman" w:hAnsi="Times New Roman" w:cs="Times New Roman"/>
          <w:b/>
          <w:i/>
          <w:sz w:val="28"/>
          <w:szCs w:val="28"/>
          <w:lang w:eastAsia="ru-RU"/>
        </w:rPr>
        <w:t>Безвозмездные поступления</w:t>
      </w:r>
    </w:p>
    <w:p w14:paraId="1F5C6953" w14:textId="77777777" w:rsidR="00670977" w:rsidRPr="004032F4" w:rsidRDefault="005C4B1A" w:rsidP="00FD79EF">
      <w:pPr>
        <w:spacing w:before="40" w:after="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Статьей 6 Законопроекта предусматриваются к утверждению безвозмездные поступления</w:t>
      </w:r>
      <w:r w:rsidR="00670977" w:rsidRPr="004032F4">
        <w:rPr>
          <w:rFonts w:ascii="Times New Roman" w:eastAsia="Calibri" w:hAnsi="Times New Roman" w:cs="Times New Roman"/>
          <w:sz w:val="28"/>
          <w:szCs w:val="28"/>
        </w:rPr>
        <w:t>:</w:t>
      </w:r>
    </w:p>
    <w:p w14:paraId="6EF28976" w14:textId="2DEB387A" w:rsidR="008C3CBE" w:rsidRPr="004032F4" w:rsidRDefault="00670977" w:rsidP="00FB7390">
      <w:pPr>
        <w:spacing w:after="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на </w:t>
      </w:r>
      <w:r w:rsidR="00933509" w:rsidRPr="004032F4">
        <w:rPr>
          <w:rFonts w:ascii="Times New Roman" w:eastAsia="Calibri" w:hAnsi="Times New Roman" w:cs="Times New Roman"/>
          <w:sz w:val="28"/>
          <w:szCs w:val="28"/>
        </w:rPr>
        <w:t>2025</w:t>
      </w:r>
      <w:r w:rsidRPr="004032F4">
        <w:rPr>
          <w:rFonts w:ascii="Times New Roman" w:eastAsia="Calibri" w:hAnsi="Times New Roman" w:cs="Times New Roman"/>
          <w:sz w:val="28"/>
          <w:szCs w:val="28"/>
        </w:rPr>
        <w:t xml:space="preserve"> год в объеме </w:t>
      </w:r>
      <w:r w:rsidR="00AC0EF7" w:rsidRPr="004032F4">
        <w:rPr>
          <w:rFonts w:ascii="Times New Roman" w:eastAsia="Calibri" w:hAnsi="Times New Roman" w:cs="Times New Roman"/>
          <w:sz w:val="28"/>
          <w:szCs w:val="28"/>
        </w:rPr>
        <w:t>3 971,2</w:t>
      </w:r>
      <w:r w:rsidR="008C3CBE" w:rsidRPr="004032F4">
        <w:rPr>
          <w:rFonts w:ascii="Times New Roman" w:eastAsia="Calibri" w:hAnsi="Times New Roman" w:cs="Times New Roman"/>
          <w:sz w:val="28"/>
          <w:szCs w:val="28"/>
        </w:rPr>
        <w:t xml:space="preserve"> млн. рублей;</w:t>
      </w:r>
    </w:p>
    <w:p w14:paraId="18199D9E" w14:textId="3566435F" w:rsidR="008C3CBE" w:rsidRPr="004032F4" w:rsidRDefault="008C3CBE" w:rsidP="00FB7390">
      <w:pPr>
        <w:spacing w:after="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на </w:t>
      </w:r>
      <w:r w:rsidR="00933509" w:rsidRPr="004032F4">
        <w:rPr>
          <w:rFonts w:ascii="Times New Roman" w:eastAsia="Calibri" w:hAnsi="Times New Roman" w:cs="Times New Roman"/>
          <w:sz w:val="28"/>
          <w:szCs w:val="28"/>
        </w:rPr>
        <w:t>2026</w:t>
      </w:r>
      <w:r w:rsidRPr="004032F4">
        <w:rPr>
          <w:rFonts w:ascii="Times New Roman" w:eastAsia="Calibri" w:hAnsi="Times New Roman" w:cs="Times New Roman"/>
          <w:sz w:val="28"/>
          <w:szCs w:val="28"/>
        </w:rPr>
        <w:t xml:space="preserve"> год в объеме </w:t>
      </w:r>
      <w:r w:rsidR="00AC0EF7" w:rsidRPr="004032F4">
        <w:rPr>
          <w:rFonts w:ascii="Times New Roman" w:eastAsia="Calibri" w:hAnsi="Times New Roman" w:cs="Times New Roman"/>
          <w:sz w:val="28"/>
          <w:szCs w:val="28"/>
        </w:rPr>
        <w:t>3 202,4</w:t>
      </w:r>
      <w:r w:rsidRPr="004032F4">
        <w:rPr>
          <w:rFonts w:ascii="Times New Roman" w:eastAsia="Calibri" w:hAnsi="Times New Roman" w:cs="Times New Roman"/>
          <w:sz w:val="28"/>
          <w:szCs w:val="28"/>
        </w:rPr>
        <w:t xml:space="preserve"> млн. рублей;</w:t>
      </w:r>
    </w:p>
    <w:p w14:paraId="2276D105" w14:textId="03EAB688" w:rsidR="0084474C" w:rsidRPr="004032F4" w:rsidRDefault="008C3CBE" w:rsidP="00FB7390">
      <w:pPr>
        <w:spacing w:after="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на </w:t>
      </w:r>
      <w:r w:rsidR="00933509" w:rsidRPr="004032F4">
        <w:rPr>
          <w:rFonts w:ascii="Times New Roman" w:eastAsia="Calibri" w:hAnsi="Times New Roman" w:cs="Times New Roman"/>
          <w:sz w:val="28"/>
          <w:szCs w:val="28"/>
        </w:rPr>
        <w:t>2027</w:t>
      </w:r>
      <w:r w:rsidRPr="004032F4">
        <w:rPr>
          <w:rFonts w:ascii="Times New Roman" w:eastAsia="Calibri" w:hAnsi="Times New Roman" w:cs="Times New Roman"/>
          <w:sz w:val="28"/>
          <w:szCs w:val="28"/>
        </w:rPr>
        <w:t xml:space="preserve"> год в объеме </w:t>
      </w:r>
      <w:r w:rsidR="00AC0EF7" w:rsidRPr="004032F4">
        <w:rPr>
          <w:rFonts w:ascii="Times New Roman" w:eastAsia="Calibri" w:hAnsi="Times New Roman" w:cs="Times New Roman"/>
          <w:sz w:val="28"/>
          <w:szCs w:val="28"/>
        </w:rPr>
        <w:t>3 190,1</w:t>
      </w:r>
      <w:r w:rsidRPr="004032F4">
        <w:rPr>
          <w:rFonts w:ascii="Times New Roman" w:eastAsia="Calibri" w:hAnsi="Times New Roman" w:cs="Times New Roman"/>
          <w:sz w:val="28"/>
          <w:szCs w:val="28"/>
        </w:rPr>
        <w:t xml:space="preserve"> млн. рублей.</w:t>
      </w:r>
      <w:r w:rsidR="00670977" w:rsidRPr="004032F4">
        <w:rPr>
          <w:rFonts w:ascii="Times New Roman" w:eastAsia="Calibri" w:hAnsi="Times New Roman" w:cs="Times New Roman"/>
          <w:sz w:val="28"/>
          <w:szCs w:val="28"/>
        </w:rPr>
        <w:t xml:space="preserve"> </w:t>
      </w:r>
      <w:r w:rsidR="004973E7" w:rsidRPr="004032F4">
        <w:rPr>
          <w:rFonts w:ascii="Times New Roman" w:eastAsia="Calibri" w:hAnsi="Times New Roman" w:cs="Times New Roman"/>
          <w:sz w:val="28"/>
          <w:szCs w:val="28"/>
        </w:rPr>
        <w:t xml:space="preserve"> </w:t>
      </w:r>
    </w:p>
    <w:p w14:paraId="0668F741" w14:textId="4F018881" w:rsidR="0039148C" w:rsidRPr="004032F4" w:rsidRDefault="0039148C" w:rsidP="0039148C">
      <w:pPr>
        <w:spacing w:before="120" w:after="0" w:line="240" w:lineRule="auto"/>
        <w:ind w:firstLine="709"/>
        <w:jc w:val="both"/>
        <w:rPr>
          <w:rFonts w:ascii="Times New Roman" w:eastAsia="Calibri" w:hAnsi="Times New Roman" w:cs="Times New Roman"/>
          <w:spacing w:val="-6"/>
          <w:sz w:val="28"/>
          <w:szCs w:val="28"/>
        </w:rPr>
      </w:pPr>
      <w:r w:rsidRPr="004032F4">
        <w:rPr>
          <w:rFonts w:ascii="Times New Roman" w:eastAsia="Calibri" w:hAnsi="Times New Roman" w:cs="Times New Roman"/>
          <w:spacing w:val="-6"/>
          <w:sz w:val="28"/>
          <w:szCs w:val="28"/>
        </w:rPr>
        <w:t>В объеме безвозмездных поступлений доля средств из федерального бюджета составит 9</w:t>
      </w:r>
      <w:r w:rsidR="00DC2A7D" w:rsidRPr="004032F4">
        <w:rPr>
          <w:rFonts w:ascii="Times New Roman" w:eastAsia="Calibri" w:hAnsi="Times New Roman" w:cs="Times New Roman"/>
          <w:spacing w:val="-6"/>
          <w:sz w:val="28"/>
          <w:szCs w:val="28"/>
        </w:rPr>
        <w:t>4,</w:t>
      </w:r>
      <w:r w:rsidRPr="004032F4">
        <w:rPr>
          <w:rFonts w:ascii="Times New Roman" w:eastAsia="Calibri" w:hAnsi="Times New Roman" w:cs="Times New Roman"/>
          <w:spacing w:val="-6"/>
          <w:sz w:val="28"/>
          <w:szCs w:val="28"/>
        </w:rPr>
        <w:t xml:space="preserve">7% в </w:t>
      </w:r>
      <w:r w:rsidR="00933509" w:rsidRPr="004032F4">
        <w:rPr>
          <w:rFonts w:ascii="Times New Roman" w:eastAsia="Calibri" w:hAnsi="Times New Roman" w:cs="Times New Roman"/>
          <w:spacing w:val="-6"/>
          <w:sz w:val="28"/>
          <w:szCs w:val="28"/>
        </w:rPr>
        <w:t>2025</w:t>
      </w:r>
      <w:r w:rsidRPr="004032F4">
        <w:rPr>
          <w:rFonts w:ascii="Times New Roman" w:eastAsia="Calibri" w:hAnsi="Times New Roman" w:cs="Times New Roman"/>
          <w:spacing w:val="-6"/>
          <w:sz w:val="28"/>
          <w:szCs w:val="28"/>
        </w:rPr>
        <w:t xml:space="preserve"> году, </w:t>
      </w:r>
      <w:r w:rsidR="00DC2A7D" w:rsidRPr="004032F4">
        <w:rPr>
          <w:rFonts w:ascii="Times New Roman" w:eastAsia="Calibri" w:hAnsi="Times New Roman" w:cs="Times New Roman"/>
          <w:spacing w:val="-6"/>
          <w:sz w:val="28"/>
          <w:szCs w:val="28"/>
        </w:rPr>
        <w:t>89,3</w:t>
      </w:r>
      <w:r w:rsidRPr="004032F4">
        <w:rPr>
          <w:rFonts w:ascii="Times New Roman" w:eastAsia="Calibri" w:hAnsi="Times New Roman" w:cs="Times New Roman"/>
          <w:spacing w:val="-6"/>
          <w:sz w:val="28"/>
          <w:szCs w:val="28"/>
        </w:rPr>
        <w:t xml:space="preserve">% в </w:t>
      </w:r>
      <w:r w:rsidR="00933509" w:rsidRPr="004032F4">
        <w:rPr>
          <w:rFonts w:ascii="Times New Roman" w:eastAsia="Calibri" w:hAnsi="Times New Roman" w:cs="Times New Roman"/>
          <w:spacing w:val="-6"/>
          <w:sz w:val="28"/>
          <w:szCs w:val="28"/>
        </w:rPr>
        <w:t>2026</w:t>
      </w:r>
      <w:r w:rsidRPr="004032F4">
        <w:rPr>
          <w:rFonts w:ascii="Times New Roman" w:eastAsia="Calibri" w:hAnsi="Times New Roman" w:cs="Times New Roman"/>
          <w:spacing w:val="-6"/>
          <w:sz w:val="28"/>
          <w:szCs w:val="28"/>
        </w:rPr>
        <w:t xml:space="preserve"> году и </w:t>
      </w:r>
      <w:r w:rsidR="00DC2A7D" w:rsidRPr="004032F4">
        <w:rPr>
          <w:rFonts w:ascii="Times New Roman" w:eastAsia="Calibri" w:hAnsi="Times New Roman" w:cs="Times New Roman"/>
          <w:spacing w:val="-6"/>
          <w:sz w:val="28"/>
          <w:szCs w:val="28"/>
        </w:rPr>
        <w:t>88,2</w:t>
      </w:r>
      <w:r w:rsidRPr="004032F4">
        <w:rPr>
          <w:rFonts w:ascii="Times New Roman" w:eastAsia="Calibri" w:hAnsi="Times New Roman" w:cs="Times New Roman"/>
          <w:spacing w:val="-6"/>
          <w:sz w:val="28"/>
          <w:szCs w:val="28"/>
        </w:rPr>
        <w:t xml:space="preserve">% в </w:t>
      </w:r>
      <w:r w:rsidR="00933509" w:rsidRPr="004032F4">
        <w:rPr>
          <w:rFonts w:ascii="Times New Roman" w:eastAsia="Calibri" w:hAnsi="Times New Roman" w:cs="Times New Roman"/>
          <w:spacing w:val="-6"/>
          <w:sz w:val="28"/>
          <w:szCs w:val="28"/>
        </w:rPr>
        <w:t>2027</w:t>
      </w:r>
      <w:r w:rsidRPr="004032F4">
        <w:rPr>
          <w:rFonts w:ascii="Times New Roman" w:eastAsia="Calibri" w:hAnsi="Times New Roman" w:cs="Times New Roman"/>
          <w:spacing w:val="-6"/>
          <w:sz w:val="28"/>
          <w:szCs w:val="28"/>
        </w:rPr>
        <w:t xml:space="preserve"> году. </w:t>
      </w:r>
    </w:p>
    <w:p w14:paraId="69D8632C" w14:textId="40B95F91" w:rsidR="00DC2A7D" w:rsidRPr="004032F4" w:rsidRDefault="00136ACD" w:rsidP="005256DE">
      <w:pPr>
        <w:spacing w:after="0" w:line="240" w:lineRule="auto"/>
        <w:ind w:firstLine="709"/>
        <w:jc w:val="both"/>
        <w:rPr>
          <w:rFonts w:ascii="Times New Roman" w:eastAsia="Calibri" w:hAnsi="Times New Roman" w:cs="Times New Roman"/>
          <w:spacing w:val="-4"/>
          <w:sz w:val="28"/>
          <w:szCs w:val="28"/>
        </w:rPr>
      </w:pPr>
      <w:r w:rsidRPr="004032F4">
        <w:rPr>
          <w:rFonts w:ascii="Times New Roman" w:hAnsi="Times New Roman" w:cs="Times New Roman"/>
          <w:spacing w:val="-4"/>
          <w:sz w:val="28"/>
          <w:szCs w:val="28"/>
        </w:rPr>
        <w:t>Счетной палатой области проведен а</w:t>
      </w:r>
      <w:r w:rsidRPr="004032F4">
        <w:rPr>
          <w:rFonts w:ascii="Times New Roman" w:eastAsia="Calibri" w:hAnsi="Times New Roman" w:cs="Times New Roman"/>
          <w:spacing w:val="-4"/>
          <w:sz w:val="28"/>
          <w:szCs w:val="28"/>
        </w:rPr>
        <w:t xml:space="preserve">нализ прогнозного объема безвозмездных поступлений, формируемого за счет средств федерального бюджета, который показал, что в </w:t>
      </w:r>
      <w:r w:rsidR="008C3CBE" w:rsidRPr="004032F4">
        <w:rPr>
          <w:rFonts w:ascii="Times New Roman" w:eastAsia="Calibri" w:hAnsi="Times New Roman" w:cs="Times New Roman"/>
          <w:spacing w:val="-4"/>
          <w:sz w:val="28"/>
          <w:szCs w:val="28"/>
        </w:rPr>
        <w:t xml:space="preserve">проекте бюджета </w:t>
      </w:r>
      <w:r w:rsidRPr="004032F4">
        <w:rPr>
          <w:rFonts w:ascii="Times New Roman" w:eastAsia="Calibri" w:hAnsi="Times New Roman" w:cs="Times New Roman"/>
          <w:spacing w:val="-4"/>
          <w:sz w:val="28"/>
          <w:szCs w:val="28"/>
        </w:rPr>
        <w:t xml:space="preserve">области федеральные средства, распределенные для Тульской области, учтены в </w:t>
      </w:r>
      <w:r w:rsidR="0039148C" w:rsidRPr="004032F4">
        <w:rPr>
          <w:rFonts w:ascii="Times New Roman" w:eastAsia="Calibri" w:hAnsi="Times New Roman" w:cs="Times New Roman"/>
          <w:spacing w:val="-4"/>
          <w:sz w:val="28"/>
          <w:szCs w:val="28"/>
        </w:rPr>
        <w:t xml:space="preserve">соответствии с </w:t>
      </w:r>
      <w:r w:rsidR="00481AAB" w:rsidRPr="004032F4">
        <w:rPr>
          <w:rFonts w:ascii="Times New Roman" w:eastAsia="Calibri" w:hAnsi="Times New Roman" w:cs="Times New Roman"/>
          <w:spacing w:val="-4"/>
          <w:sz w:val="28"/>
          <w:szCs w:val="28"/>
        </w:rPr>
        <w:lastRenderedPageBreak/>
        <w:t xml:space="preserve">Проектом закона о федеральном бюджете на </w:t>
      </w:r>
      <w:r w:rsidR="00933509" w:rsidRPr="004032F4">
        <w:rPr>
          <w:rFonts w:ascii="Times New Roman" w:eastAsia="Calibri" w:hAnsi="Times New Roman" w:cs="Times New Roman"/>
          <w:spacing w:val="-4"/>
          <w:sz w:val="28"/>
          <w:szCs w:val="28"/>
        </w:rPr>
        <w:t>2025</w:t>
      </w:r>
      <w:r w:rsidR="00481AAB" w:rsidRPr="004032F4">
        <w:rPr>
          <w:rFonts w:ascii="Times New Roman" w:eastAsia="Calibri" w:hAnsi="Times New Roman" w:cs="Times New Roman"/>
          <w:spacing w:val="-4"/>
          <w:sz w:val="28"/>
          <w:szCs w:val="28"/>
        </w:rPr>
        <w:t>-</w:t>
      </w:r>
      <w:r w:rsidR="00933509" w:rsidRPr="004032F4">
        <w:rPr>
          <w:rFonts w:ascii="Times New Roman" w:eastAsia="Calibri" w:hAnsi="Times New Roman" w:cs="Times New Roman"/>
          <w:spacing w:val="-4"/>
          <w:sz w:val="28"/>
          <w:szCs w:val="28"/>
        </w:rPr>
        <w:t>2027</w:t>
      </w:r>
      <w:r w:rsidR="00481AAB" w:rsidRPr="004032F4">
        <w:rPr>
          <w:rFonts w:ascii="Times New Roman" w:eastAsia="Calibri" w:hAnsi="Times New Roman" w:cs="Times New Roman"/>
          <w:spacing w:val="-4"/>
          <w:sz w:val="28"/>
          <w:szCs w:val="28"/>
        </w:rPr>
        <w:t xml:space="preserve"> годы</w:t>
      </w:r>
      <w:r w:rsidR="00422344" w:rsidRPr="004032F4">
        <w:rPr>
          <w:rStyle w:val="a5"/>
          <w:rFonts w:ascii="Times New Roman" w:eastAsia="Calibri" w:hAnsi="Times New Roman" w:cs="Times New Roman"/>
          <w:spacing w:val="-4"/>
          <w:sz w:val="28"/>
          <w:szCs w:val="28"/>
        </w:rPr>
        <w:footnoteReference w:id="12"/>
      </w:r>
      <w:r w:rsidR="00DC2A7D" w:rsidRPr="004032F4">
        <w:rPr>
          <w:rFonts w:ascii="Times New Roman" w:eastAsia="Calibri" w:hAnsi="Times New Roman" w:cs="Times New Roman"/>
          <w:spacing w:val="-4"/>
          <w:sz w:val="28"/>
          <w:szCs w:val="28"/>
        </w:rPr>
        <w:t>.</w:t>
      </w:r>
      <w:r w:rsidR="0085227F" w:rsidRPr="004032F4">
        <w:rPr>
          <w:rFonts w:ascii="Times New Roman" w:eastAsia="Calibri" w:hAnsi="Times New Roman" w:cs="Times New Roman"/>
          <w:spacing w:val="-4"/>
          <w:sz w:val="28"/>
          <w:szCs w:val="28"/>
        </w:rPr>
        <w:t xml:space="preserve"> </w:t>
      </w:r>
      <w:r w:rsidR="00DC2A7D" w:rsidRPr="004032F4">
        <w:rPr>
          <w:rFonts w:ascii="Times New Roman" w:eastAsia="Calibri" w:hAnsi="Times New Roman" w:cs="Times New Roman"/>
          <w:spacing w:val="-4"/>
          <w:sz w:val="28"/>
          <w:szCs w:val="28"/>
        </w:rPr>
        <w:t>Кроме того, в объеме безвозмездных поступлений из федерального бюджета учтены средства</w:t>
      </w:r>
      <w:r w:rsidR="00DC2A7D" w:rsidRPr="004032F4">
        <w:rPr>
          <w:spacing w:val="-4"/>
        </w:rPr>
        <w:t xml:space="preserve"> </w:t>
      </w:r>
      <w:r w:rsidR="00DC2A7D" w:rsidRPr="004032F4">
        <w:rPr>
          <w:rFonts w:ascii="Times New Roman" w:eastAsia="Calibri" w:hAnsi="Times New Roman" w:cs="Times New Roman"/>
          <w:spacing w:val="-4"/>
          <w:sz w:val="28"/>
          <w:szCs w:val="28"/>
        </w:rPr>
        <w:t xml:space="preserve">за счет средств резервного фонда Правительства Российской Федерации в размере </w:t>
      </w:r>
      <w:r w:rsidR="00DC2A7D" w:rsidRPr="004032F4">
        <w:rPr>
          <w:rFonts w:ascii="Times New Roman" w:eastAsia="Calibri" w:hAnsi="Times New Roman" w:cs="Times New Roman"/>
          <w:spacing w:val="-4"/>
        </w:rPr>
        <w:t xml:space="preserve">(851,4 </w:t>
      </w:r>
      <w:proofErr w:type="spellStart"/>
      <w:r w:rsidR="00DC2A7D" w:rsidRPr="004032F4">
        <w:rPr>
          <w:rFonts w:ascii="Times New Roman" w:eastAsia="Calibri" w:hAnsi="Times New Roman" w:cs="Times New Roman"/>
          <w:spacing w:val="-4"/>
        </w:rPr>
        <w:t>млн.рублей</w:t>
      </w:r>
      <w:proofErr w:type="spellEnd"/>
      <w:r w:rsidR="003D6DB7" w:rsidRPr="004032F4">
        <w:rPr>
          <w:rStyle w:val="a5"/>
          <w:rFonts w:ascii="Times New Roman" w:eastAsia="Calibri" w:hAnsi="Times New Roman" w:cs="Times New Roman"/>
          <w:spacing w:val="-4"/>
        </w:rPr>
        <w:footnoteReference w:id="13"/>
      </w:r>
      <w:r w:rsidR="00DC2A7D" w:rsidRPr="004032F4">
        <w:rPr>
          <w:rFonts w:ascii="Times New Roman" w:eastAsia="Calibri" w:hAnsi="Times New Roman" w:cs="Times New Roman"/>
          <w:spacing w:val="-4"/>
        </w:rPr>
        <w:t>)</w:t>
      </w:r>
      <w:r w:rsidR="00FD79EF" w:rsidRPr="004032F4">
        <w:rPr>
          <w:rFonts w:ascii="Times New Roman" w:eastAsia="Calibri" w:hAnsi="Times New Roman" w:cs="Times New Roman"/>
          <w:spacing w:val="-4"/>
          <w:sz w:val="28"/>
          <w:szCs w:val="28"/>
        </w:rPr>
        <w:t xml:space="preserve"> в счет возмещения расходов на организацию пунктов временного пребывания граждан</w:t>
      </w:r>
      <w:r w:rsidR="00DC2A7D" w:rsidRPr="004032F4">
        <w:rPr>
          <w:rFonts w:ascii="Times New Roman" w:eastAsia="Calibri" w:hAnsi="Times New Roman" w:cs="Times New Roman"/>
          <w:spacing w:val="-4"/>
          <w:sz w:val="28"/>
          <w:szCs w:val="28"/>
        </w:rPr>
        <w:t xml:space="preserve">, </w:t>
      </w:r>
      <w:r w:rsidR="00DC2A7D" w:rsidRPr="004032F4">
        <w:rPr>
          <w:rFonts w:ascii="Times New Roman" w:eastAsia="Times New Roman" w:hAnsi="Times New Roman" w:cs="Times New Roman"/>
          <w:spacing w:val="-4"/>
          <w:sz w:val="28"/>
          <w:szCs w:val="28"/>
          <w:lang w:eastAsia="ru-RU"/>
        </w:rPr>
        <w:t>а также межбюджетные трансферты на обеспечение деятельности депутатов Государственной Думы и их помощников в избирательных округах,</w:t>
      </w:r>
      <w:r w:rsidR="00DC2A7D" w:rsidRPr="004032F4">
        <w:rPr>
          <w:spacing w:val="-4"/>
          <w:sz w:val="28"/>
          <w:szCs w:val="28"/>
        </w:rPr>
        <w:t xml:space="preserve"> </w:t>
      </w:r>
      <w:r w:rsidR="00DC2A7D" w:rsidRPr="004032F4">
        <w:rPr>
          <w:rFonts w:ascii="Times New Roman" w:eastAsia="Times New Roman" w:hAnsi="Times New Roman" w:cs="Times New Roman"/>
          <w:spacing w:val="-4"/>
          <w:sz w:val="28"/>
          <w:szCs w:val="28"/>
          <w:lang w:eastAsia="ru-RU"/>
        </w:rPr>
        <w:t xml:space="preserve">сенаторов РФ и их помощников в субъектах РФ </w:t>
      </w:r>
      <w:r w:rsidR="00DC2A7D" w:rsidRPr="004032F4">
        <w:rPr>
          <w:rFonts w:ascii="Times New Roman" w:eastAsia="Times New Roman" w:hAnsi="Times New Roman" w:cs="Times New Roman"/>
          <w:spacing w:val="-4"/>
          <w:sz w:val="24"/>
          <w:szCs w:val="24"/>
          <w:lang w:eastAsia="ru-RU"/>
        </w:rPr>
        <w:t>(в объеме по 15,9 млн. рублей</w:t>
      </w:r>
      <w:r w:rsidR="003D6DB7" w:rsidRPr="004032F4">
        <w:rPr>
          <w:rStyle w:val="a5"/>
          <w:rFonts w:ascii="Times New Roman" w:eastAsia="Times New Roman" w:hAnsi="Times New Roman" w:cs="Times New Roman"/>
          <w:spacing w:val="-4"/>
          <w:sz w:val="24"/>
          <w:szCs w:val="24"/>
          <w:lang w:eastAsia="ru-RU"/>
        </w:rPr>
        <w:footnoteReference w:id="14"/>
      </w:r>
      <w:r w:rsidR="00DC2A7D" w:rsidRPr="004032F4">
        <w:rPr>
          <w:rFonts w:ascii="Times New Roman" w:eastAsia="Times New Roman" w:hAnsi="Times New Roman" w:cs="Times New Roman"/>
          <w:spacing w:val="-4"/>
          <w:sz w:val="24"/>
          <w:szCs w:val="24"/>
          <w:lang w:eastAsia="ru-RU"/>
        </w:rPr>
        <w:t xml:space="preserve"> </w:t>
      </w:r>
      <w:r w:rsidR="007E75F0" w:rsidRPr="004032F4">
        <w:rPr>
          <w:rFonts w:ascii="Times New Roman" w:eastAsia="Times New Roman" w:hAnsi="Times New Roman" w:cs="Times New Roman"/>
          <w:spacing w:val="-4"/>
          <w:sz w:val="24"/>
          <w:szCs w:val="24"/>
          <w:lang w:eastAsia="ru-RU"/>
        </w:rPr>
        <w:t>в каждый год бюджетного цикла</w:t>
      </w:r>
      <w:r w:rsidR="00DC2A7D" w:rsidRPr="004032F4">
        <w:rPr>
          <w:rFonts w:ascii="Times New Roman" w:eastAsia="Times New Roman" w:hAnsi="Times New Roman" w:cs="Times New Roman"/>
          <w:spacing w:val="-4"/>
          <w:sz w:val="24"/>
          <w:szCs w:val="24"/>
          <w:lang w:eastAsia="ru-RU"/>
        </w:rPr>
        <w:t>)</w:t>
      </w:r>
      <w:r w:rsidR="00DC2A7D" w:rsidRPr="004032F4">
        <w:rPr>
          <w:rFonts w:ascii="Times New Roman" w:eastAsia="Times New Roman" w:hAnsi="Times New Roman" w:cs="Times New Roman"/>
          <w:spacing w:val="-4"/>
          <w:sz w:val="28"/>
          <w:szCs w:val="28"/>
          <w:lang w:eastAsia="ru-RU"/>
        </w:rPr>
        <w:t>.</w:t>
      </w:r>
    </w:p>
    <w:p w14:paraId="3E6F55A0" w14:textId="6F29472F" w:rsidR="00614739" w:rsidRPr="004032F4" w:rsidRDefault="00614739" w:rsidP="00614739">
      <w:pPr>
        <w:spacing w:after="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Безвозмездные поступления из федерального бюджета в Законопроекте учтены в следующих объемах:</w:t>
      </w:r>
    </w:p>
    <w:p w14:paraId="37386CB9" w14:textId="5F4CBF65" w:rsidR="00422344" w:rsidRPr="004032F4" w:rsidRDefault="00422344" w:rsidP="00422344">
      <w:pPr>
        <w:spacing w:after="0" w:line="240" w:lineRule="auto"/>
        <w:ind w:firstLine="709"/>
        <w:jc w:val="both"/>
        <w:rPr>
          <w:rFonts w:ascii="Times New Roman" w:eastAsia="Calibri" w:hAnsi="Times New Roman" w:cs="Times New Roman"/>
          <w:sz w:val="24"/>
          <w:szCs w:val="24"/>
        </w:rPr>
      </w:pPr>
      <w:r w:rsidRPr="004032F4">
        <w:rPr>
          <w:rFonts w:ascii="Times New Roman" w:eastAsia="Calibri" w:hAnsi="Times New Roman" w:cs="Times New Roman"/>
          <w:sz w:val="24"/>
          <w:szCs w:val="24"/>
        </w:rPr>
        <w:t xml:space="preserve">на </w:t>
      </w:r>
      <w:r w:rsidR="00933509" w:rsidRPr="004032F4">
        <w:rPr>
          <w:rFonts w:ascii="Times New Roman" w:eastAsia="Calibri" w:hAnsi="Times New Roman" w:cs="Times New Roman"/>
          <w:sz w:val="24"/>
          <w:szCs w:val="24"/>
        </w:rPr>
        <w:t>2025</w:t>
      </w:r>
      <w:r w:rsidRPr="004032F4">
        <w:rPr>
          <w:rFonts w:ascii="Times New Roman" w:eastAsia="Calibri" w:hAnsi="Times New Roman" w:cs="Times New Roman"/>
          <w:sz w:val="24"/>
          <w:szCs w:val="24"/>
        </w:rPr>
        <w:t xml:space="preserve"> год в объеме </w:t>
      </w:r>
      <w:r w:rsidR="00DC2A7D" w:rsidRPr="004032F4">
        <w:rPr>
          <w:rFonts w:ascii="Times New Roman" w:eastAsia="Calibri" w:hAnsi="Times New Roman" w:cs="Times New Roman"/>
          <w:sz w:val="24"/>
          <w:szCs w:val="24"/>
        </w:rPr>
        <w:t xml:space="preserve">3 760,4 </w:t>
      </w:r>
      <w:r w:rsidRPr="004032F4">
        <w:rPr>
          <w:rFonts w:ascii="Times New Roman" w:eastAsia="Calibri" w:hAnsi="Times New Roman" w:cs="Times New Roman"/>
          <w:sz w:val="24"/>
          <w:szCs w:val="24"/>
        </w:rPr>
        <w:t xml:space="preserve">млн. рублей по </w:t>
      </w:r>
      <w:r w:rsidR="00764C94" w:rsidRPr="004032F4">
        <w:rPr>
          <w:rFonts w:ascii="Times New Roman" w:eastAsia="Calibri" w:hAnsi="Times New Roman" w:cs="Times New Roman"/>
          <w:sz w:val="24"/>
          <w:szCs w:val="24"/>
        </w:rPr>
        <w:t>2</w:t>
      </w:r>
      <w:r w:rsidR="00575C08" w:rsidRPr="004032F4">
        <w:rPr>
          <w:rFonts w:ascii="Times New Roman" w:eastAsia="Calibri" w:hAnsi="Times New Roman" w:cs="Times New Roman"/>
          <w:sz w:val="24"/>
          <w:szCs w:val="24"/>
        </w:rPr>
        <w:t>1</w:t>
      </w:r>
      <w:r w:rsidRPr="004032F4">
        <w:rPr>
          <w:rFonts w:ascii="Times New Roman" w:eastAsia="Calibri" w:hAnsi="Times New Roman" w:cs="Times New Roman"/>
          <w:sz w:val="24"/>
          <w:szCs w:val="24"/>
        </w:rPr>
        <w:t xml:space="preserve"> вид</w:t>
      </w:r>
      <w:r w:rsidR="00614739" w:rsidRPr="004032F4">
        <w:rPr>
          <w:rFonts w:ascii="Times New Roman" w:eastAsia="Calibri" w:hAnsi="Times New Roman" w:cs="Times New Roman"/>
          <w:sz w:val="24"/>
          <w:szCs w:val="24"/>
        </w:rPr>
        <w:t>у</w:t>
      </w:r>
      <w:r w:rsidRPr="004032F4">
        <w:rPr>
          <w:rFonts w:ascii="Times New Roman" w:eastAsia="Calibri" w:hAnsi="Times New Roman" w:cs="Times New Roman"/>
          <w:sz w:val="24"/>
          <w:szCs w:val="24"/>
        </w:rPr>
        <w:t xml:space="preserve"> межбюджетных трансфертов;</w:t>
      </w:r>
    </w:p>
    <w:p w14:paraId="1650A38C" w14:textId="2C087A4B" w:rsidR="00422344" w:rsidRPr="004032F4" w:rsidRDefault="00422344" w:rsidP="00422344">
      <w:pPr>
        <w:spacing w:after="0" w:line="240" w:lineRule="auto"/>
        <w:ind w:firstLine="709"/>
        <w:jc w:val="both"/>
        <w:rPr>
          <w:rFonts w:ascii="Times New Roman" w:eastAsia="Calibri" w:hAnsi="Times New Roman" w:cs="Times New Roman"/>
          <w:sz w:val="24"/>
          <w:szCs w:val="24"/>
        </w:rPr>
      </w:pPr>
      <w:r w:rsidRPr="004032F4">
        <w:rPr>
          <w:rFonts w:ascii="Times New Roman" w:eastAsia="Calibri" w:hAnsi="Times New Roman" w:cs="Times New Roman"/>
          <w:sz w:val="24"/>
          <w:szCs w:val="24"/>
        </w:rPr>
        <w:t xml:space="preserve">на </w:t>
      </w:r>
      <w:r w:rsidR="00933509" w:rsidRPr="004032F4">
        <w:rPr>
          <w:rFonts w:ascii="Times New Roman" w:eastAsia="Calibri" w:hAnsi="Times New Roman" w:cs="Times New Roman"/>
          <w:sz w:val="24"/>
          <w:szCs w:val="24"/>
        </w:rPr>
        <w:t>2026</w:t>
      </w:r>
      <w:r w:rsidRPr="004032F4">
        <w:rPr>
          <w:rFonts w:ascii="Times New Roman" w:eastAsia="Calibri" w:hAnsi="Times New Roman" w:cs="Times New Roman"/>
          <w:sz w:val="24"/>
          <w:szCs w:val="24"/>
        </w:rPr>
        <w:t xml:space="preserve"> год</w:t>
      </w:r>
      <w:r w:rsidR="00136ACD" w:rsidRPr="004032F4">
        <w:rPr>
          <w:rFonts w:ascii="Times New Roman" w:eastAsia="Calibri" w:hAnsi="Times New Roman" w:cs="Times New Roman"/>
          <w:sz w:val="24"/>
          <w:szCs w:val="24"/>
        </w:rPr>
        <w:t xml:space="preserve"> </w:t>
      </w:r>
      <w:r w:rsidRPr="004032F4">
        <w:rPr>
          <w:rFonts w:ascii="Times New Roman" w:eastAsia="Calibri" w:hAnsi="Times New Roman" w:cs="Times New Roman"/>
          <w:sz w:val="24"/>
          <w:szCs w:val="24"/>
        </w:rPr>
        <w:t xml:space="preserve">в объеме </w:t>
      </w:r>
      <w:r w:rsidR="00DC2A7D" w:rsidRPr="004032F4">
        <w:rPr>
          <w:rFonts w:ascii="Times New Roman" w:eastAsia="Calibri" w:hAnsi="Times New Roman" w:cs="Times New Roman"/>
          <w:sz w:val="24"/>
          <w:szCs w:val="24"/>
        </w:rPr>
        <w:t xml:space="preserve">2 861,3 </w:t>
      </w:r>
      <w:r w:rsidRPr="004032F4">
        <w:rPr>
          <w:rFonts w:ascii="Times New Roman" w:eastAsia="Calibri" w:hAnsi="Times New Roman" w:cs="Times New Roman"/>
          <w:sz w:val="24"/>
          <w:szCs w:val="24"/>
        </w:rPr>
        <w:t xml:space="preserve">млн. рублей по </w:t>
      </w:r>
      <w:r w:rsidR="00575C08" w:rsidRPr="004032F4">
        <w:rPr>
          <w:rFonts w:ascii="Times New Roman" w:eastAsia="Calibri" w:hAnsi="Times New Roman" w:cs="Times New Roman"/>
          <w:sz w:val="24"/>
          <w:szCs w:val="24"/>
        </w:rPr>
        <w:t>18</w:t>
      </w:r>
      <w:r w:rsidRPr="004032F4">
        <w:rPr>
          <w:rFonts w:ascii="Times New Roman" w:eastAsia="Calibri" w:hAnsi="Times New Roman" w:cs="Times New Roman"/>
          <w:sz w:val="24"/>
          <w:szCs w:val="24"/>
        </w:rPr>
        <w:t xml:space="preserve"> видам межбюджетных трансфертов;</w:t>
      </w:r>
    </w:p>
    <w:p w14:paraId="3106E004" w14:textId="0984CFE7" w:rsidR="00136ACD" w:rsidRPr="004032F4" w:rsidRDefault="00422344" w:rsidP="00422344">
      <w:pPr>
        <w:spacing w:after="0" w:line="240" w:lineRule="auto"/>
        <w:ind w:firstLine="709"/>
        <w:jc w:val="both"/>
        <w:rPr>
          <w:rFonts w:ascii="Times New Roman" w:eastAsia="Calibri" w:hAnsi="Times New Roman" w:cs="Times New Roman"/>
          <w:sz w:val="24"/>
          <w:szCs w:val="24"/>
        </w:rPr>
      </w:pPr>
      <w:r w:rsidRPr="004032F4">
        <w:rPr>
          <w:rFonts w:ascii="Times New Roman" w:eastAsia="Calibri" w:hAnsi="Times New Roman" w:cs="Times New Roman"/>
          <w:sz w:val="24"/>
          <w:szCs w:val="24"/>
        </w:rPr>
        <w:t xml:space="preserve">на </w:t>
      </w:r>
      <w:r w:rsidR="00933509" w:rsidRPr="004032F4">
        <w:rPr>
          <w:rFonts w:ascii="Times New Roman" w:eastAsia="Calibri" w:hAnsi="Times New Roman" w:cs="Times New Roman"/>
          <w:sz w:val="24"/>
          <w:szCs w:val="24"/>
        </w:rPr>
        <w:t>202</w:t>
      </w:r>
      <w:r w:rsidR="00764C94" w:rsidRPr="004032F4">
        <w:rPr>
          <w:rFonts w:ascii="Times New Roman" w:eastAsia="Calibri" w:hAnsi="Times New Roman" w:cs="Times New Roman"/>
          <w:sz w:val="24"/>
          <w:szCs w:val="24"/>
        </w:rPr>
        <w:t>7</w:t>
      </w:r>
      <w:r w:rsidRPr="004032F4">
        <w:rPr>
          <w:rFonts w:ascii="Times New Roman" w:eastAsia="Calibri" w:hAnsi="Times New Roman" w:cs="Times New Roman"/>
          <w:sz w:val="24"/>
          <w:szCs w:val="24"/>
        </w:rPr>
        <w:t xml:space="preserve"> год в объеме </w:t>
      </w:r>
      <w:r w:rsidR="00DC2A7D" w:rsidRPr="004032F4">
        <w:rPr>
          <w:rFonts w:ascii="Times New Roman" w:eastAsia="Calibri" w:hAnsi="Times New Roman" w:cs="Times New Roman"/>
          <w:sz w:val="24"/>
          <w:szCs w:val="24"/>
        </w:rPr>
        <w:t xml:space="preserve">2 814,3 </w:t>
      </w:r>
      <w:r w:rsidRPr="004032F4">
        <w:rPr>
          <w:rFonts w:ascii="Times New Roman" w:eastAsia="Calibri" w:hAnsi="Times New Roman" w:cs="Times New Roman"/>
          <w:sz w:val="24"/>
          <w:szCs w:val="24"/>
        </w:rPr>
        <w:t xml:space="preserve">млн. рублей по </w:t>
      </w:r>
      <w:r w:rsidR="00575C08" w:rsidRPr="004032F4">
        <w:rPr>
          <w:rFonts w:ascii="Times New Roman" w:eastAsia="Calibri" w:hAnsi="Times New Roman" w:cs="Times New Roman"/>
          <w:sz w:val="24"/>
          <w:szCs w:val="24"/>
        </w:rPr>
        <w:t>18</w:t>
      </w:r>
      <w:r w:rsidRPr="004032F4">
        <w:rPr>
          <w:rFonts w:ascii="Times New Roman" w:eastAsia="Calibri" w:hAnsi="Times New Roman" w:cs="Times New Roman"/>
          <w:sz w:val="24"/>
          <w:szCs w:val="24"/>
        </w:rPr>
        <w:t xml:space="preserve"> вид</w:t>
      </w:r>
      <w:r w:rsidR="00337693" w:rsidRPr="004032F4">
        <w:rPr>
          <w:rFonts w:ascii="Times New Roman" w:eastAsia="Calibri" w:hAnsi="Times New Roman" w:cs="Times New Roman"/>
          <w:sz w:val="24"/>
          <w:szCs w:val="24"/>
        </w:rPr>
        <w:t>ам</w:t>
      </w:r>
      <w:r w:rsidRPr="004032F4">
        <w:rPr>
          <w:rFonts w:ascii="Times New Roman" w:eastAsia="Calibri" w:hAnsi="Times New Roman" w:cs="Times New Roman"/>
          <w:sz w:val="24"/>
          <w:szCs w:val="24"/>
        </w:rPr>
        <w:t xml:space="preserve"> межбюджетных трансфертов.</w:t>
      </w:r>
    </w:p>
    <w:p w14:paraId="433D811C" w14:textId="3202012D" w:rsidR="00515EDE" w:rsidRPr="004032F4" w:rsidRDefault="00821D76" w:rsidP="00821D76">
      <w:pPr>
        <w:spacing w:before="120" w:after="0" w:line="240" w:lineRule="auto"/>
        <w:ind w:firstLine="709"/>
        <w:jc w:val="both"/>
        <w:rPr>
          <w:rFonts w:ascii="Times New Roman" w:eastAsia="Calibri" w:hAnsi="Times New Roman" w:cs="Times New Roman"/>
          <w:spacing w:val="-6"/>
          <w:sz w:val="28"/>
          <w:szCs w:val="28"/>
        </w:rPr>
      </w:pPr>
      <w:r w:rsidRPr="004032F4">
        <w:rPr>
          <w:rFonts w:ascii="Times New Roman" w:eastAsia="Calibri" w:hAnsi="Times New Roman" w:cs="Times New Roman"/>
          <w:spacing w:val="-6"/>
          <w:sz w:val="28"/>
          <w:szCs w:val="28"/>
        </w:rPr>
        <w:t>В</w:t>
      </w:r>
      <w:r w:rsidR="008C3CBE" w:rsidRPr="004032F4">
        <w:rPr>
          <w:rFonts w:ascii="Times New Roman" w:eastAsia="Calibri" w:hAnsi="Times New Roman" w:cs="Times New Roman"/>
          <w:sz w:val="28"/>
          <w:szCs w:val="28"/>
        </w:rPr>
        <w:t xml:space="preserve"> объеме безвозмездных поступлений в бюджет области</w:t>
      </w:r>
      <w:r w:rsidR="00670977" w:rsidRPr="004032F4">
        <w:rPr>
          <w:rFonts w:ascii="Times New Roman" w:eastAsia="Calibri" w:hAnsi="Times New Roman" w:cs="Times New Roman"/>
          <w:sz w:val="28"/>
          <w:szCs w:val="28"/>
        </w:rPr>
        <w:t xml:space="preserve"> </w:t>
      </w:r>
      <w:r w:rsidR="008C3CBE" w:rsidRPr="004032F4">
        <w:rPr>
          <w:rFonts w:ascii="Times New Roman" w:eastAsia="Calibri" w:hAnsi="Times New Roman" w:cs="Times New Roman"/>
          <w:sz w:val="28"/>
          <w:szCs w:val="28"/>
        </w:rPr>
        <w:t xml:space="preserve">учтены </w:t>
      </w:r>
      <w:r w:rsidR="00670977" w:rsidRPr="004032F4">
        <w:rPr>
          <w:rFonts w:ascii="Times New Roman" w:eastAsia="Calibri" w:hAnsi="Times New Roman" w:cs="Times New Roman"/>
          <w:sz w:val="28"/>
          <w:szCs w:val="28"/>
        </w:rPr>
        <w:t xml:space="preserve">субсидии из бюджета МО город Тула </w:t>
      </w:r>
      <w:r w:rsidR="00422344" w:rsidRPr="004032F4">
        <w:rPr>
          <w:rFonts w:ascii="Times New Roman" w:eastAsia="Calibri" w:hAnsi="Times New Roman" w:cs="Times New Roman"/>
          <w:sz w:val="24"/>
          <w:szCs w:val="24"/>
        </w:rPr>
        <w:t xml:space="preserve">(на </w:t>
      </w:r>
      <w:r w:rsidR="00933509" w:rsidRPr="004032F4">
        <w:rPr>
          <w:rFonts w:ascii="Times New Roman" w:eastAsia="Calibri" w:hAnsi="Times New Roman" w:cs="Times New Roman"/>
          <w:sz w:val="24"/>
          <w:szCs w:val="24"/>
        </w:rPr>
        <w:t>2025</w:t>
      </w:r>
      <w:r w:rsidR="00422344" w:rsidRPr="004032F4">
        <w:rPr>
          <w:rFonts w:ascii="Times New Roman" w:eastAsia="Calibri" w:hAnsi="Times New Roman" w:cs="Times New Roman"/>
          <w:sz w:val="24"/>
          <w:szCs w:val="24"/>
        </w:rPr>
        <w:t xml:space="preserve">, </w:t>
      </w:r>
      <w:r w:rsidR="00933509" w:rsidRPr="004032F4">
        <w:rPr>
          <w:rFonts w:ascii="Times New Roman" w:eastAsia="Calibri" w:hAnsi="Times New Roman" w:cs="Times New Roman"/>
          <w:sz w:val="24"/>
          <w:szCs w:val="24"/>
        </w:rPr>
        <w:t>2026</w:t>
      </w:r>
      <w:r w:rsidR="00422344" w:rsidRPr="004032F4">
        <w:rPr>
          <w:rFonts w:ascii="Times New Roman" w:eastAsia="Calibri" w:hAnsi="Times New Roman" w:cs="Times New Roman"/>
          <w:sz w:val="24"/>
          <w:szCs w:val="24"/>
        </w:rPr>
        <w:t xml:space="preserve">, </w:t>
      </w:r>
      <w:r w:rsidR="00933509" w:rsidRPr="004032F4">
        <w:rPr>
          <w:rFonts w:ascii="Times New Roman" w:eastAsia="Calibri" w:hAnsi="Times New Roman" w:cs="Times New Roman"/>
          <w:sz w:val="24"/>
          <w:szCs w:val="24"/>
        </w:rPr>
        <w:t>2027</w:t>
      </w:r>
      <w:r w:rsidR="00422344" w:rsidRPr="004032F4">
        <w:rPr>
          <w:rFonts w:ascii="Times New Roman" w:eastAsia="Calibri" w:hAnsi="Times New Roman" w:cs="Times New Roman"/>
          <w:sz w:val="24"/>
          <w:szCs w:val="24"/>
        </w:rPr>
        <w:t xml:space="preserve"> годы </w:t>
      </w:r>
      <w:r w:rsidR="008C3CBE" w:rsidRPr="004032F4">
        <w:rPr>
          <w:rFonts w:ascii="Times New Roman" w:eastAsia="Calibri" w:hAnsi="Times New Roman" w:cs="Times New Roman"/>
          <w:sz w:val="24"/>
          <w:szCs w:val="24"/>
        </w:rPr>
        <w:t>в объеме</w:t>
      </w:r>
      <w:r w:rsidR="00670977" w:rsidRPr="004032F4">
        <w:rPr>
          <w:rFonts w:ascii="Times New Roman" w:eastAsia="Calibri" w:hAnsi="Times New Roman" w:cs="Times New Roman"/>
          <w:sz w:val="24"/>
          <w:szCs w:val="24"/>
        </w:rPr>
        <w:t xml:space="preserve"> </w:t>
      </w:r>
      <w:r w:rsidR="00422344" w:rsidRPr="004032F4">
        <w:rPr>
          <w:rFonts w:ascii="Times New Roman" w:eastAsia="Calibri" w:hAnsi="Times New Roman" w:cs="Times New Roman"/>
          <w:sz w:val="24"/>
          <w:szCs w:val="24"/>
        </w:rPr>
        <w:t>1</w:t>
      </w:r>
      <w:r w:rsidR="00AC0EF7" w:rsidRPr="004032F4">
        <w:rPr>
          <w:rFonts w:ascii="Times New Roman" w:eastAsia="Calibri" w:hAnsi="Times New Roman" w:cs="Times New Roman"/>
          <w:sz w:val="24"/>
          <w:szCs w:val="24"/>
        </w:rPr>
        <w:t>50,1</w:t>
      </w:r>
      <w:r w:rsidR="00670977" w:rsidRPr="004032F4">
        <w:rPr>
          <w:rFonts w:ascii="Times New Roman" w:eastAsia="Calibri" w:hAnsi="Times New Roman" w:cs="Times New Roman"/>
          <w:sz w:val="24"/>
          <w:szCs w:val="24"/>
        </w:rPr>
        <w:t xml:space="preserve"> млн. рублей,</w:t>
      </w:r>
      <w:r w:rsidR="00422344" w:rsidRPr="004032F4">
        <w:rPr>
          <w:rFonts w:ascii="Times New Roman" w:eastAsia="Calibri" w:hAnsi="Times New Roman" w:cs="Times New Roman"/>
          <w:sz w:val="24"/>
          <w:szCs w:val="24"/>
        </w:rPr>
        <w:t xml:space="preserve"> 2</w:t>
      </w:r>
      <w:r w:rsidR="00AC0EF7" w:rsidRPr="004032F4">
        <w:rPr>
          <w:rFonts w:ascii="Times New Roman" w:eastAsia="Calibri" w:hAnsi="Times New Roman" w:cs="Times New Roman"/>
          <w:sz w:val="24"/>
          <w:szCs w:val="24"/>
        </w:rPr>
        <w:t>7</w:t>
      </w:r>
      <w:r w:rsidR="00422344" w:rsidRPr="004032F4">
        <w:rPr>
          <w:rFonts w:ascii="Times New Roman" w:eastAsia="Calibri" w:hAnsi="Times New Roman" w:cs="Times New Roman"/>
          <w:sz w:val="24"/>
          <w:szCs w:val="24"/>
        </w:rPr>
        <w:t>8,</w:t>
      </w:r>
      <w:r w:rsidR="00AC0EF7" w:rsidRPr="004032F4">
        <w:rPr>
          <w:rFonts w:ascii="Times New Roman" w:eastAsia="Calibri" w:hAnsi="Times New Roman" w:cs="Times New Roman"/>
          <w:sz w:val="24"/>
          <w:szCs w:val="24"/>
        </w:rPr>
        <w:t>2</w:t>
      </w:r>
      <w:r w:rsidR="00422344" w:rsidRPr="004032F4">
        <w:rPr>
          <w:rFonts w:ascii="Times New Roman" w:eastAsia="Calibri" w:hAnsi="Times New Roman" w:cs="Times New Roman"/>
          <w:sz w:val="24"/>
          <w:szCs w:val="24"/>
        </w:rPr>
        <w:t xml:space="preserve"> млн. рублей и 3</w:t>
      </w:r>
      <w:r w:rsidR="00AC0EF7" w:rsidRPr="004032F4">
        <w:rPr>
          <w:rFonts w:ascii="Times New Roman" w:eastAsia="Calibri" w:hAnsi="Times New Roman" w:cs="Times New Roman"/>
          <w:sz w:val="24"/>
          <w:szCs w:val="24"/>
        </w:rPr>
        <w:t>10</w:t>
      </w:r>
      <w:r w:rsidR="00422344" w:rsidRPr="004032F4">
        <w:rPr>
          <w:rFonts w:ascii="Times New Roman" w:eastAsia="Calibri" w:hAnsi="Times New Roman" w:cs="Times New Roman"/>
          <w:sz w:val="24"/>
          <w:szCs w:val="24"/>
        </w:rPr>
        <w:t>,0 млн. рублей соответственно)</w:t>
      </w:r>
      <w:r w:rsidR="00422344" w:rsidRPr="004032F4">
        <w:rPr>
          <w:rFonts w:ascii="Times New Roman" w:eastAsia="Calibri" w:hAnsi="Times New Roman" w:cs="Times New Roman"/>
          <w:sz w:val="28"/>
          <w:szCs w:val="28"/>
        </w:rPr>
        <w:t>,</w:t>
      </w:r>
      <w:r w:rsidR="00670977" w:rsidRPr="004032F4">
        <w:rPr>
          <w:rFonts w:ascii="Times New Roman" w:eastAsia="Calibri" w:hAnsi="Times New Roman" w:cs="Times New Roman"/>
          <w:sz w:val="28"/>
          <w:szCs w:val="28"/>
        </w:rPr>
        <w:t xml:space="preserve"> прочие безвозмездные поступления от государственных организаций</w:t>
      </w:r>
      <w:r w:rsidR="00422344" w:rsidRPr="004032F4">
        <w:rPr>
          <w:rFonts w:ascii="Times New Roman" w:eastAsia="Calibri" w:hAnsi="Times New Roman" w:cs="Times New Roman"/>
          <w:sz w:val="24"/>
          <w:szCs w:val="24"/>
          <w:vertAlign w:val="superscript"/>
        </w:rPr>
        <w:footnoteReference w:id="15"/>
      </w:r>
      <w:r w:rsidR="00670977" w:rsidRPr="004032F4">
        <w:rPr>
          <w:rFonts w:ascii="Times New Roman" w:eastAsia="Calibri" w:hAnsi="Times New Roman" w:cs="Times New Roman"/>
          <w:sz w:val="28"/>
          <w:szCs w:val="28"/>
        </w:rPr>
        <w:t xml:space="preserve"> </w:t>
      </w:r>
      <w:r w:rsidR="00422344" w:rsidRPr="004032F4">
        <w:rPr>
          <w:rFonts w:ascii="Times New Roman" w:eastAsia="Calibri" w:hAnsi="Times New Roman" w:cs="Times New Roman"/>
          <w:sz w:val="24"/>
          <w:szCs w:val="24"/>
        </w:rPr>
        <w:t>(</w:t>
      </w:r>
      <w:r w:rsidR="008C3CBE" w:rsidRPr="004032F4">
        <w:rPr>
          <w:rFonts w:ascii="Times New Roman" w:eastAsia="Calibri" w:hAnsi="Times New Roman" w:cs="Times New Roman"/>
          <w:sz w:val="24"/>
          <w:szCs w:val="24"/>
        </w:rPr>
        <w:t>в объеме</w:t>
      </w:r>
      <w:r w:rsidR="00670977" w:rsidRPr="004032F4">
        <w:rPr>
          <w:rFonts w:ascii="Times New Roman" w:eastAsia="Calibri" w:hAnsi="Times New Roman" w:cs="Times New Roman"/>
          <w:sz w:val="24"/>
          <w:szCs w:val="24"/>
        </w:rPr>
        <w:t xml:space="preserve"> </w:t>
      </w:r>
      <w:r w:rsidR="00422344" w:rsidRPr="004032F4">
        <w:rPr>
          <w:rFonts w:ascii="Times New Roman" w:eastAsia="Calibri" w:hAnsi="Times New Roman" w:cs="Times New Roman"/>
          <w:sz w:val="24"/>
          <w:szCs w:val="24"/>
        </w:rPr>
        <w:t xml:space="preserve">по </w:t>
      </w:r>
      <w:r w:rsidR="00670977" w:rsidRPr="004032F4">
        <w:rPr>
          <w:rFonts w:ascii="Times New Roman" w:eastAsia="Calibri" w:hAnsi="Times New Roman" w:cs="Times New Roman"/>
          <w:sz w:val="24"/>
          <w:szCs w:val="24"/>
        </w:rPr>
        <w:t>4,</w:t>
      </w:r>
      <w:r w:rsidR="007E75F0" w:rsidRPr="004032F4">
        <w:rPr>
          <w:rFonts w:ascii="Times New Roman" w:eastAsia="Calibri" w:hAnsi="Times New Roman" w:cs="Times New Roman"/>
          <w:sz w:val="24"/>
          <w:szCs w:val="24"/>
        </w:rPr>
        <w:t>3</w:t>
      </w:r>
      <w:r w:rsidR="00670977" w:rsidRPr="004032F4">
        <w:rPr>
          <w:rFonts w:ascii="Times New Roman" w:eastAsia="Calibri" w:hAnsi="Times New Roman" w:cs="Times New Roman"/>
          <w:sz w:val="24"/>
          <w:szCs w:val="24"/>
        </w:rPr>
        <w:t xml:space="preserve"> млн. рублей</w:t>
      </w:r>
      <w:r w:rsidR="00422344" w:rsidRPr="004032F4">
        <w:rPr>
          <w:rFonts w:ascii="Times New Roman" w:eastAsia="Calibri" w:hAnsi="Times New Roman" w:cs="Times New Roman"/>
          <w:sz w:val="24"/>
          <w:szCs w:val="24"/>
        </w:rPr>
        <w:t xml:space="preserve"> в каждый год бюджетного цикла)</w:t>
      </w:r>
      <w:r w:rsidR="00670977" w:rsidRPr="004032F4">
        <w:rPr>
          <w:rFonts w:ascii="Times New Roman" w:eastAsia="Calibri" w:hAnsi="Times New Roman" w:cs="Times New Roman"/>
          <w:sz w:val="28"/>
          <w:szCs w:val="28"/>
        </w:rPr>
        <w:t>, прочие безвозмездные поступления</w:t>
      </w:r>
      <w:r w:rsidR="00422344" w:rsidRPr="004032F4">
        <w:rPr>
          <w:rFonts w:ascii="Times New Roman" w:eastAsia="Calibri" w:hAnsi="Times New Roman" w:cs="Times New Roman"/>
          <w:sz w:val="28"/>
          <w:szCs w:val="28"/>
          <w:vertAlign w:val="superscript"/>
        </w:rPr>
        <w:footnoteReference w:id="16"/>
      </w:r>
      <w:r w:rsidR="00670977" w:rsidRPr="004032F4">
        <w:rPr>
          <w:rFonts w:ascii="Times New Roman" w:eastAsia="Calibri" w:hAnsi="Times New Roman" w:cs="Times New Roman"/>
          <w:sz w:val="28"/>
          <w:szCs w:val="28"/>
        </w:rPr>
        <w:t xml:space="preserve"> </w:t>
      </w:r>
      <w:r w:rsidR="00422344" w:rsidRPr="004032F4">
        <w:rPr>
          <w:rFonts w:ascii="Times New Roman" w:eastAsia="Calibri" w:hAnsi="Times New Roman" w:cs="Times New Roman"/>
          <w:sz w:val="24"/>
          <w:szCs w:val="24"/>
        </w:rPr>
        <w:t xml:space="preserve">(на </w:t>
      </w:r>
      <w:r w:rsidR="00933509" w:rsidRPr="004032F4">
        <w:rPr>
          <w:rFonts w:ascii="Times New Roman" w:eastAsia="Calibri" w:hAnsi="Times New Roman" w:cs="Times New Roman"/>
          <w:sz w:val="24"/>
          <w:szCs w:val="24"/>
        </w:rPr>
        <w:t>2025</w:t>
      </w:r>
      <w:r w:rsidR="00422344" w:rsidRPr="004032F4">
        <w:rPr>
          <w:rFonts w:ascii="Times New Roman" w:eastAsia="Calibri" w:hAnsi="Times New Roman" w:cs="Times New Roman"/>
          <w:sz w:val="24"/>
          <w:szCs w:val="24"/>
        </w:rPr>
        <w:t xml:space="preserve">, </w:t>
      </w:r>
      <w:r w:rsidR="00933509" w:rsidRPr="004032F4">
        <w:rPr>
          <w:rFonts w:ascii="Times New Roman" w:eastAsia="Calibri" w:hAnsi="Times New Roman" w:cs="Times New Roman"/>
          <w:sz w:val="24"/>
          <w:szCs w:val="24"/>
        </w:rPr>
        <w:t>2026</w:t>
      </w:r>
      <w:r w:rsidR="00422344" w:rsidRPr="004032F4">
        <w:rPr>
          <w:rFonts w:ascii="Times New Roman" w:eastAsia="Calibri" w:hAnsi="Times New Roman" w:cs="Times New Roman"/>
          <w:sz w:val="24"/>
          <w:szCs w:val="24"/>
        </w:rPr>
        <w:t xml:space="preserve">, </w:t>
      </w:r>
      <w:r w:rsidR="00933509" w:rsidRPr="004032F4">
        <w:rPr>
          <w:rFonts w:ascii="Times New Roman" w:eastAsia="Calibri" w:hAnsi="Times New Roman" w:cs="Times New Roman"/>
          <w:sz w:val="24"/>
          <w:szCs w:val="24"/>
        </w:rPr>
        <w:t>2027</w:t>
      </w:r>
      <w:r w:rsidR="00422344" w:rsidRPr="004032F4">
        <w:rPr>
          <w:rFonts w:ascii="Times New Roman" w:eastAsia="Calibri" w:hAnsi="Times New Roman" w:cs="Times New Roman"/>
          <w:sz w:val="24"/>
          <w:szCs w:val="24"/>
        </w:rPr>
        <w:t xml:space="preserve"> годы в объеме 5</w:t>
      </w:r>
      <w:r w:rsidR="007E75F0" w:rsidRPr="004032F4">
        <w:rPr>
          <w:rFonts w:ascii="Times New Roman" w:eastAsia="Calibri" w:hAnsi="Times New Roman" w:cs="Times New Roman"/>
          <w:sz w:val="24"/>
          <w:szCs w:val="24"/>
        </w:rPr>
        <w:t>6</w:t>
      </w:r>
      <w:r w:rsidR="00422344" w:rsidRPr="004032F4">
        <w:rPr>
          <w:rFonts w:ascii="Times New Roman" w:eastAsia="Calibri" w:hAnsi="Times New Roman" w:cs="Times New Roman"/>
          <w:sz w:val="24"/>
          <w:szCs w:val="24"/>
        </w:rPr>
        <w:t xml:space="preserve">,4 млн. рублей, </w:t>
      </w:r>
      <w:r w:rsidR="007E75F0" w:rsidRPr="004032F4">
        <w:rPr>
          <w:rFonts w:ascii="Times New Roman" w:eastAsia="Calibri" w:hAnsi="Times New Roman" w:cs="Times New Roman"/>
          <w:sz w:val="24"/>
          <w:szCs w:val="24"/>
        </w:rPr>
        <w:t>58,6</w:t>
      </w:r>
      <w:r w:rsidR="00422344" w:rsidRPr="004032F4">
        <w:rPr>
          <w:rFonts w:ascii="Times New Roman" w:eastAsia="Calibri" w:hAnsi="Times New Roman" w:cs="Times New Roman"/>
          <w:sz w:val="24"/>
          <w:szCs w:val="24"/>
        </w:rPr>
        <w:t xml:space="preserve"> млн. рублей и 6</w:t>
      </w:r>
      <w:r w:rsidR="007E75F0" w:rsidRPr="004032F4">
        <w:rPr>
          <w:rFonts w:ascii="Times New Roman" w:eastAsia="Calibri" w:hAnsi="Times New Roman" w:cs="Times New Roman"/>
          <w:sz w:val="24"/>
          <w:szCs w:val="24"/>
        </w:rPr>
        <w:t>1,5</w:t>
      </w:r>
      <w:r w:rsidR="00422344" w:rsidRPr="004032F4">
        <w:rPr>
          <w:rFonts w:ascii="Times New Roman" w:eastAsia="Calibri" w:hAnsi="Times New Roman" w:cs="Times New Roman"/>
          <w:sz w:val="24"/>
          <w:szCs w:val="24"/>
        </w:rPr>
        <w:t xml:space="preserve"> млн. рублей соответственно)</w:t>
      </w:r>
      <w:r w:rsidR="00670977" w:rsidRPr="004032F4">
        <w:rPr>
          <w:rFonts w:ascii="Times New Roman" w:eastAsia="Calibri" w:hAnsi="Times New Roman" w:cs="Times New Roman"/>
          <w:sz w:val="28"/>
          <w:szCs w:val="28"/>
        </w:rPr>
        <w:t>.</w:t>
      </w:r>
    </w:p>
    <w:p w14:paraId="298EF646" w14:textId="77777777" w:rsidR="00B855F0" w:rsidRPr="004032F4" w:rsidRDefault="00B855F0" w:rsidP="007E0556">
      <w:pPr>
        <w:pStyle w:val="af5"/>
        <w:keepNext w:val="0"/>
        <w:keepLines w:val="0"/>
        <w:widowControl w:val="0"/>
        <w:pBdr>
          <w:top w:val="none" w:sz="0" w:space="0" w:color="auto"/>
          <w:bottom w:val="thinThickSmallGap" w:sz="18" w:space="10" w:color="auto"/>
        </w:pBdr>
        <w:spacing w:before="440" w:after="0"/>
        <w:contextualSpacing w:val="0"/>
        <w:rPr>
          <w:rFonts w:ascii="Times New Roman" w:hAnsi="Times New Roman"/>
          <w:spacing w:val="30"/>
          <w:w w:val="150"/>
          <w:sz w:val="24"/>
          <w:szCs w:val="24"/>
        </w:rPr>
      </w:pPr>
      <w:r w:rsidRPr="004032F4">
        <w:rPr>
          <w:rFonts w:ascii="Times New Roman" w:hAnsi="Times New Roman"/>
          <w:spacing w:val="30"/>
          <w:w w:val="150"/>
          <w:sz w:val="24"/>
          <w:szCs w:val="24"/>
        </w:rPr>
        <w:t>3. РАСХОДЫ БЮДЖЕТА ОБЛАСТИ</w:t>
      </w:r>
    </w:p>
    <w:p w14:paraId="6C8AB2DE" w14:textId="04CC1338" w:rsidR="004F1184" w:rsidRPr="004032F4" w:rsidRDefault="00874269" w:rsidP="00AD7255">
      <w:pPr>
        <w:spacing w:before="120" w:after="0" w:line="240" w:lineRule="auto"/>
        <w:ind w:firstLine="709"/>
        <w:jc w:val="both"/>
        <w:rPr>
          <w:rFonts w:ascii="Times New Roman" w:hAnsi="Times New Roman" w:cs="Times New Roman"/>
          <w:sz w:val="28"/>
          <w:szCs w:val="28"/>
        </w:rPr>
      </w:pPr>
      <w:r w:rsidRPr="004032F4">
        <w:rPr>
          <w:rFonts w:ascii="Times New Roman" w:hAnsi="Times New Roman" w:cs="Times New Roman"/>
          <w:b/>
          <w:sz w:val="28"/>
          <w:szCs w:val="28"/>
        </w:rPr>
        <w:t>3.1.</w:t>
      </w:r>
      <w:r w:rsidRPr="004032F4">
        <w:rPr>
          <w:rFonts w:ascii="Times New Roman" w:hAnsi="Times New Roman" w:cs="Times New Roman"/>
          <w:sz w:val="28"/>
          <w:szCs w:val="28"/>
        </w:rPr>
        <w:t> </w:t>
      </w:r>
      <w:r w:rsidR="00DA3E35" w:rsidRPr="004032F4">
        <w:rPr>
          <w:rFonts w:ascii="Times New Roman" w:hAnsi="Times New Roman" w:cs="Times New Roman"/>
          <w:sz w:val="28"/>
          <w:szCs w:val="28"/>
        </w:rPr>
        <w:t xml:space="preserve">Проект бюджета области на </w:t>
      </w:r>
      <w:r w:rsidR="00933509" w:rsidRPr="004032F4">
        <w:rPr>
          <w:rFonts w:ascii="Times New Roman" w:hAnsi="Times New Roman" w:cs="Times New Roman"/>
          <w:sz w:val="28"/>
          <w:szCs w:val="28"/>
        </w:rPr>
        <w:t>2025</w:t>
      </w:r>
      <w:r w:rsidR="00DA3E35" w:rsidRPr="004032F4">
        <w:rPr>
          <w:rFonts w:ascii="Times New Roman" w:hAnsi="Times New Roman" w:cs="Times New Roman"/>
          <w:sz w:val="28"/>
          <w:szCs w:val="28"/>
        </w:rPr>
        <w:t>-</w:t>
      </w:r>
      <w:r w:rsidR="00933509" w:rsidRPr="004032F4">
        <w:rPr>
          <w:rFonts w:ascii="Times New Roman" w:hAnsi="Times New Roman" w:cs="Times New Roman"/>
          <w:sz w:val="28"/>
          <w:szCs w:val="28"/>
        </w:rPr>
        <w:t>2027</w:t>
      </w:r>
      <w:r w:rsidR="00DA3E35" w:rsidRPr="004032F4">
        <w:rPr>
          <w:rFonts w:ascii="Times New Roman" w:hAnsi="Times New Roman" w:cs="Times New Roman"/>
          <w:sz w:val="28"/>
          <w:szCs w:val="28"/>
        </w:rPr>
        <w:t xml:space="preserve"> годы отвечает требованиям статей 35, 65 БК РФ, а именно формирование расходов бюджета области осуществлено с соблюдением принципа общего (совокупного) покрытия расходов, в соответствии с подлежащими исполнению расходными обязательствами.</w:t>
      </w:r>
    </w:p>
    <w:p w14:paraId="0FDED7E1" w14:textId="1FE2985B" w:rsidR="00DA3E35" w:rsidRPr="004032F4" w:rsidRDefault="00DA3E35" w:rsidP="004167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Согласно представленному реестру расходных обязательств</w:t>
      </w:r>
      <w:r w:rsidR="009A0D44" w:rsidRPr="004032F4">
        <w:rPr>
          <w:rFonts w:ascii="Times New Roman" w:eastAsia="Calibri" w:hAnsi="Times New Roman" w:cs="Times New Roman"/>
          <w:sz w:val="28"/>
          <w:szCs w:val="28"/>
        </w:rPr>
        <w:t>,</w:t>
      </w:r>
      <w:r w:rsidRPr="004032F4">
        <w:rPr>
          <w:rFonts w:ascii="Times New Roman" w:eastAsia="Calibri" w:hAnsi="Times New Roman" w:cs="Times New Roman"/>
          <w:sz w:val="28"/>
          <w:szCs w:val="28"/>
        </w:rPr>
        <w:t xml:space="preserve"> общий объем средств, необходимый для исполнения расходных обязательств Тульской области соответствует объемам бюджетных ассигнований, предусмотренным на их исполнение в статье 1 Законопроекта. </w:t>
      </w:r>
    </w:p>
    <w:p w14:paraId="515B2E14" w14:textId="52FB8C5C" w:rsidR="00DA3E35" w:rsidRPr="004032F4" w:rsidRDefault="00DA3E35" w:rsidP="004167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Часть расходных обязательств при формировании проекта Закона области о бюджете на </w:t>
      </w:r>
      <w:r w:rsidR="00933509" w:rsidRPr="004032F4">
        <w:rPr>
          <w:rFonts w:ascii="Times New Roman" w:eastAsia="Calibri" w:hAnsi="Times New Roman" w:cs="Times New Roman"/>
          <w:sz w:val="28"/>
          <w:szCs w:val="28"/>
        </w:rPr>
        <w:t>2025</w:t>
      </w:r>
      <w:r w:rsidR="009A0D44" w:rsidRPr="004032F4">
        <w:rPr>
          <w:rFonts w:ascii="Times New Roman" w:eastAsia="Calibri" w:hAnsi="Times New Roman" w:cs="Times New Roman"/>
          <w:sz w:val="28"/>
          <w:szCs w:val="28"/>
        </w:rPr>
        <w:t xml:space="preserve"> год</w:t>
      </w:r>
      <w:r w:rsidRPr="004032F4">
        <w:rPr>
          <w:rFonts w:ascii="Times New Roman" w:eastAsia="Calibri" w:hAnsi="Times New Roman" w:cs="Times New Roman"/>
          <w:sz w:val="28"/>
          <w:szCs w:val="28"/>
        </w:rPr>
        <w:t xml:space="preserve"> и на плановый период </w:t>
      </w:r>
      <w:r w:rsidR="00933509" w:rsidRPr="004032F4">
        <w:rPr>
          <w:rFonts w:ascii="Times New Roman" w:eastAsia="Calibri" w:hAnsi="Times New Roman" w:cs="Times New Roman"/>
          <w:sz w:val="28"/>
          <w:szCs w:val="28"/>
        </w:rPr>
        <w:t>2026</w:t>
      </w:r>
      <w:r w:rsidRPr="004032F4">
        <w:rPr>
          <w:rFonts w:ascii="Times New Roman" w:eastAsia="Calibri" w:hAnsi="Times New Roman" w:cs="Times New Roman"/>
          <w:sz w:val="28"/>
          <w:szCs w:val="28"/>
        </w:rPr>
        <w:t>-</w:t>
      </w:r>
      <w:r w:rsidR="00933509" w:rsidRPr="004032F4">
        <w:rPr>
          <w:rFonts w:ascii="Times New Roman" w:eastAsia="Calibri" w:hAnsi="Times New Roman" w:cs="Times New Roman"/>
          <w:sz w:val="28"/>
          <w:szCs w:val="28"/>
        </w:rPr>
        <w:t>2027</w:t>
      </w:r>
      <w:r w:rsidRPr="004032F4">
        <w:rPr>
          <w:rFonts w:ascii="Times New Roman" w:eastAsia="Calibri" w:hAnsi="Times New Roman" w:cs="Times New Roman"/>
          <w:sz w:val="28"/>
          <w:szCs w:val="28"/>
        </w:rPr>
        <w:t xml:space="preserve"> годов </w:t>
      </w:r>
      <w:r w:rsidRPr="004032F4">
        <w:rPr>
          <w:rFonts w:ascii="Times New Roman" w:eastAsia="Calibri" w:hAnsi="Times New Roman" w:cs="Times New Roman"/>
          <w:sz w:val="24"/>
          <w:szCs w:val="24"/>
        </w:rPr>
        <w:t>(подлежащая индексации)</w:t>
      </w:r>
      <w:r w:rsidRPr="004032F4">
        <w:rPr>
          <w:rFonts w:ascii="Times New Roman" w:eastAsia="Calibri" w:hAnsi="Times New Roman" w:cs="Times New Roman"/>
          <w:sz w:val="28"/>
          <w:szCs w:val="28"/>
        </w:rPr>
        <w:t xml:space="preserve"> учтена с учетом прогнозного уровня инфляции на </w:t>
      </w:r>
      <w:r w:rsidR="00933509" w:rsidRPr="004032F4">
        <w:rPr>
          <w:rFonts w:ascii="Times New Roman" w:eastAsia="Calibri" w:hAnsi="Times New Roman" w:cs="Times New Roman"/>
          <w:sz w:val="28"/>
          <w:szCs w:val="28"/>
        </w:rPr>
        <w:t>2025</w:t>
      </w:r>
      <w:r w:rsidR="000A6DB4" w:rsidRPr="004032F4">
        <w:rPr>
          <w:rFonts w:ascii="Times New Roman" w:eastAsia="Calibri" w:hAnsi="Times New Roman" w:cs="Times New Roman"/>
          <w:sz w:val="28"/>
          <w:szCs w:val="28"/>
        </w:rPr>
        <w:t>–</w:t>
      </w:r>
      <w:r w:rsidR="00933509" w:rsidRPr="004032F4">
        <w:rPr>
          <w:rFonts w:ascii="Times New Roman" w:eastAsia="Calibri" w:hAnsi="Times New Roman" w:cs="Times New Roman"/>
          <w:sz w:val="28"/>
          <w:szCs w:val="28"/>
        </w:rPr>
        <w:t>2026</w:t>
      </w:r>
      <w:r w:rsidR="000A6DB4" w:rsidRPr="004032F4">
        <w:rPr>
          <w:rFonts w:ascii="Times New Roman" w:eastAsia="Calibri" w:hAnsi="Times New Roman" w:cs="Times New Roman"/>
          <w:sz w:val="28"/>
          <w:szCs w:val="28"/>
        </w:rPr>
        <w:t xml:space="preserve"> годы</w:t>
      </w:r>
      <w:r w:rsidRPr="004032F4">
        <w:rPr>
          <w:rFonts w:ascii="Times New Roman" w:eastAsia="Calibri" w:hAnsi="Times New Roman" w:cs="Times New Roman"/>
          <w:sz w:val="28"/>
          <w:szCs w:val="28"/>
        </w:rPr>
        <w:t xml:space="preserve"> в размере </w:t>
      </w:r>
      <w:r w:rsidR="002F65C8" w:rsidRPr="004032F4">
        <w:rPr>
          <w:rFonts w:ascii="Times New Roman" w:eastAsia="Calibri" w:hAnsi="Times New Roman" w:cs="Times New Roman"/>
          <w:sz w:val="28"/>
          <w:szCs w:val="28"/>
        </w:rPr>
        <w:t>4</w:t>
      </w:r>
      <w:r w:rsidRPr="004032F4">
        <w:rPr>
          <w:rFonts w:ascii="Times New Roman" w:eastAsia="Calibri" w:hAnsi="Times New Roman" w:cs="Times New Roman"/>
          <w:sz w:val="28"/>
          <w:szCs w:val="28"/>
        </w:rPr>
        <w:t xml:space="preserve">,5% на </w:t>
      </w:r>
      <w:r w:rsidR="00933509" w:rsidRPr="004032F4">
        <w:rPr>
          <w:rFonts w:ascii="Times New Roman" w:eastAsia="Calibri" w:hAnsi="Times New Roman" w:cs="Times New Roman"/>
          <w:sz w:val="28"/>
          <w:szCs w:val="28"/>
        </w:rPr>
        <w:t>2025</w:t>
      </w:r>
      <w:r w:rsidRPr="004032F4">
        <w:rPr>
          <w:rFonts w:ascii="Times New Roman" w:eastAsia="Calibri" w:hAnsi="Times New Roman" w:cs="Times New Roman"/>
          <w:sz w:val="28"/>
          <w:szCs w:val="28"/>
        </w:rPr>
        <w:t xml:space="preserve"> год, по 4% на </w:t>
      </w:r>
      <w:r w:rsidR="00933509" w:rsidRPr="004032F4">
        <w:rPr>
          <w:rFonts w:ascii="Times New Roman" w:eastAsia="Calibri" w:hAnsi="Times New Roman" w:cs="Times New Roman"/>
          <w:sz w:val="28"/>
          <w:szCs w:val="28"/>
        </w:rPr>
        <w:t>2026</w:t>
      </w:r>
      <w:r w:rsidRPr="004032F4">
        <w:rPr>
          <w:rFonts w:ascii="Times New Roman" w:eastAsia="Calibri" w:hAnsi="Times New Roman" w:cs="Times New Roman"/>
          <w:sz w:val="28"/>
          <w:szCs w:val="28"/>
        </w:rPr>
        <w:t xml:space="preserve"> и </w:t>
      </w:r>
      <w:r w:rsidR="00933509" w:rsidRPr="004032F4">
        <w:rPr>
          <w:rFonts w:ascii="Times New Roman" w:eastAsia="Calibri" w:hAnsi="Times New Roman" w:cs="Times New Roman"/>
          <w:sz w:val="28"/>
          <w:szCs w:val="28"/>
        </w:rPr>
        <w:t>2027</w:t>
      </w:r>
      <w:r w:rsidRPr="004032F4">
        <w:rPr>
          <w:rFonts w:ascii="Times New Roman" w:eastAsia="Calibri" w:hAnsi="Times New Roman" w:cs="Times New Roman"/>
          <w:sz w:val="28"/>
          <w:szCs w:val="28"/>
        </w:rPr>
        <w:t xml:space="preserve"> годы</w:t>
      </w:r>
      <w:r w:rsidR="004011F7" w:rsidRPr="004032F4">
        <w:rPr>
          <w:rFonts w:ascii="Times New Roman" w:eastAsia="Calibri" w:hAnsi="Times New Roman" w:cs="Times New Roman"/>
          <w:sz w:val="28"/>
          <w:szCs w:val="28"/>
        </w:rPr>
        <w:t xml:space="preserve"> (согласно пояснительной записке к </w:t>
      </w:r>
      <w:r w:rsidR="00030E9C" w:rsidRPr="004032F4">
        <w:rPr>
          <w:rFonts w:ascii="Times New Roman" w:eastAsia="Calibri" w:hAnsi="Times New Roman" w:cs="Times New Roman"/>
          <w:sz w:val="28"/>
          <w:szCs w:val="28"/>
        </w:rPr>
        <w:t>З</w:t>
      </w:r>
      <w:r w:rsidR="004011F7" w:rsidRPr="004032F4">
        <w:rPr>
          <w:rFonts w:ascii="Times New Roman" w:eastAsia="Calibri" w:hAnsi="Times New Roman" w:cs="Times New Roman"/>
          <w:sz w:val="28"/>
          <w:szCs w:val="28"/>
        </w:rPr>
        <w:t>аконопроекту)</w:t>
      </w:r>
      <w:r w:rsidRPr="004032F4">
        <w:rPr>
          <w:rFonts w:ascii="Times New Roman" w:eastAsia="Calibri" w:hAnsi="Times New Roman" w:cs="Times New Roman"/>
          <w:sz w:val="28"/>
          <w:szCs w:val="28"/>
        </w:rPr>
        <w:t xml:space="preserve">. </w:t>
      </w:r>
    </w:p>
    <w:p w14:paraId="2FB89780" w14:textId="641CCC0F" w:rsidR="00B210D9" w:rsidRPr="004032F4" w:rsidRDefault="00B210D9" w:rsidP="0041670C">
      <w:pPr>
        <w:spacing w:after="0" w:line="240" w:lineRule="auto"/>
        <w:ind w:firstLine="709"/>
        <w:jc w:val="both"/>
        <w:rPr>
          <w:rFonts w:ascii="PT Astra Serif" w:eastAsia="Calibri" w:hAnsi="PT Astra Serif" w:cs="Times New Roman"/>
          <w:sz w:val="28"/>
          <w:szCs w:val="28"/>
        </w:rPr>
      </w:pPr>
      <w:r w:rsidRPr="004032F4">
        <w:rPr>
          <w:rFonts w:ascii="PT Astra Serif" w:eastAsia="Calibri" w:hAnsi="PT Astra Serif" w:cs="Times New Roman"/>
          <w:sz w:val="28"/>
          <w:szCs w:val="28"/>
        </w:rPr>
        <w:t xml:space="preserve">Бюджетные ассигнования расходной части бюджета области на 2025 год и на плановый период 2026 и 2027 годов предусмотрены в объеме 132 289,9 </w:t>
      </w:r>
      <w:r w:rsidRPr="004032F4">
        <w:rPr>
          <w:rFonts w:ascii="PT Astra Serif" w:eastAsia="Calibri" w:hAnsi="PT Astra Serif" w:cs="Times New Roman"/>
          <w:sz w:val="28"/>
          <w:szCs w:val="28"/>
        </w:rPr>
        <w:lastRenderedPageBreak/>
        <w:t>млн. рублей, 131 102,6 млн. рублей, 135 076,8 млн.</w:t>
      </w:r>
      <w:r w:rsidR="007E0556">
        <w:rPr>
          <w:rFonts w:ascii="PT Astra Serif" w:eastAsia="Calibri" w:hAnsi="PT Astra Serif" w:cs="Times New Roman"/>
          <w:sz w:val="28"/>
          <w:szCs w:val="28"/>
        </w:rPr>
        <w:t xml:space="preserve"> рублей соответственно по годам.</w:t>
      </w:r>
      <w:r w:rsidRPr="004032F4">
        <w:rPr>
          <w:rFonts w:ascii="PT Astra Serif" w:eastAsia="Calibri" w:hAnsi="PT Astra Serif" w:cs="Times New Roman"/>
          <w:sz w:val="28"/>
          <w:szCs w:val="28"/>
        </w:rPr>
        <w:t xml:space="preserve"> </w:t>
      </w:r>
    </w:p>
    <w:p w14:paraId="40B28211" w14:textId="12C21112" w:rsidR="00C66F08" w:rsidRPr="004032F4" w:rsidRDefault="00C66F08" w:rsidP="0041670C">
      <w:pPr>
        <w:widowControl w:val="0"/>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Согласно ведомственной структуре расходов бюджета области на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 xml:space="preserve"> год </w:t>
      </w:r>
      <w:r w:rsidRPr="004032F4">
        <w:rPr>
          <w:rFonts w:ascii="Times New Roman" w:eastAsia="Times New Roman" w:hAnsi="Times New Roman" w:cs="Times New Roman"/>
          <w:sz w:val="24"/>
          <w:szCs w:val="24"/>
          <w:lang w:eastAsia="ru-RU"/>
        </w:rPr>
        <w:t>(приложени</w:t>
      </w:r>
      <w:r w:rsidR="00C41A92" w:rsidRPr="004032F4">
        <w:rPr>
          <w:rFonts w:ascii="Times New Roman" w:eastAsia="Times New Roman" w:hAnsi="Times New Roman" w:cs="Times New Roman"/>
          <w:sz w:val="24"/>
          <w:szCs w:val="24"/>
          <w:lang w:eastAsia="ru-RU"/>
        </w:rPr>
        <w:t>е</w:t>
      </w:r>
      <w:r w:rsidRPr="004032F4">
        <w:rPr>
          <w:rFonts w:ascii="Times New Roman" w:eastAsia="Times New Roman" w:hAnsi="Times New Roman" w:cs="Times New Roman"/>
          <w:sz w:val="24"/>
          <w:szCs w:val="24"/>
          <w:lang w:eastAsia="ru-RU"/>
        </w:rPr>
        <w:t xml:space="preserve"> №</w:t>
      </w:r>
      <w:r w:rsidR="00B210D9" w:rsidRPr="004032F4">
        <w:rPr>
          <w:rFonts w:ascii="Times New Roman" w:eastAsia="Times New Roman" w:hAnsi="Times New Roman" w:cs="Times New Roman"/>
          <w:sz w:val="24"/>
          <w:szCs w:val="24"/>
          <w:lang w:eastAsia="ru-RU"/>
        </w:rPr>
        <w:t>9</w:t>
      </w:r>
      <w:r w:rsidR="00C41A92" w:rsidRPr="004032F4">
        <w:rPr>
          <w:rFonts w:ascii="Times New Roman" w:eastAsia="Times New Roman" w:hAnsi="Times New Roman" w:cs="Times New Roman"/>
          <w:sz w:val="24"/>
          <w:szCs w:val="24"/>
          <w:lang w:eastAsia="ru-RU"/>
        </w:rPr>
        <w:t xml:space="preserve"> </w:t>
      </w:r>
      <w:r w:rsidRPr="004032F4">
        <w:rPr>
          <w:rFonts w:ascii="Times New Roman" w:eastAsia="Times New Roman" w:hAnsi="Times New Roman" w:cs="Times New Roman"/>
          <w:sz w:val="24"/>
          <w:szCs w:val="24"/>
          <w:lang w:eastAsia="ru-RU"/>
        </w:rPr>
        <w:t>к Законопроекту)</w:t>
      </w:r>
      <w:r w:rsidR="00D235F6" w:rsidRPr="004032F4">
        <w:rPr>
          <w:rFonts w:ascii="Times New Roman" w:eastAsia="Times New Roman" w:hAnsi="Times New Roman" w:cs="Times New Roman"/>
          <w:sz w:val="28"/>
          <w:szCs w:val="28"/>
          <w:lang w:eastAsia="ru-RU"/>
        </w:rPr>
        <w:t>,</w:t>
      </w:r>
      <w:r w:rsidRPr="004032F4">
        <w:rPr>
          <w:rFonts w:ascii="Times New Roman" w:eastAsia="Times New Roman" w:hAnsi="Times New Roman" w:cs="Times New Roman"/>
          <w:sz w:val="28"/>
          <w:szCs w:val="28"/>
          <w:lang w:eastAsia="ru-RU"/>
        </w:rPr>
        <w:t xml:space="preserve"> бюджетные ассигнования распределены по 3</w:t>
      </w:r>
      <w:r w:rsidR="00B210D9" w:rsidRPr="004032F4">
        <w:rPr>
          <w:rFonts w:ascii="Times New Roman" w:eastAsia="Times New Roman" w:hAnsi="Times New Roman" w:cs="Times New Roman"/>
          <w:sz w:val="28"/>
          <w:szCs w:val="28"/>
          <w:lang w:eastAsia="ru-RU"/>
        </w:rPr>
        <w:t>3</w:t>
      </w:r>
      <w:r w:rsidRPr="004032F4">
        <w:rPr>
          <w:rFonts w:ascii="Times New Roman" w:eastAsia="Times New Roman" w:hAnsi="Times New Roman" w:cs="Times New Roman"/>
          <w:sz w:val="28"/>
          <w:szCs w:val="28"/>
          <w:lang w:eastAsia="ru-RU"/>
        </w:rPr>
        <w:t xml:space="preserve"> ГРБС. Распределение бюджетных ассигнований в разрезе ГРБС представлено в приложении №2 к настоящему заключению.</w:t>
      </w:r>
    </w:p>
    <w:p w14:paraId="497E01AA" w14:textId="7C6FADCA" w:rsidR="0096581A" w:rsidRPr="004032F4" w:rsidRDefault="0096581A" w:rsidP="007E0556">
      <w:pPr>
        <w:widowControl w:val="0"/>
        <w:spacing w:after="0" w:line="240" w:lineRule="auto"/>
        <w:ind w:firstLine="709"/>
        <w:jc w:val="both"/>
        <w:rPr>
          <w:rFonts w:ascii="Times New Roman" w:eastAsia="Times New Roman" w:hAnsi="Times New Roman" w:cs="Times New Roman"/>
          <w:sz w:val="24"/>
          <w:szCs w:val="24"/>
          <w:lang w:eastAsia="ru-RU"/>
        </w:rPr>
      </w:pPr>
      <w:r w:rsidRPr="004032F4">
        <w:rPr>
          <w:rFonts w:ascii="Times New Roman" w:eastAsia="Times New Roman" w:hAnsi="Times New Roman" w:cs="Times New Roman"/>
          <w:sz w:val="28"/>
          <w:szCs w:val="28"/>
          <w:lang w:eastAsia="ru-RU"/>
        </w:rPr>
        <w:t xml:space="preserve">Указом Губернатора Тульской области от 03.10.2024 №117 «О формировании Правительства Тульской области и совершенствовании структуры исполнительных органов власти Тульской области» </w:t>
      </w:r>
      <w:r w:rsidR="00811808" w:rsidRPr="004032F4">
        <w:rPr>
          <w:rFonts w:ascii="Times New Roman" w:eastAsia="Times New Roman" w:hAnsi="Times New Roman" w:cs="Times New Roman"/>
          <w:sz w:val="28"/>
          <w:szCs w:val="28"/>
          <w:lang w:eastAsia="ru-RU"/>
        </w:rPr>
        <w:t>установлено провести ряд организационно-штатных мероприятий по совершенствованию структуры исполнительных органов власти Тульской области</w:t>
      </w:r>
      <w:r w:rsidR="00CB4B6D" w:rsidRPr="004032F4">
        <w:rPr>
          <w:rFonts w:ascii="Times New Roman" w:eastAsia="Times New Roman" w:hAnsi="Times New Roman" w:cs="Times New Roman"/>
          <w:sz w:val="28"/>
          <w:szCs w:val="28"/>
          <w:lang w:eastAsia="ru-RU"/>
        </w:rPr>
        <w:t xml:space="preserve">. Так, </w:t>
      </w:r>
      <w:r w:rsidR="00503EA4" w:rsidRPr="004032F4">
        <w:rPr>
          <w:rFonts w:ascii="Times New Roman" w:eastAsia="Times New Roman" w:hAnsi="Times New Roman" w:cs="Times New Roman"/>
          <w:sz w:val="28"/>
          <w:szCs w:val="28"/>
          <w:lang w:eastAsia="ru-RU"/>
        </w:rPr>
        <w:t xml:space="preserve">из состава министерства жилищно-коммунального хозяйства Тульской области выделяется министерство энергетики Тульской области, </w:t>
      </w:r>
      <w:r w:rsidRPr="004032F4">
        <w:rPr>
          <w:rFonts w:ascii="Times New Roman" w:eastAsia="Times New Roman" w:hAnsi="Times New Roman" w:cs="Times New Roman"/>
          <w:sz w:val="28"/>
          <w:szCs w:val="28"/>
          <w:lang w:eastAsia="ru-RU"/>
        </w:rPr>
        <w:t>министерство природных ресурсов и экологии Тульской области присоединяется к министерству сельского хозяйства</w:t>
      </w:r>
      <w:r w:rsidR="00C41A92" w:rsidRPr="004032F4">
        <w:rPr>
          <w:rFonts w:ascii="Times New Roman" w:eastAsia="Times New Roman" w:hAnsi="Times New Roman" w:cs="Times New Roman"/>
          <w:sz w:val="28"/>
          <w:szCs w:val="28"/>
          <w:lang w:eastAsia="ru-RU"/>
        </w:rPr>
        <w:t>,</w:t>
      </w:r>
      <w:r w:rsidRPr="004032F4">
        <w:rPr>
          <w:rFonts w:ascii="Times New Roman" w:eastAsia="Times New Roman" w:hAnsi="Times New Roman" w:cs="Times New Roman"/>
          <w:sz w:val="28"/>
          <w:szCs w:val="28"/>
          <w:lang w:eastAsia="ru-RU"/>
        </w:rPr>
        <w:t xml:space="preserve"> комитет по делам записи актов гражданского состояния и обеспечению деятельности мировых судей в Тульской области присоедин</w:t>
      </w:r>
      <w:r w:rsidR="00811808" w:rsidRPr="004032F4">
        <w:rPr>
          <w:rFonts w:ascii="Times New Roman" w:eastAsia="Times New Roman" w:hAnsi="Times New Roman" w:cs="Times New Roman"/>
          <w:sz w:val="28"/>
          <w:szCs w:val="28"/>
          <w:lang w:eastAsia="ru-RU"/>
        </w:rPr>
        <w:t>яется</w:t>
      </w:r>
      <w:r w:rsidRPr="004032F4">
        <w:rPr>
          <w:rFonts w:ascii="Times New Roman" w:eastAsia="Times New Roman" w:hAnsi="Times New Roman" w:cs="Times New Roman"/>
          <w:sz w:val="28"/>
          <w:szCs w:val="28"/>
          <w:lang w:eastAsia="ru-RU"/>
        </w:rPr>
        <w:t xml:space="preserve"> к министерству труда и социальной защиты Тульской области</w:t>
      </w:r>
      <w:r w:rsidR="00CB4B6D" w:rsidRPr="004032F4">
        <w:rPr>
          <w:rFonts w:ascii="Times New Roman" w:eastAsia="Times New Roman" w:hAnsi="Times New Roman" w:cs="Times New Roman"/>
          <w:sz w:val="28"/>
          <w:szCs w:val="28"/>
          <w:lang w:eastAsia="ru-RU"/>
        </w:rPr>
        <w:t xml:space="preserve">. </w:t>
      </w:r>
      <w:r w:rsidR="00F20513" w:rsidRPr="004032F4">
        <w:rPr>
          <w:rFonts w:ascii="Times New Roman" w:eastAsia="Times New Roman" w:hAnsi="Times New Roman" w:cs="Times New Roman"/>
          <w:sz w:val="28"/>
          <w:szCs w:val="28"/>
          <w:lang w:eastAsia="ru-RU"/>
        </w:rPr>
        <w:t>Кроме этого предусматриваются</w:t>
      </w:r>
      <w:r w:rsidR="00CB4B6D" w:rsidRPr="004032F4">
        <w:rPr>
          <w:rFonts w:ascii="Times New Roman" w:eastAsia="Times New Roman" w:hAnsi="Times New Roman" w:cs="Times New Roman"/>
          <w:sz w:val="28"/>
          <w:szCs w:val="28"/>
          <w:lang w:eastAsia="ru-RU"/>
        </w:rPr>
        <w:t xml:space="preserve"> и другие мероприятия в части переименования отдельных структур</w:t>
      </w:r>
      <w:r w:rsidR="00977BAE" w:rsidRPr="004032F4">
        <w:rPr>
          <w:rFonts w:ascii="Times New Roman" w:eastAsia="Times New Roman" w:hAnsi="Times New Roman" w:cs="Times New Roman"/>
          <w:sz w:val="28"/>
          <w:szCs w:val="28"/>
          <w:lang w:eastAsia="ru-RU"/>
        </w:rPr>
        <w:t xml:space="preserve"> и передачи функций</w:t>
      </w:r>
      <w:r w:rsidR="00CB4B6D" w:rsidRPr="004032F4">
        <w:rPr>
          <w:rFonts w:ascii="Times New Roman" w:eastAsia="Times New Roman" w:hAnsi="Times New Roman" w:cs="Times New Roman"/>
          <w:sz w:val="28"/>
          <w:szCs w:val="28"/>
          <w:lang w:eastAsia="ru-RU"/>
        </w:rPr>
        <w:t>.</w:t>
      </w:r>
    </w:p>
    <w:p w14:paraId="0212A609" w14:textId="3E62F40D" w:rsidR="0096581A" w:rsidRPr="004032F4" w:rsidRDefault="00CB4B6D" w:rsidP="004032F4">
      <w:pPr>
        <w:widowControl w:val="0"/>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Следует отметить, что комитету по делам записи актов гражданского состояния и обеспечению деятельности мировых судей в Тульской области,</w:t>
      </w:r>
      <w:r w:rsidRPr="004032F4">
        <w:t xml:space="preserve"> </w:t>
      </w:r>
      <w:r w:rsidRPr="004032F4">
        <w:rPr>
          <w:rFonts w:ascii="Times New Roman" w:eastAsia="Times New Roman" w:hAnsi="Times New Roman" w:cs="Times New Roman"/>
          <w:sz w:val="28"/>
          <w:szCs w:val="28"/>
          <w:lang w:eastAsia="ru-RU"/>
        </w:rPr>
        <w:t xml:space="preserve">несмотря на то, что оно присоединяется к министерству труда и социальной защиты Тульской области, на весь бюджетный цикл предусматриваются бюджетные ассигнования </w:t>
      </w:r>
      <w:r w:rsidR="00503EA4" w:rsidRPr="004032F4">
        <w:rPr>
          <w:rFonts w:ascii="Times New Roman" w:eastAsia="Times New Roman" w:hAnsi="Times New Roman" w:cs="Times New Roman"/>
          <w:sz w:val="24"/>
          <w:szCs w:val="24"/>
          <w:lang w:eastAsia="ru-RU"/>
        </w:rPr>
        <w:t>(</w:t>
      </w:r>
      <w:r w:rsidRPr="004032F4">
        <w:rPr>
          <w:rFonts w:ascii="Times New Roman" w:eastAsia="Times New Roman" w:hAnsi="Times New Roman" w:cs="Times New Roman"/>
          <w:sz w:val="24"/>
          <w:szCs w:val="24"/>
          <w:lang w:eastAsia="ru-RU"/>
        </w:rPr>
        <w:t>в размере 224,6 млн. рублей, 207,2 млн. рублей, 211,3 млн. рублей соответственно на 2025, 2026, 2027 годы</w:t>
      </w:r>
      <w:r w:rsidR="00503EA4" w:rsidRPr="004032F4">
        <w:rPr>
          <w:rFonts w:ascii="Times New Roman" w:eastAsia="Times New Roman" w:hAnsi="Times New Roman" w:cs="Times New Roman"/>
          <w:sz w:val="24"/>
          <w:szCs w:val="24"/>
          <w:lang w:eastAsia="ru-RU"/>
        </w:rPr>
        <w:t>)</w:t>
      </w:r>
      <w:r w:rsidRPr="004032F4">
        <w:rPr>
          <w:rFonts w:ascii="Times New Roman" w:eastAsia="Times New Roman" w:hAnsi="Times New Roman" w:cs="Times New Roman"/>
          <w:sz w:val="28"/>
          <w:szCs w:val="28"/>
          <w:lang w:eastAsia="ru-RU"/>
        </w:rPr>
        <w:t>.</w:t>
      </w:r>
    </w:p>
    <w:p w14:paraId="794170C3" w14:textId="77777777" w:rsidR="00CB4B6D" w:rsidRPr="004032F4" w:rsidRDefault="002F65C8" w:rsidP="00CB4B6D">
      <w:pPr>
        <w:tabs>
          <w:tab w:val="left" w:pos="993"/>
        </w:tabs>
        <w:spacing w:before="120"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Основной объем бюджетных ассигнований бюджета области в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 xml:space="preserve"> году </w:t>
      </w:r>
      <w:r w:rsidR="00CB4B6D" w:rsidRPr="004032F4">
        <w:rPr>
          <w:rFonts w:ascii="Times New Roman" w:eastAsia="Times New Roman" w:hAnsi="Times New Roman" w:cs="Times New Roman"/>
          <w:sz w:val="28"/>
          <w:szCs w:val="28"/>
          <w:lang w:eastAsia="ru-RU"/>
        </w:rPr>
        <w:t xml:space="preserve">(72,3%) распределяется между 4 ГРБС: министерство образования Тульской области (30,2%), министерство труда и социальной защиты Тульской области (16,4%), министерство здравоохранения Тульской области (15,9%), министерство транспорта и дорожного хозяйства Тульской области (9,8%). </w:t>
      </w:r>
    </w:p>
    <w:p w14:paraId="19F9DAB3" w14:textId="0ED0BF24" w:rsidR="004F0F8A" w:rsidRPr="004032F4" w:rsidRDefault="009A040C" w:rsidP="0041670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Объемы бюджетных ассигнований (в млн. рублей) в разрезе главных распорядителей средств бюджета и их доли в общем объеме расходов на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 xml:space="preserve"> год </w:t>
      </w:r>
      <w:r w:rsidR="004F0F8A" w:rsidRPr="004032F4">
        <w:rPr>
          <w:rFonts w:ascii="Times New Roman" w:eastAsia="Times New Roman" w:hAnsi="Times New Roman" w:cs="Times New Roman"/>
          <w:sz w:val="28"/>
          <w:szCs w:val="28"/>
          <w:lang w:eastAsia="ru-RU"/>
        </w:rPr>
        <w:t>представлен</w:t>
      </w:r>
      <w:r w:rsidRPr="004032F4">
        <w:rPr>
          <w:rFonts w:ascii="Times New Roman" w:eastAsia="Times New Roman" w:hAnsi="Times New Roman" w:cs="Times New Roman"/>
          <w:sz w:val="28"/>
          <w:szCs w:val="28"/>
          <w:lang w:eastAsia="ru-RU"/>
        </w:rPr>
        <w:t>ы</w:t>
      </w:r>
      <w:r w:rsidR="004F0F8A" w:rsidRPr="004032F4">
        <w:rPr>
          <w:rFonts w:ascii="Times New Roman" w:eastAsia="Times New Roman" w:hAnsi="Times New Roman" w:cs="Times New Roman"/>
          <w:sz w:val="28"/>
          <w:szCs w:val="28"/>
          <w:lang w:eastAsia="ru-RU"/>
        </w:rPr>
        <w:t xml:space="preserve"> на диаграмме ниже</w:t>
      </w:r>
      <w:r w:rsidRPr="004032F4">
        <w:rPr>
          <w:rFonts w:ascii="Times New Roman" w:eastAsia="Times New Roman" w:hAnsi="Times New Roman" w:cs="Times New Roman"/>
          <w:sz w:val="28"/>
          <w:szCs w:val="28"/>
          <w:lang w:eastAsia="ru-RU"/>
        </w:rPr>
        <w:t>.</w:t>
      </w:r>
      <w:r w:rsidR="004F0F8A" w:rsidRPr="004032F4">
        <w:rPr>
          <w:rFonts w:ascii="Times New Roman" w:eastAsia="Times New Roman" w:hAnsi="Times New Roman" w:cs="Times New Roman"/>
          <w:sz w:val="28"/>
          <w:szCs w:val="28"/>
          <w:lang w:eastAsia="ru-RU"/>
        </w:rPr>
        <w:t xml:space="preserve"> </w:t>
      </w:r>
    </w:p>
    <w:p w14:paraId="0B3AFF20" w14:textId="64B4BDA0" w:rsidR="00D90F13" w:rsidRPr="004032F4" w:rsidRDefault="00D90F13" w:rsidP="004E6041">
      <w:pPr>
        <w:tabs>
          <w:tab w:val="left" w:pos="993"/>
        </w:tabs>
        <w:spacing w:before="120" w:after="0" w:line="240" w:lineRule="auto"/>
        <w:jc w:val="both"/>
        <w:rPr>
          <w:rFonts w:ascii="Times New Roman" w:eastAsia="Times New Roman" w:hAnsi="Times New Roman" w:cs="Times New Roman"/>
          <w:sz w:val="28"/>
          <w:szCs w:val="28"/>
          <w:lang w:eastAsia="ru-RU"/>
        </w:rPr>
      </w:pPr>
      <w:r w:rsidRPr="004032F4">
        <w:rPr>
          <w:rFonts w:ascii="Times New Roman" w:eastAsia="Times New Roman" w:hAnsi="Times New Roman"/>
          <w:noProof/>
          <w:sz w:val="28"/>
          <w:szCs w:val="28"/>
          <w:lang w:eastAsia="ru-RU"/>
        </w:rPr>
        <w:drawing>
          <wp:inline distT="0" distB="0" distL="0" distR="0" wp14:anchorId="04DB8849" wp14:editId="41DC038B">
            <wp:extent cx="5534025" cy="2486025"/>
            <wp:effectExtent l="57150" t="57150" r="47625" b="476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8CFFF1" w14:textId="13D2E251" w:rsidR="001F68FC" w:rsidRPr="004032F4" w:rsidRDefault="001F68FC" w:rsidP="001F68FC">
      <w:pPr>
        <w:tabs>
          <w:tab w:val="left" w:pos="993"/>
        </w:tabs>
        <w:spacing w:before="120" w:after="0" w:line="240" w:lineRule="auto"/>
        <w:jc w:val="both"/>
        <w:rPr>
          <w:rFonts w:ascii="Times New Roman" w:eastAsia="Times New Roman" w:hAnsi="Times New Roman" w:cs="Times New Roman"/>
          <w:sz w:val="16"/>
          <w:szCs w:val="16"/>
          <w:lang w:eastAsia="ru-RU"/>
        </w:rPr>
      </w:pPr>
    </w:p>
    <w:p w14:paraId="07A0FFDE" w14:textId="24A17D8C" w:rsidR="00E83DC0" w:rsidRPr="004032F4" w:rsidRDefault="00E83DC0" w:rsidP="007E0556">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Объемы бюджетных ассигнований в разрезе разделов классификации бюджета и их доли в общем объеме расходов на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 xml:space="preserve"> год представлены в приложении №3 к настоящему заключению.</w:t>
      </w:r>
    </w:p>
    <w:p w14:paraId="6A775418" w14:textId="24FE89A8" w:rsidR="00C66F08" w:rsidRPr="004032F4" w:rsidRDefault="00C66F08" w:rsidP="00E83DC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Анализ объемов бюджетных ассигнований, предусматриваемых в бюджете области в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w:t>
      </w:r>
      <w:r w:rsidR="00933509" w:rsidRPr="004032F4">
        <w:rPr>
          <w:rFonts w:ascii="Times New Roman" w:eastAsia="Times New Roman" w:hAnsi="Times New Roman" w:cs="Times New Roman"/>
          <w:sz w:val="28"/>
          <w:szCs w:val="28"/>
          <w:lang w:eastAsia="ru-RU"/>
        </w:rPr>
        <w:t>2027</w:t>
      </w:r>
      <w:r w:rsidRPr="004032F4">
        <w:rPr>
          <w:rFonts w:ascii="Times New Roman" w:eastAsia="Times New Roman" w:hAnsi="Times New Roman" w:cs="Times New Roman"/>
          <w:sz w:val="28"/>
          <w:szCs w:val="28"/>
          <w:lang w:eastAsia="ru-RU"/>
        </w:rPr>
        <w:t xml:space="preserve"> годах, в разрезе разделов бюджетной классификации расходов бюджетов РФ также показал, что </w:t>
      </w:r>
      <w:r w:rsidR="00D90F13" w:rsidRPr="004032F4">
        <w:rPr>
          <w:rFonts w:ascii="Times New Roman" w:eastAsia="Times New Roman" w:hAnsi="Times New Roman" w:cs="Times New Roman"/>
          <w:sz w:val="28"/>
          <w:szCs w:val="28"/>
          <w:lang w:eastAsia="ru-RU"/>
        </w:rPr>
        <w:t>77,7</w:t>
      </w:r>
      <w:r w:rsidRPr="004032F4">
        <w:rPr>
          <w:rFonts w:ascii="Times New Roman" w:eastAsia="Times New Roman" w:hAnsi="Times New Roman" w:cs="Times New Roman"/>
          <w:sz w:val="28"/>
          <w:szCs w:val="28"/>
          <w:lang w:eastAsia="ru-RU"/>
        </w:rPr>
        <w:t>% расходов планируется осуществить в сфере социальной политики</w:t>
      </w:r>
      <w:r w:rsidR="00485326" w:rsidRPr="004032F4">
        <w:rPr>
          <w:rFonts w:ascii="Times New Roman" w:eastAsia="Times New Roman" w:hAnsi="Times New Roman" w:cs="Times New Roman"/>
          <w:sz w:val="28"/>
          <w:szCs w:val="28"/>
          <w:lang w:eastAsia="ru-RU"/>
        </w:rPr>
        <w:t>, образования,</w:t>
      </w:r>
      <w:r w:rsidRPr="004032F4">
        <w:rPr>
          <w:rFonts w:ascii="Times New Roman" w:eastAsia="Times New Roman" w:hAnsi="Times New Roman" w:cs="Times New Roman"/>
          <w:sz w:val="28"/>
          <w:szCs w:val="28"/>
          <w:lang w:eastAsia="ru-RU"/>
        </w:rPr>
        <w:t xml:space="preserve"> национальной экономики</w:t>
      </w:r>
      <w:r w:rsidR="00485326" w:rsidRPr="004032F4">
        <w:rPr>
          <w:rFonts w:ascii="Times New Roman" w:eastAsia="Times New Roman" w:hAnsi="Times New Roman" w:cs="Times New Roman"/>
          <w:sz w:val="28"/>
          <w:szCs w:val="28"/>
          <w:lang w:eastAsia="ru-RU"/>
        </w:rPr>
        <w:t>, здравоохранения.</w:t>
      </w:r>
      <w:r w:rsidRPr="004032F4">
        <w:rPr>
          <w:rFonts w:ascii="Times New Roman" w:eastAsia="Times New Roman" w:hAnsi="Times New Roman" w:cs="Times New Roman"/>
          <w:sz w:val="28"/>
          <w:szCs w:val="28"/>
          <w:lang w:eastAsia="ru-RU"/>
        </w:rPr>
        <w:t xml:space="preserve"> </w:t>
      </w:r>
    </w:p>
    <w:p w14:paraId="327B3F6F" w14:textId="3CCF9C9D" w:rsidR="001F68FC" w:rsidRPr="004032F4" w:rsidRDefault="001F68FC" w:rsidP="001F68FC">
      <w:pPr>
        <w:tabs>
          <w:tab w:val="left" w:pos="993"/>
        </w:tabs>
        <w:spacing w:before="120"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Анализ объемов бюджетных ассигнований по группам видов расходов показал, что основная доля бюджетных ассигнований бюджета области в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 xml:space="preserve"> году (80,5%) приходится на следующие виды расходов: 500 «Межбюджетные трансферты» (доля в общих расходах бюджета области составила 35,4%), 600 «Предоставление субсидий бюджетным, автономным учреждениям и иным некоммерческим организациям» (28,7%), 300 «Социальное обеспечение и иные выплаты населению» (16,4%).</w:t>
      </w:r>
      <w:r w:rsidRPr="004032F4">
        <w:rPr>
          <w:rFonts w:ascii="Calibri" w:eastAsia="Calibri" w:hAnsi="Calibri" w:cs="Times New Roman"/>
        </w:rPr>
        <w:t xml:space="preserve"> </w:t>
      </w:r>
      <w:r w:rsidRPr="004032F4">
        <w:rPr>
          <w:rFonts w:ascii="Times New Roman" w:eastAsia="Times New Roman" w:hAnsi="Times New Roman" w:cs="Times New Roman"/>
          <w:sz w:val="28"/>
          <w:szCs w:val="28"/>
          <w:lang w:eastAsia="ru-RU"/>
        </w:rPr>
        <w:t>Динамика расходов бюджета области на 202</w:t>
      </w:r>
      <w:r w:rsidR="009A0D44" w:rsidRPr="004032F4">
        <w:rPr>
          <w:rFonts w:ascii="Times New Roman" w:eastAsia="Times New Roman" w:hAnsi="Times New Roman" w:cs="Times New Roman"/>
          <w:sz w:val="28"/>
          <w:szCs w:val="28"/>
          <w:lang w:eastAsia="ru-RU"/>
        </w:rPr>
        <w:t>4</w:t>
      </w:r>
      <w:r w:rsidRPr="004032F4">
        <w:rPr>
          <w:rFonts w:ascii="Times New Roman" w:eastAsia="Times New Roman" w:hAnsi="Times New Roman" w:cs="Times New Roman"/>
          <w:sz w:val="28"/>
          <w:szCs w:val="28"/>
          <w:lang w:eastAsia="ru-RU"/>
        </w:rPr>
        <w:t>–</w:t>
      </w:r>
      <w:r w:rsidR="00933509" w:rsidRPr="004032F4">
        <w:rPr>
          <w:rFonts w:ascii="Times New Roman" w:eastAsia="Times New Roman" w:hAnsi="Times New Roman" w:cs="Times New Roman"/>
          <w:sz w:val="28"/>
          <w:szCs w:val="28"/>
          <w:lang w:eastAsia="ru-RU"/>
        </w:rPr>
        <w:t>2027</w:t>
      </w:r>
      <w:r w:rsidRPr="004032F4">
        <w:rPr>
          <w:rFonts w:ascii="Times New Roman" w:eastAsia="Times New Roman" w:hAnsi="Times New Roman" w:cs="Times New Roman"/>
          <w:sz w:val="28"/>
          <w:szCs w:val="28"/>
          <w:lang w:eastAsia="ru-RU"/>
        </w:rPr>
        <w:t xml:space="preserve"> годы по группам видов расходов, а также их структура представлена в приложении №4 к настоящему заключению.</w:t>
      </w:r>
    </w:p>
    <w:p w14:paraId="797056A2" w14:textId="31C0EEBA" w:rsidR="00C66F08" w:rsidRPr="004032F4" w:rsidRDefault="00C66F08" w:rsidP="00C66F08">
      <w:pPr>
        <w:tabs>
          <w:tab w:val="left" w:pos="993"/>
        </w:tabs>
        <w:spacing w:before="120"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Сравнительный анализ </w:t>
      </w:r>
      <w:r w:rsidR="00D80957" w:rsidRPr="004032F4">
        <w:rPr>
          <w:rFonts w:ascii="Times New Roman" w:eastAsia="Times New Roman" w:hAnsi="Times New Roman" w:cs="Times New Roman"/>
          <w:sz w:val="28"/>
          <w:szCs w:val="28"/>
          <w:lang w:eastAsia="ru-RU"/>
        </w:rPr>
        <w:t xml:space="preserve">доли бюджетных ассигнований в общем объеме расходов </w:t>
      </w:r>
      <w:r w:rsidRPr="004032F4">
        <w:rPr>
          <w:rFonts w:ascii="Times New Roman" w:eastAsia="Times New Roman" w:hAnsi="Times New Roman" w:cs="Times New Roman"/>
          <w:sz w:val="28"/>
          <w:szCs w:val="28"/>
          <w:lang w:eastAsia="ru-RU"/>
        </w:rPr>
        <w:t xml:space="preserve">на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 xml:space="preserve"> год к </w:t>
      </w:r>
      <w:r w:rsidR="00D80957" w:rsidRPr="004032F4">
        <w:rPr>
          <w:rFonts w:ascii="Times New Roman" w:eastAsia="Times New Roman" w:hAnsi="Times New Roman" w:cs="Times New Roman"/>
          <w:sz w:val="28"/>
          <w:szCs w:val="28"/>
          <w:lang w:eastAsia="ru-RU"/>
        </w:rPr>
        <w:t>соответствующим показателям</w:t>
      </w:r>
      <w:r w:rsidRPr="004032F4">
        <w:rPr>
          <w:rFonts w:ascii="Times New Roman" w:eastAsia="Times New Roman" w:hAnsi="Times New Roman" w:cs="Times New Roman"/>
          <w:sz w:val="28"/>
          <w:szCs w:val="28"/>
          <w:lang w:eastAsia="ru-RU"/>
        </w:rPr>
        <w:t xml:space="preserve"> 202</w:t>
      </w:r>
      <w:r w:rsidR="00D90F13" w:rsidRPr="004032F4">
        <w:rPr>
          <w:rFonts w:ascii="Times New Roman" w:eastAsia="Times New Roman" w:hAnsi="Times New Roman" w:cs="Times New Roman"/>
          <w:sz w:val="28"/>
          <w:szCs w:val="28"/>
          <w:lang w:eastAsia="ru-RU"/>
        </w:rPr>
        <w:t>4</w:t>
      </w:r>
      <w:r w:rsidRPr="004032F4">
        <w:rPr>
          <w:rFonts w:ascii="Times New Roman" w:eastAsia="Times New Roman" w:hAnsi="Times New Roman" w:cs="Times New Roman"/>
          <w:sz w:val="28"/>
          <w:szCs w:val="28"/>
          <w:lang w:eastAsia="ru-RU"/>
        </w:rPr>
        <w:t xml:space="preserve"> года позволяет отметить следующее:</w:t>
      </w:r>
    </w:p>
    <w:p w14:paraId="5A1AEEB4" w14:textId="26E395E1" w:rsidR="00B60477" w:rsidRPr="004032F4" w:rsidRDefault="00513D12" w:rsidP="00B60477">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w:t>
      </w:r>
      <w:r w:rsidR="00B60477" w:rsidRPr="004032F4">
        <w:rPr>
          <w:rFonts w:ascii="Times New Roman" w:eastAsia="Times New Roman" w:hAnsi="Times New Roman" w:cs="Times New Roman"/>
          <w:sz w:val="28"/>
          <w:szCs w:val="28"/>
          <w:lang w:eastAsia="ru-RU"/>
        </w:rPr>
        <w:t xml:space="preserve">увеличение доли расходов по КВР 400 «Капитальные вложения в объекты государственной (муниципальной) собственности» с 2% </w:t>
      </w:r>
      <w:r w:rsidR="00B60477" w:rsidRPr="004032F4">
        <w:rPr>
          <w:rFonts w:ascii="Times New Roman" w:eastAsia="Times New Roman" w:hAnsi="Times New Roman" w:cs="Times New Roman"/>
          <w:lang w:eastAsia="ru-RU"/>
        </w:rPr>
        <w:t>(в 2024 году)</w:t>
      </w:r>
      <w:r w:rsidR="00B60477" w:rsidRPr="004032F4">
        <w:rPr>
          <w:rFonts w:ascii="Times New Roman" w:eastAsia="Times New Roman" w:hAnsi="Times New Roman" w:cs="Times New Roman"/>
          <w:sz w:val="28"/>
          <w:szCs w:val="28"/>
          <w:lang w:eastAsia="ru-RU"/>
        </w:rPr>
        <w:t xml:space="preserve"> до 2,4% </w:t>
      </w:r>
      <w:r w:rsidR="00B60477" w:rsidRPr="004032F4">
        <w:rPr>
          <w:rFonts w:ascii="Times New Roman" w:eastAsia="Times New Roman" w:hAnsi="Times New Roman" w:cs="Times New Roman"/>
          <w:lang w:eastAsia="ru-RU"/>
        </w:rPr>
        <w:t>(в 2025 году</w:t>
      </w:r>
      <w:r w:rsidR="00B60477" w:rsidRPr="004032F4">
        <w:rPr>
          <w:rFonts w:ascii="Times New Roman" w:eastAsia="Times New Roman" w:hAnsi="Times New Roman" w:cs="Times New Roman"/>
          <w:vertAlign w:val="superscript"/>
          <w:lang w:eastAsia="ru-RU"/>
        </w:rPr>
        <w:footnoteReference w:id="17"/>
      </w:r>
      <w:r w:rsidR="00B60477" w:rsidRPr="004032F4">
        <w:rPr>
          <w:rFonts w:ascii="Times New Roman" w:eastAsia="Times New Roman" w:hAnsi="Times New Roman" w:cs="Times New Roman"/>
          <w:lang w:eastAsia="ru-RU"/>
        </w:rPr>
        <w:t>)</w:t>
      </w:r>
      <w:r w:rsidR="00B60477" w:rsidRPr="004032F4">
        <w:rPr>
          <w:rFonts w:ascii="Times New Roman" w:eastAsia="Times New Roman" w:hAnsi="Times New Roman" w:cs="Times New Roman"/>
          <w:sz w:val="28"/>
          <w:szCs w:val="28"/>
          <w:lang w:eastAsia="ru-RU"/>
        </w:rPr>
        <w:t xml:space="preserve">; по КВР 600 «Предоставление субсидий бюджетным, автономным учреждениям и иным некоммерческим организациям» с 29% </w:t>
      </w:r>
      <w:r w:rsidR="00B60477" w:rsidRPr="004032F4">
        <w:rPr>
          <w:rFonts w:ascii="Times New Roman" w:eastAsia="Times New Roman" w:hAnsi="Times New Roman" w:cs="Times New Roman"/>
          <w:lang w:eastAsia="ru-RU"/>
        </w:rPr>
        <w:t>(в 2024 году)</w:t>
      </w:r>
      <w:r w:rsidR="00B60477" w:rsidRPr="004032F4">
        <w:rPr>
          <w:rFonts w:ascii="Times New Roman" w:eastAsia="Times New Roman" w:hAnsi="Times New Roman" w:cs="Times New Roman"/>
          <w:sz w:val="28"/>
          <w:szCs w:val="28"/>
          <w:lang w:eastAsia="ru-RU"/>
        </w:rPr>
        <w:t xml:space="preserve"> до 29,4% </w:t>
      </w:r>
      <w:r w:rsidR="00B60477" w:rsidRPr="004032F4">
        <w:rPr>
          <w:rFonts w:ascii="Times New Roman" w:eastAsia="Times New Roman" w:hAnsi="Times New Roman" w:cs="Times New Roman"/>
          <w:lang w:eastAsia="ru-RU"/>
        </w:rPr>
        <w:t>(в 2025 году)</w:t>
      </w:r>
      <w:r w:rsidR="00B60477" w:rsidRPr="004032F4">
        <w:rPr>
          <w:rFonts w:ascii="Times New Roman" w:eastAsia="Times New Roman" w:hAnsi="Times New Roman" w:cs="Times New Roman"/>
          <w:sz w:val="28"/>
          <w:szCs w:val="28"/>
          <w:lang w:eastAsia="ru-RU"/>
        </w:rPr>
        <w:t xml:space="preserve">; по КВР 700 «Обслуживание государственного (муниципального) долга» с 0,2% </w:t>
      </w:r>
      <w:r w:rsidR="00B60477" w:rsidRPr="004032F4">
        <w:rPr>
          <w:rFonts w:ascii="Times New Roman" w:eastAsia="Times New Roman" w:hAnsi="Times New Roman" w:cs="Times New Roman"/>
          <w:lang w:eastAsia="ru-RU"/>
        </w:rPr>
        <w:t>(в 2024 году)</w:t>
      </w:r>
      <w:r w:rsidR="00B60477" w:rsidRPr="004032F4">
        <w:rPr>
          <w:rFonts w:ascii="Times New Roman" w:eastAsia="Times New Roman" w:hAnsi="Times New Roman" w:cs="Times New Roman"/>
          <w:sz w:val="28"/>
          <w:szCs w:val="28"/>
          <w:lang w:eastAsia="ru-RU"/>
        </w:rPr>
        <w:t xml:space="preserve"> до 0,8% </w:t>
      </w:r>
      <w:r w:rsidR="00B60477" w:rsidRPr="004032F4">
        <w:rPr>
          <w:rFonts w:ascii="Times New Roman" w:eastAsia="Times New Roman" w:hAnsi="Times New Roman" w:cs="Times New Roman"/>
          <w:lang w:eastAsia="ru-RU"/>
        </w:rPr>
        <w:t>(в 2025 году)</w:t>
      </w:r>
      <w:r w:rsidR="00B60477" w:rsidRPr="004032F4">
        <w:rPr>
          <w:rFonts w:ascii="Times New Roman" w:eastAsia="Times New Roman" w:hAnsi="Times New Roman" w:cs="Times New Roman"/>
          <w:sz w:val="28"/>
          <w:szCs w:val="28"/>
          <w:lang w:eastAsia="ru-RU"/>
        </w:rPr>
        <w:t>.</w:t>
      </w:r>
    </w:p>
    <w:p w14:paraId="24B474F8" w14:textId="01482A1F" w:rsidR="00513D12" w:rsidRPr="004032F4" w:rsidRDefault="00B60477" w:rsidP="00513D1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 </w:t>
      </w:r>
      <w:r w:rsidR="00513D12" w:rsidRPr="004032F4">
        <w:rPr>
          <w:rFonts w:ascii="Times New Roman" w:eastAsia="Times New Roman" w:hAnsi="Times New Roman" w:cs="Times New Roman"/>
          <w:sz w:val="28"/>
          <w:szCs w:val="28"/>
          <w:lang w:eastAsia="ru-RU"/>
        </w:rPr>
        <w:t>сокращение доли расходов по КВР 500 «Межбюджетные трансферты» с 3</w:t>
      </w:r>
      <w:r w:rsidRPr="004032F4">
        <w:rPr>
          <w:rFonts w:ascii="Times New Roman" w:eastAsia="Times New Roman" w:hAnsi="Times New Roman" w:cs="Times New Roman"/>
          <w:sz w:val="28"/>
          <w:szCs w:val="28"/>
          <w:lang w:eastAsia="ru-RU"/>
        </w:rPr>
        <w:t>3,5%</w:t>
      </w:r>
      <w:r w:rsidR="00513D12" w:rsidRPr="004032F4">
        <w:rPr>
          <w:rFonts w:ascii="Times New Roman" w:eastAsia="Times New Roman" w:hAnsi="Times New Roman" w:cs="Times New Roman"/>
          <w:sz w:val="28"/>
          <w:szCs w:val="28"/>
          <w:lang w:eastAsia="ru-RU"/>
        </w:rPr>
        <w:t xml:space="preserve"> (</w:t>
      </w:r>
      <w:r w:rsidR="00513D12" w:rsidRPr="004032F4">
        <w:rPr>
          <w:rFonts w:ascii="Times New Roman" w:eastAsia="Times New Roman" w:hAnsi="Times New Roman" w:cs="Times New Roman"/>
          <w:lang w:eastAsia="ru-RU"/>
        </w:rPr>
        <w:t>в 202</w:t>
      </w:r>
      <w:r w:rsidRPr="004032F4">
        <w:rPr>
          <w:rFonts w:ascii="Times New Roman" w:eastAsia="Times New Roman" w:hAnsi="Times New Roman" w:cs="Times New Roman"/>
          <w:lang w:eastAsia="ru-RU"/>
        </w:rPr>
        <w:t>4</w:t>
      </w:r>
      <w:r w:rsidR="00513D12" w:rsidRPr="004032F4">
        <w:rPr>
          <w:rFonts w:ascii="Times New Roman" w:eastAsia="Times New Roman" w:hAnsi="Times New Roman" w:cs="Times New Roman"/>
          <w:lang w:eastAsia="ru-RU"/>
        </w:rPr>
        <w:t xml:space="preserve"> году</w:t>
      </w:r>
      <w:r w:rsidR="00513D12" w:rsidRPr="004032F4">
        <w:rPr>
          <w:rFonts w:ascii="Times New Roman" w:eastAsia="Times New Roman" w:hAnsi="Times New Roman" w:cs="Times New Roman"/>
          <w:sz w:val="28"/>
          <w:szCs w:val="28"/>
          <w:lang w:eastAsia="ru-RU"/>
        </w:rPr>
        <w:t>) до 3</w:t>
      </w:r>
      <w:r w:rsidRPr="004032F4">
        <w:rPr>
          <w:rFonts w:ascii="Times New Roman" w:eastAsia="Times New Roman" w:hAnsi="Times New Roman" w:cs="Times New Roman"/>
          <w:sz w:val="28"/>
          <w:szCs w:val="28"/>
          <w:lang w:eastAsia="ru-RU"/>
        </w:rPr>
        <w:t>2,2%</w:t>
      </w:r>
      <w:r w:rsidR="00513D12" w:rsidRPr="004032F4">
        <w:rPr>
          <w:rFonts w:ascii="Times New Roman" w:eastAsia="Times New Roman" w:hAnsi="Times New Roman" w:cs="Times New Roman"/>
          <w:sz w:val="28"/>
          <w:szCs w:val="28"/>
          <w:lang w:eastAsia="ru-RU"/>
        </w:rPr>
        <w:t xml:space="preserve"> в (</w:t>
      </w:r>
      <w:r w:rsidR="00933509" w:rsidRPr="004032F4">
        <w:rPr>
          <w:rFonts w:ascii="Times New Roman" w:eastAsia="Times New Roman" w:hAnsi="Times New Roman" w:cs="Times New Roman"/>
          <w:lang w:eastAsia="ru-RU"/>
        </w:rPr>
        <w:t>2025</w:t>
      </w:r>
      <w:r w:rsidR="00513D12" w:rsidRPr="004032F4">
        <w:rPr>
          <w:rFonts w:ascii="Times New Roman" w:eastAsia="Times New Roman" w:hAnsi="Times New Roman" w:cs="Times New Roman"/>
          <w:lang w:eastAsia="ru-RU"/>
        </w:rPr>
        <w:t xml:space="preserve"> году</w:t>
      </w:r>
      <w:r w:rsidR="00513D12" w:rsidRPr="004032F4">
        <w:rPr>
          <w:rFonts w:ascii="Times New Roman" w:eastAsia="Times New Roman" w:hAnsi="Times New Roman" w:cs="Times New Roman"/>
          <w:sz w:val="28"/>
          <w:szCs w:val="28"/>
          <w:lang w:eastAsia="ru-RU"/>
        </w:rPr>
        <w:t>)</w:t>
      </w:r>
      <w:r w:rsidRPr="004032F4">
        <w:rPr>
          <w:rFonts w:ascii="Times New Roman" w:eastAsia="Times New Roman" w:hAnsi="Times New Roman" w:cs="Times New Roman"/>
          <w:sz w:val="28"/>
          <w:szCs w:val="28"/>
          <w:lang w:eastAsia="ru-RU"/>
        </w:rPr>
        <w:t>.</w:t>
      </w:r>
      <w:r w:rsidR="00513D12" w:rsidRPr="004032F4">
        <w:rPr>
          <w:rFonts w:ascii="Times New Roman" w:eastAsia="Times New Roman" w:hAnsi="Times New Roman" w:cs="Times New Roman"/>
          <w:sz w:val="28"/>
          <w:szCs w:val="28"/>
          <w:lang w:eastAsia="ru-RU"/>
        </w:rPr>
        <w:t xml:space="preserve"> </w:t>
      </w:r>
    </w:p>
    <w:p w14:paraId="39F824C9" w14:textId="433295E4" w:rsidR="00513D12" w:rsidRPr="004032F4" w:rsidRDefault="00513D12" w:rsidP="00513D1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Более подробная информация об изменениях годовых объемов в 202</w:t>
      </w:r>
      <w:r w:rsidR="00B60477" w:rsidRPr="004032F4">
        <w:rPr>
          <w:rFonts w:ascii="Times New Roman" w:eastAsia="Times New Roman" w:hAnsi="Times New Roman" w:cs="Times New Roman"/>
          <w:sz w:val="28"/>
          <w:szCs w:val="28"/>
          <w:lang w:eastAsia="ru-RU"/>
        </w:rPr>
        <w:t>5</w:t>
      </w:r>
      <w:r w:rsidRPr="004032F4">
        <w:rPr>
          <w:rFonts w:ascii="Times New Roman" w:eastAsia="Times New Roman" w:hAnsi="Times New Roman" w:cs="Times New Roman"/>
          <w:sz w:val="28"/>
          <w:szCs w:val="28"/>
          <w:lang w:eastAsia="ru-RU"/>
        </w:rPr>
        <w:t xml:space="preserve"> году по отношению к 202</w:t>
      </w:r>
      <w:r w:rsidR="00B60477" w:rsidRPr="004032F4">
        <w:rPr>
          <w:rFonts w:ascii="Times New Roman" w:eastAsia="Times New Roman" w:hAnsi="Times New Roman" w:cs="Times New Roman"/>
          <w:sz w:val="28"/>
          <w:szCs w:val="28"/>
          <w:lang w:eastAsia="ru-RU"/>
        </w:rPr>
        <w:t>4</w:t>
      </w:r>
      <w:r w:rsidRPr="004032F4">
        <w:rPr>
          <w:rFonts w:ascii="Times New Roman" w:eastAsia="Times New Roman" w:hAnsi="Times New Roman" w:cs="Times New Roman"/>
          <w:sz w:val="28"/>
          <w:szCs w:val="28"/>
          <w:lang w:eastAsia="ru-RU"/>
        </w:rPr>
        <w:t xml:space="preserve"> году представлена в соответствующих разделах настоящего заключения.</w:t>
      </w:r>
    </w:p>
    <w:p w14:paraId="6E112149" w14:textId="6373F18C" w:rsidR="006068D6" w:rsidRPr="004032F4" w:rsidRDefault="00D875D8" w:rsidP="006068D6">
      <w:pPr>
        <w:tabs>
          <w:tab w:val="left" w:pos="993"/>
        </w:tabs>
        <w:spacing w:before="120" w:after="0" w:line="240" w:lineRule="auto"/>
        <w:ind w:firstLine="709"/>
        <w:jc w:val="both"/>
        <w:rPr>
          <w:rFonts w:ascii="PT Astra Serif" w:hAnsi="PT Astra Serif"/>
          <w:sz w:val="28"/>
          <w:szCs w:val="28"/>
        </w:rPr>
      </w:pPr>
      <w:r w:rsidRPr="004032F4">
        <w:rPr>
          <w:rFonts w:ascii="Times New Roman" w:eastAsia="Calibri" w:hAnsi="Times New Roman" w:cs="Times New Roman"/>
          <w:b/>
          <w:sz w:val="28"/>
          <w:szCs w:val="28"/>
        </w:rPr>
        <w:t>3.2.</w:t>
      </w:r>
      <w:r w:rsidRPr="004032F4">
        <w:rPr>
          <w:rFonts w:ascii="Times New Roman" w:eastAsia="Calibri" w:hAnsi="Times New Roman" w:cs="Times New Roman"/>
          <w:sz w:val="28"/>
          <w:szCs w:val="28"/>
        </w:rPr>
        <w:t> </w:t>
      </w:r>
      <w:r w:rsidR="007B19BD" w:rsidRPr="004032F4">
        <w:rPr>
          <w:rFonts w:ascii="Times New Roman" w:eastAsia="Calibri" w:hAnsi="Times New Roman" w:cs="Times New Roman"/>
          <w:sz w:val="28"/>
          <w:szCs w:val="28"/>
        </w:rPr>
        <w:t xml:space="preserve">На </w:t>
      </w:r>
      <w:r w:rsidR="00933509" w:rsidRPr="004032F4">
        <w:rPr>
          <w:rFonts w:ascii="Times New Roman" w:eastAsia="Calibri" w:hAnsi="Times New Roman" w:cs="Times New Roman"/>
          <w:sz w:val="28"/>
          <w:szCs w:val="28"/>
        </w:rPr>
        <w:t>2025</w:t>
      </w:r>
      <w:r w:rsidR="007B19BD" w:rsidRPr="004032F4">
        <w:rPr>
          <w:rFonts w:ascii="Times New Roman" w:eastAsia="Calibri" w:hAnsi="Times New Roman" w:cs="Times New Roman"/>
          <w:sz w:val="28"/>
          <w:szCs w:val="28"/>
        </w:rPr>
        <w:t>-</w:t>
      </w:r>
      <w:r w:rsidR="00933509" w:rsidRPr="004032F4">
        <w:rPr>
          <w:rFonts w:ascii="Times New Roman" w:eastAsia="Calibri" w:hAnsi="Times New Roman" w:cs="Times New Roman"/>
          <w:sz w:val="28"/>
          <w:szCs w:val="28"/>
        </w:rPr>
        <w:t>2027</w:t>
      </w:r>
      <w:r w:rsidR="007B19BD" w:rsidRPr="004032F4">
        <w:rPr>
          <w:rFonts w:ascii="Times New Roman" w:eastAsia="Calibri" w:hAnsi="Times New Roman" w:cs="Times New Roman"/>
          <w:sz w:val="28"/>
          <w:szCs w:val="28"/>
        </w:rPr>
        <w:t xml:space="preserve"> годы бюджетные ассигнования на исполнение </w:t>
      </w:r>
      <w:r w:rsidR="007B19BD" w:rsidRPr="004032F4">
        <w:rPr>
          <w:rFonts w:ascii="Times New Roman" w:eastAsia="Calibri" w:hAnsi="Times New Roman" w:cs="Times New Roman"/>
          <w:i/>
          <w:sz w:val="28"/>
          <w:szCs w:val="28"/>
        </w:rPr>
        <w:t>публичных нормативных обязательств</w:t>
      </w:r>
      <w:r w:rsidR="007B19BD" w:rsidRPr="004032F4">
        <w:rPr>
          <w:rFonts w:ascii="Times New Roman" w:eastAsia="Calibri" w:hAnsi="Times New Roman" w:cs="Times New Roman"/>
          <w:sz w:val="28"/>
          <w:szCs w:val="28"/>
        </w:rPr>
        <w:t xml:space="preserve"> статьей </w:t>
      </w:r>
      <w:r w:rsidR="00920D78" w:rsidRPr="004032F4">
        <w:rPr>
          <w:rFonts w:ascii="Times New Roman" w:eastAsia="Calibri" w:hAnsi="Times New Roman" w:cs="Times New Roman"/>
          <w:sz w:val="28"/>
          <w:szCs w:val="28"/>
        </w:rPr>
        <w:t>6</w:t>
      </w:r>
      <w:r w:rsidR="007B19BD" w:rsidRPr="004032F4">
        <w:rPr>
          <w:rFonts w:ascii="Times New Roman" w:eastAsia="Calibri" w:hAnsi="Times New Roman" w:cs="Times New Roman"/>
          <w:sz w:val="28"/>
          <w:szCs w:val="28"/>
        </w:rPr>
        <w:t xml:space="preserve"> Законопроекта устанавливаются в следующих объемах: </w:t>
      </w:r>
      <w:r w:rsidR="006068D6" w:rsidRPr="004032F4">
        <w:rPr>
          <w:rFonts w:ascii="PT Astra Serif" w:hAnsi="PT Astra Serif"/>
          <w:sz w:val="28"/>
          <w:szCs w:val="28"/>
        </w:rPr>
        <w:t xml:space="preserve">на </w:t>
      </w:r>
      <w:r w:rsidR="00933509" w:rsidRPr="004032F4">
        <w:rPr>
          <w:rFonts w:ascii="PT Astra Serif" w:hAnsi="PT Astra Serif"/>
          <w:sz w:val="28"/>
          <w:szCs w:val="28"/>
        </w:rPr>
        <w:t>2025</w:t>
      </w:r>
      <w:r w:rsidR="006068D6" w:rsidRPr="004032F4">
        <w:rPr>
          <w:rFonts w:ascii="PT Astra Serif" w:hAnsi="PT Astra Serif"/>
          <w:sz w:val="28"/>
          <w:szCs w:val="28"/>
        </w:rPr>
        <w:t xml:space="preserve"> год </w:t>
      </w:r>
      <w:r w:rsidR="00920D78" w:rsidRPr="004032F4">
        <w:rPr>
          <w:rFonts w:ascii="PT Astra Serif" w:hAnsi="PT Astra Serif"/>
          <w:sz w:val="28"/>
          <w:szCs w:val="28"/>
        </w:rPr>
        <w:t xml:space="preserve">в сумме 4 441,6 млн. </w:t>
      </w:r>
      <w:r w:rsidR="00920D78" w:rsidRPr="004032F4">
        <w:rPr>
          <w:rFonts w:ascii="PT Astra Serif" w:hAnsi="PT Astra Serif"/>
          <w:sz w:val="28"/>
          <w:szCs w:val="28"/>
        </w:rPr>
        <w:lastRenderedPageBreak/>
        <w:t xml:space="preserve">рублей; на 2026 год в сумме 3 879,8 млн. рублей; на 2027 год в сумме 3 871,5 </w:t>
      </w:r>
      <w:r w:rsidR="009A0D44" w:rsidRPr="004032F4">
        <w:rPr>
          <w:rFonts w:ascii="PT Astra Serif" w:hAnsi="PT Astra Serif"/>
          <w:sz w:val="28"/>
          <w:szCs w:val="28"/>
        </w:rPr>
        <w:t xml:space="preserve">млн. рублей </w:t>
      </w:r>
      <w:r w:rsidR="006068D6" w:rsidRPr="004032F4">
        <w:rPr>
          <w:rFonts w:ascii="PT Astra Serif" w:hAnsi="PT Astra Serif"/>
          <w:sz w:val="28"/>
          <w:szCs w:val="28"/>
        </w:rPr>
        <w:t>и соответствуют объемам бюджетных ассигнований в приложениях №№ </w:t>
      </w:r>
      <w:r w:rsidR="00920D78" w:rsidRPr="004032F4">
        <w:rPr>
          <w:rFonts w:ascii="PT Astra Serif" w:hAnsi="PT Astra Serif"/>
          <w:sz w:val="28"/>
          <w:szCs w:val="28"/>
        </w:rPr>
        <w:t>7</w:t>
      </w:r>
      <w:r w:rsidR="006068D6" w:rsidRPr="004032F4">
        <w:rPr>
          <w:rFonts w:ascii="PT Astra Serif" w:hAnsi="PT Astra Serif"/>
          <w:sz w:val="28"/>
          <w:szCs w:val="28"/>
        </w:rPr>
        <w:t xml:space="preserve"> -11к Законопроекту. </w:t>
      </w:r>
    </w:p>
    <w:p w14:paraId="6AB04F84" w14:textId="4BF241AD" w:rsidR="00464CA7" w:rsidRPr="004032F4" w:rsidRDefault="00464CA7" w:rsidP="006068D6">
      <w:pPr>
        <w:tabs>
          <w:tab w:val="left" w:pos="993"/>
        </w:tabs>
        <w:spacing w:before="120" w:after="0" w:line="240" w:lineRule="auto"/>
        <w:ind w:firstLine="709"/>
        <w:jc w:val="both"/>
        <w:rPr>
          <w:rFonts w:ascii="Times New Roman" w:eastAsia="Calibri" w:hAnsi="Times New Roman" w:cs="Times New Roman"/>
          <w:sz w:val="24"/>
          <w:szCs w:val="24"/>
        </w:rPr>
      </w:pPr>
      <w:r w:rsidRPr="004032F4">
        <w:rPr>
          <w:rFonts w:ascii="Times New Roman" w:eastAsia="Calibri" w:hAnsi="Times New Roman" w:cs="Times New Roman"/>
          <w:sz w:val="24"/>
          <w:szCs w:val="24"/>
        </w:rPr>
        <w:t>Справочно: Закон</w:t>
      </w:r>
      <w:r w:rsidR="002C190B" w:rsidRPr="004032F4">
        <w:rPr>
          <w:rFonts w:ascii="Times New Roman" w:eastAsia="Calibri" w:hAnsi="Times New Roman" w:cs="Times New Roman"/>
          <w:sz w:val="24"/>
          <w:szCs w:val="24"/>
        </w:rPr>
        <w:t>ом</w:t>
      </w:r>
      <w:r w:rsidRPr="004032F4">
        <w:rPr>
          <w:rFonts w:ascii="Times New Roman" w:eastAsia="Calibri" w:hAnsi="Times New Roman" w:cs="Times New Roman"/>
          <w:sz w:val="24"/>
          <w:szCs w:val="24"/>
        </w:rPr>
        <w:t xml:space="preserve"> о бюджете области на 202</w:t>
      </w:r>
      <w:r w:rsidR="0075349D" w:rsidRPr="004032F4">
        <w:rPr>
          <w:rFonts w:ascii="Times New Roman" w:eastAsia="Calibri" w:hAnsi="Times New Roman" w:cs="Times New Roman"/>
          <w:sz w:val="24"/>
          <w:szCs w:val="24"/>
        </w:rPr>
        <w:t>4</w:t>
      </w:r>
      <w:r w:rsidRPr="004032F4">
        <w:rPr>
          <w:rFonts w:ascii="Times New Roman" w:eastAsia="Calibri" w:hAnsi="Times New Roman" w:cs="Times New Roman"/>
          <w:sz w:val="24"/>
          <w:szCs w:val="24"/>
        </w:rPr>
        <w:t xml:space="preserve"> год бюджетные ассигнования на исполнение публичных обязательств </w:t>
      </w:r>
      <w:r w:rsidR="00CE3063" w:rsidRPr="004032F4">
        <w:rPr>
          <w:rFonts w:ascii="Times New Roman" w:eastAsia="Calibri" w:hAnsi="Times New Roman" w:cs="Times New Roman"/>
          <w:sz w:val="24"/>
          <w:szCs w:val="24"/>
        </w:rPr>
        <w:t>утвержде</w:t>
      </w:r>
      <w:r w:rsidR="002C190B" w:rsidRPr="004032F4">
        <w:rPr>
          <w:rFonts w:ascii="Times New Roman" w:eastAsia="Calibri" w:hAnsi="Times New Roman" w:cs="Times New Roman"/>
          <w:sz w:val="24"/>
          <w:szCs w:val="24"/>
        </w:rPr>
        <w:t>ны в объеме</w:t>
      </w:r>
      <w:r w:rsidRPr="004032F4">
        <w:rPr>
          <w:rFonts w:ascii="Times New Roman" w:eastAsia="Calibri" w:hAnsi="Times New Roman" w:cs="Times New Roman"/>
          <w:sz w:val="24"/>
          <w:szCs w:val="24"/>
        </w:rPr>
        <w:t xml:space="preserve"> </w:t>
      </w:r>
      <w:r w:rsidR="0075349D" w:rsidRPr="004032F4">
        <w:rPr>
          <w:rFonts w:ascii="Times New Roman" w:eastAsia="Calibri" w:hAnsi="Times New Roman" w:cs="Times New Roman"/>
          <w:sz w:val="24"/>
          <w:szCs w:val="24"/>
        </w:rPr>
        <w:t xml:space="preserve">8 498,7 </w:t>
      </w:r>
      <w:r w:rsidRPr="004032F4">
        <w:rPr>
          <w:rFonts w:ascii="Times New Roman" w:eastAsia="Calibri" w:hAnsi="Times New Roman" w:cs="Times New Roman"/>
          <w:sz w:val="24"/>
          <w:szCs w:val="24"/>
        </w:rPr>
        <w:t>млн. рублей.</w:t>
      </w:r>
    </w:p>
    <w:p w14:paraId="58FBA455" w14:textId="15774977" w:rsidR="00FA584A" w:rsidRPr="004032F4" w:rsidRDefault="00FA584A" w:rsidP="00FA584A">
      <w:pPr>
        <w:pStyle w:val="a3"/>
        <w:spacing w:before="120"/>
        <w:ind w:firstLine="709"/>
        <w:jc w:val="both"/>
        <w:rPr>
          <w:sz w:val="28"/>
          <w:szCs w:val="28"/>
        </w:rPr>
      </w:pPr>
      <w:r w:rsidRPr="004032F4">
        <w:rPr>
          <w:sz w:val="28"/>
          <w:szCs w:val="28"/>
        </w:rPr>
        <w:t xml:space="preserve">Бюджетные ассигнования на исполнение публичных нормативных обязательств в </w:t>
      </w:r>
      <w:r w:rsidR="00933509" w:rsidRPr="004032F4">
        <w:rPr>
          <w:sz w:val="28"/>
          <w:szCs w:val="28"/>
        </w:rPr>
        <w:t>2025</w:t>
      </w:r>
      <w:r w:rsidRPr="004032F4">
        <w:rPr>
          <w:sz w:val="28"/>
          <w:szCs w:val="28"/>
        </w:rPr>
        <w:t xml:space="preserve"> году предусматриваются по разделам 10 00 «Социальная политика» (</w:t>
      </w:r>
      <w:r w:rsidR="0075349D" w:rsidRPr="004032F4">
        <w:rPr>
          <w:sz w:val="28"/>
          <w:szCs w:val="28"/>
        </w:rPr>
        <w:t xml:space="preserve">99,6%, или 4 424,7 </w:t>
      </w:r>
      <w:r w:rsidRPr="004032F4">
        <w:rPr>
          <w:sz w:val="28"/>
          <w:szCs w:val="28"/>
        </w:rPr>
        <w:t>млн. рублей) и 11 00 «Физическая культура и спорт» (</w:t>
      </w:r>
      <w:r w:rsidR="0075349D" w:rsidRPr="004032F4">
        <w:rPr>
          <w:sz w:val="28"/>
          <w:szCs w:val="28"/>
        </w:rPr>
        <w:t>0,4%, или 16,9</w:t>
      </w:r>
      <w:r w:rsidR="00654F86" w:rsidRPr="004032F4">
        <w:rPr>
          <w:sz w:val="28"/>
          <w:szCs w:val="28"/>
        </w:rPr>
        <w:t xml:space="preserve"> </w:t>
      </w:r>
      <w:r w:rsidRPr="004032F4">
        <w:rPr>
          <w:sz w:val="28"/>
          <w:szCs w:val="28"/>
        </w:rPr>
        <w:t xml:space="preserve">млн. рублей).  </w:t>
      </w:r>
    </w:p>
    <w:p w14:paraId="48DC3834" w14:textId="72067F24" w:rsidR="00FA584A" w:rsidRPr="004032F4" w:rsidRDefault="00FA584A" w:rsidP="00FA584A">
      <w:pPr>
        <w:pStyle w:val="a3"/>
        <w:ind w:firstLine="709"/>
        <w:jc w:val="both"/>
        <w:rPr>
          <w:sz w:val="28"/>
          <w:szCs w:val="28"/>
        </w:rPr>
      </w:pPr>
      <w:r w:rsidRPr="004032F4">
        <w:rPr>
          <w:sz w:val="28"/>
          <w:szCs w:val="28"/>
        </w:rPr>
        <w:t xml:space="preserve">Исполнение публичных </w:t>
      </w:r>
      <w:r w:rsidR="009A0D44" w:rsidRPr="004032F4">
        <w:rPr>
          <w:sz w:val="28"/>
          <w:szCs w:val="28"/>
        </w:rPr>
        <w:t xml:space="preserve">нормативных </w:t>
      </w:r>
      <w:r w:rsidRPr="004032F4">
        <w:rPr>
          <w:sz w:val="28"/>
          <w:szCs w:val="28"/>
        </w:rPr>
        <w:t>обязательств предусматривается по 4 ГРБС: министерство труда и социальной защиты Тульской области (</w:t>
      </w:r>
      <w:r w:rsidR="0075349D" w:rsidRPr="004032F4">
        <w:rPr>
          <w:sz w:val="28"/>
          <w:szCs w:val="28"/>
        </w:rPr>
        <w:t xml:space="preserve">4 423,3 </w:t>
      </w:r>
      <w:r w:rsidRPr="004032F4">
        <w:rPr>
          <w:sz w:val="28"/>
          <w:szCs w:val="28"/>
        </w:rPr>
        <w:t>млн. рублей); министерство спорта Тульской области (16,</w:t>
      </w:r>
      <w:r w:rsidR="0075349D" w:rsidRPr="004032F4">
        <w:rPr>
          <w:sz w:val="28"/>
          <w:szCs w:val="28"/>
        </w:rPr>
        <w:t>9</w:t>
      </w:r>
      <w:r w:rsidRPr="004032F4">
        <w:rPr>
          <w:sz w:val="28"/>
          <w:szCs w:val="28"/>
        </w:rPr>
        <w:t xml:space="preserve"> млн. рублей); министерство промышленности и торговли Тульской области (1,3 млн. рублей); министерство Тульской области по региональной безопасности (0,1 млн. рублей).</w:t>
      </w:r>
    </w:p>
    <w:p w14:paraId="43650F3D" w14:textId="409DF886" w:rsidR="00FA584A" w:rsidRPr="004032F4" w:rsidRDefault="00FA584A" w:rsidP="00FA584A">
      <w:pPr>
        <w:tabs>
          <w:tab w:val="left" w:pos="993"/>
        </w:tabs>
        <w:spacing w:after="0" w:line="240" w:lineRule="auto"/>
        <w:ind w:firstLine="709"/>
        <w:jc w:val="both"/>
        <w:rPr>
          <w:rFonts w:ascii="Times New Roman" w:eastAsia="Calibri" w:hAnsi="Times New Roman" w:cs="Times New Roman"/>
          <w:spacing w:val="-6"/>
          <w:sz w:val="28"/>
          <w:szCs w:val="28"/>
        </w:rPr>
      </w:pPr>
      <w:r w:rsidRPr="004032F4">
        <w:rPr>
          <w:rFonts w:ascii="Times New Roman" w:eastAsia="Calibri" w:hAnsi="Times New Roman" w:cs="Times New Roman"/>
          <w:spacing w:val="-6"/>
          <w:sz w:val="28"/>
          <w:szCs w:val="28"/>
        </w:rPr>
        <w:t xml:space="preserve">В </w:t>
      </w:r>
      <w:r w:rsidR="00933509" w:rsidRPr="004032F4">
        <w:rPr>
          <w:rFonts w:ascii="Times New Roman" w:eastAsia="Calibri" w:hAnsi="Times New Roman" w:cs="Times New Roman"/>
          <w:spacing w:val="-6"/>
          <w:sz w:val="28"/>
          <w:szCs w:val="28"/>
        </w:rPr>
        <w:t>2025</w:t>
      </w:r>
      <w:r w:rsidRPr="004032F4">
        <w:rPr>
          <w:rFonts w:ascii="Times New Roman" w:eastAsia="Calibri" w:hAnsi="Times New Roman" w:cs="Times New Roman"/>
          <w:spacing w:val="-6"/>
          <w:sz w:val="28"/>
          <w:szCs w:val="28"/>
        </w:rPr>
        <w:t xml:space="preserve"> году и плановом периоде наблюдается тенденция уменьшения доли указанных </w:t>
      </w:r>
      <w:r w:rsidR="009A0D44" w:rsidRPr="004032F4">
        <w:rPr>
          <w:rFonts w:ascii="Times New Roman" w:eastAsia="Calibri" w:hAnsi="Times New Roman" w:cs="Times New Roman"/>
          <w:spacing w:val="-6"/>
          <w:sz w:val="28"/>
          <w:szCs w:val="28"/>
        </w:rPr>
        <w:t>бюджетных ассигнований</w:t>
      </w:r>
      <w:r w:rsidRPr="004032F4">
        <w:rPr>
          <w:rFonts w:ascii="Times New Roman" w:eastAsia="Calibri" w:hAnsi="Times New Roman" w:cs="Times New Roman"/>
          <w:spacing w:val="-6"/>
          <w:sz w:val="28"/>
          <w:szCs w:val="28"/>
        </w:rPr>
        <w:t xml:space="preserve"> в структуре общих расходов бюджета области с </w:t>
      </w:r>
      <w:r w:rsidRPr="004032F4">
        <w:rPr>
          <w:rFonts w:ascii="Times New Roman" w:eastAsia="Times New Roman" w:hAnsi="Times New Roman"/>
          <w:spacing w:val="-6"/>
          <w:sz w:val="28"/>
          <w:szCs w:val="28"/>
          <w:lang w:eastAsia="ru-RU"/>
        </w:rPr>
        <w:t>3,</w:t>
      </w:r>
      <w:r w:rsidR="004E6041" w:rsidRPr="004032F4">
        <w:rPr>
          <w:rFonts w:ascii="Times New Roman" w:eastAsia="Times New Roman" w:hAnsi="Times New Roman"/>
          <w:spacing w:val="-6"/>
          <w:sz w:val="28"/>
          <w:szCs w:val="28"/>
          <w:lang w:eastAsia="ru-RU"/>
        </w:rPr>
        <w:t>4</w:t>
      </w:r>
      <w:r w:rsidRPr="004032F4">
        <w:rPr>
          <w:rFonts w:ascii="Times New Roman" w:eastAsia="Times New Roman" w:hAnsi="Times New Roman"/>
          <w:spacing w:val="-6"/>
          <w:sz w:val="28"/>
          <w:szCs w:val="28"/>
          <w:lang w:eastAsia="ru-RU"/>
        </w:rPr>
        <w:t xml:space="preserve">% в </w:t>
      </w:r>
      <w:r w:rsidR="00933509" w:rsidRPr="004032F4">
        <w:rPr>
          <w:rFonts w:ascii="Times New Roman" w:eastAsia="Times New Roman" w:hAnsi="Times New Roman"/>
          <w:spacing w:val="-6"/>
          <w:sz w:val="28"/>
          <w:szCs w:val="28"/>
          <w:lang w:eastAsia="ru-RU"/>
        </w:rPr>
        <w:t>2025</w:t>
      </w:r>
      <w:r w:rsidRPr="004032F4">
        <w:rPr>
          <w:rFonts w:ascii="Times New Roman" w:eastAsia="Times New Roman" w:hAnsi="Times New Roman"/>
          <w:spacing w:val="-6"/>
          <w:sz w:val="28"/>
          <w:szCs w:val="28"/>
          <w:lang w:eastAsia="ru-RU"/>
        </w:rPr>
        <w:t xml:space="preserve"> году до </w:t>
      </w:r>
      <w:r w:rsidR="004E6041" w:rsidRPr="004032F4">
        <w:rPr>
          <w:rFonts w:ascii="Times New Roman" w:eastAsia="Times New Roman" w:hAnsi="Times New Roman"/>
          <w:spacing w:val="-6"/>
          <w:sz w:val="28"/>
          <w:szCs w:val="28"/>
          <w:lang w:eastAsia="ru-RU"/>
        </w:rPr>
        <w:t>2,9</w:t>
      </w:r>
      <w:r w:rsidRPr="004032F4">
        <w:rPr>
          <w:rFonts w:ascii="Times New Roman" w:eastAsia="Times New Roman" w:hAnsi="Times New Roman"/>
          <w:spacing w:val="-6"/>
          <w:sz w:val="28"/>
          <w:szCs w:val="28"/>
          <w:lang w:eastAsia="ru-RU"/>
        </w:rPr>
        <w:t xml:space="preserve">% в </w:t>
      </w:r>
      <w:r w:rsidR="00933509" w:rsidRPr="004032F4">
        <w:rPr>
          <w:rFonts w:ascii="Times New Roman" w:eastAsia="Times New Roman" w:hAnsi="Times New Roman"/>
          <w:spacing w:val="-6"/>
          <w:sz w:val="28"/>
          <w:szCs w:val="28"/>
          <w:lang w:eastAsia="ru-RU"/>
        </w:rPr>
        <w:t>2026</w:t>
      </w:r>
      <w:r w:rsidRPr="004032F4">
        <w:rPr>
          <w:rFonts w:ascii="Times New Roman" w:eastAsia="Times New Roman" w:hAnsi="Times New Roman"/>
          <w:spacing w:val="-6"/>
          <w:sz w:val="28"/>
          <w:szCs w:val="28"/>
          <w:lang w:eastAsia="ru-RU"/>
        </w:rPr>
        <w:t xml:space="preserve"> году и </w:t>
      </w:r>
      <w:r w:rsidR="004E6041" w:rsidRPr="004032F4">
        <w:rPr>
          <w:rFonts w:ascii="Times New Roman" w:eastAsia="Times New Roman" w:hAnsi="Times New Roman"/>
          <w:spacing w:val="-6"/>
          <w:sz w:val="28"/>
          <w:szCs w:val="28"/>
          <w:lang w:eastAsia="ru-RU"/>
        </w:rPr>
        <w:t>2,8</w:t>
      </w:r>
      <w:r w:rsidRPr="004032F4">
        <w:rPr>
          <w:rFonts w:ascii="Times New Roman" w:eastAsia="Times New Roman" w:hAnsi="Times New Roman"/>
          <w:spacing w:val="-6"/>
          <w:sz w:val="28"/>
          <w:szCs w:val="28"/>
          <w:lang w:eastAsia="ru-RU"/>
        </w:rPr>
        <w:t xml:space="preserve">% в </w:t>
      </w:r>
      <w:r w:rsidR="00933509" w:rsidRPr="004032F4">
        <w:rPr>
          <w:rFonts w:ascii="Times New Roman" w:eastAsia="Times New Roman" w:hAnsi="Times New Roman"/>
          <w:spacing w:val="-6"/>
          <w:sz w:val="28"/>
          <w:szCs w:val="28"/>
          <w:lang w:eastAsia="ru-RU"/>
        </w:rPr>
        <w:t>2027</w:t>
      </w:r>
      <w:r w:rsidRPr="004032F4">
        <w:rPr>
          <w:rFonts w:ascii="Times New Roman" w:eastAsia="Times New Roman" w:hAnsi="Times New Roman"/>
          <w:spacing w:val="-6"/>
          <w:sz w:val="28"/>
          <w:szCs w:val="28"/>
          <w:lang w:eastAsia="ru-RU"/>
        </w:rPr>
        <w:t xml:space="preserve"> году </w:t>
      </w:r>
      <w:r w:rsidRPr="004032F4">
        <w:rPr>
          <w:rFonts w:ascii="Times New Roman" w:eastAsia="Times New Roman" w:hAnsi="Times New Roman"/>
          <w:spacing w:val="-6"/>
          <w:lang w:eastAsia="ru-RU"/>
        </w:rPr>
        <w:t>(в 202</w:t>
      </w:r>
      <w:r w:rsidR="004E6041" w:rsidRPr="004032F4">
        <w:rPr>
          <w:rFonts w:ascii="Times New Roman" w:eastAsia="Times New Roman" w:hAnsi="Times New Roman"/>
          <w:spacing w:val="-6"/>
          <w:lang w:eastAsia="ru-RU"/>
        </w:rPr>
        <w:t>4</w:t>
      </w:r>
      <w:r w:rsidRPr="004032F4">
        <w:rPr>
          <w:rFonts w:ascii="Times New Roman" w:eastAsia="Times New Roman" w:hAnsi="Times New Roman"/>
          <w:spacing w:val="-6"/>
          <w:lang w:eastAsia="ru-RU"/>
        </w:rPr>
        <w:t xml:space="preserve"> году</w:t>
      </w:r>
      <w:r w:rsidR="00565CF0" w:rsidRPr="004032F4">
        <w:rPr>
          <w:rFonts w:ascii="Times New Roman" w:eastAsia="Times New Roman" w:hAnsi="Times New Roman"/>
          <w:spacing w:val="-6"/>
          <w:lang w:eastAsia="ru-RU"/>
        </w:rPr>
        <w:t xml:space="preserve"> </w:t>
      </w:r>
      <w:r w:rsidRPr="004032F4">
        <w:rPr>
          <w:rFonts w:ascii="Times New Roman" w:eastAsia="Times New Roman" w:hAnsi="Times New Roman"/>
          <w:spacing w:val="-6"/>
          <w:lang w:eastAsia="ru-RU"/>
        </w:rPr>
        <w:t xml:space="preserve">– </w:t>
      </w:r>
      <w:r w:rsidR="004E6041" w:rsidRPr="004032F4">
        <w:rPr>
          <w:rFonts w:ascii="Times New Roman" w:eastAsia="Times New Roman" w:hAnsi="Times New Roman"/>
          <w:spacing w:val="-6"/>
          <w:lang w:eastAsia="ru-RU"/>
        </w:rPr>
        <w:t>5,</w:t>
      </w:r>
      <w:r w:rsidR="00EB01A1" w:rsidRPr="004032F4">
        <w:rPr>
          <w:rFonts w:ascii="Times New Roman" w:eastAsia="Times New Roman" w:hAnsi="Times New Roman"/>
          <w:spacing w:val="-6"/>
          <w:lang w:eastAsia="ru-RU"/>
        </w:rPr>
        <w:t>7</w:t>
      </w:r>
      <w:r w:rsidRPr="004032F4">
        <w:rPr>
          <w:rFonts w:ascii="Times New Roman" w:eastAsia="Times New Roman" w:hAnsi="Times New Roman"/>
          <w:spacing w:val="-6"/>
          <w:lang w:eastAsia="ru-RU"/>
        </w:rPr>
        <w:t>%)</w:t>
      </w:r>
      <w:r w:rsidRPr="004032F4">
        <w:rPr>
          <w:rFonts w:ascii="Times New Roman" w:eastAsia="Times New Roman" w:hAnsi="Times New Roman"/>
          <w:spacing w:val="-6"/>
          <w:sz w:val="28"/>
          <w:szCs w:val="28"/>
          <w:lang w:eastAsia="ru-RU"/>
        </w:rPr>
        <w:t>.</w:t>
      </w:r>
    </w:p>
    <w:p w14:paraId="170663AA" w14:textId="0F6CF5E3" w:rsidR="00FA584A" w:rsidRPr="004032F4" w:rsidRDefault="00FA584A" w:rsidP="00FA584A">
      <w:pPr>
        <w:spacing w:before="120" w:after="0" w:line="240" w:lineRule="auto"/>
        <w:ind w:firstLine="709"/>
        <w:jc w:val="both"/>
        <w:rPr>
          <w:rFonts w:ascii="Times New Roman" w:eastAsia="Times New Roman" w:hAnsi="Times New Roman" w:cs="Times New Roman"/>
          <w:sz w:val="24"/>
          <w:szCs w:val="24"/>
          <w:lang w:eastAsia="ru-RU"/>
        </w:rPr>
      </w:pPr>
      <w:r w:rsidRPr="004032F4">
        <w:rPr>
          <w:rFonts w:ascii="Times New Roman" w:eastAsia="Times New Roman" w:hAnsi="Times New Roman" w:cs="Times New Roman"/>
          <w:sz w:val="28"/>
          <w:szCs w:val="28"/>
          <w:lang w:eastAsia="ru-RU"/>
        </w:rPr>
        <w:t xml:space="preserve">В перечень публичных нормативных обязательств на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 xml:space="preserve"> год </w:t>
      </w:r>
      <w:r w:rsidRPr="004032F4">
        <w:rPr>
          <w:rFonts w:ascii="Times New Roman" w:eastAsia="Times New Roman" w:hAnsi="Times New Roman" w:cs="Times New Roman"/>
          <w:lang w:eastAsia="ru-RU"/>
        </w:rPr>
        <w:t>(приложение 23 к Письму Губернатора)</w:t>
      </w:r>
      <w:r w:rsidRPr="004032F4">
        <w:rPr>
          <w:rFonts w:ascii="Times New Roman" w:eastAsia="Times New Roman" w:hAnsi="Times New Roman" w:cs="Times New Roman"/>
          <w:sz w:val="28"/>
          <w:szCs w:val="28"/>
          <w:lang w:eastAsia="ru-RU"/>
        </w:rPr>
        <w:t xml:space="preserve"> включен</w:t>
      </w:r>
      <w:r w:rsidR="00195658" w:rsidRPr="004032F4">
        <w:rPr>
          <w:rFonts w:ascii="Times New Roman" w:eastAsia="Times New Roman" w:hAnsi="Times New Roman" w:cs="Times New Roman"/>
          <w:sz w:val="28"/>
          <w:szCs w:val="28"/>
          <w:lang w:eastAsia="ru-RU"/>
        </w:rPr>
        <w:t>ы</w:t>
      </w:r>
      <w:r w:rsidRPr="004032F4">
        <w:rPr>
          <w:rFonts w:ascii="Times New Roman" w:eastAsia="Times New Roman" w:hAnsi="Times New Roman" w:cs="Times New Roman"/>
          <w:sz w:val="28"/>
          <w:szCs w:val="28"/>
          <w:lang w:eastAsia="ru-RU"/>
        </w:rPr>
        <w:t xml:space="preserve"> 7</w:t>
      </w:r>
      <w:r w:rsidR="00565CF0" w:rsidRPr="004032F4">
        <w:rPr>
          <w:rFonts w:ascii="Times New Roman" w:eastAsia="Times New Roman" w:hAnsi="Times New Roman" w:cs="Times New Roman"/>
          <w:sz w:val="28"/>
          <w:szCs w:val="28"/>
          <w:lang w:eastAsia="ru-RU"/>
        </w:rPr>
        <w:t>2</w:t>
      </w:r>
      <w:r w:rsidRPr="004032F4">
        <w:rPr>
          <w:rFonts w:ascii="Times New Roman" w:eastAsia="Times New Roman" w:hAnsi="Times New Roman" w:cs="Times New Roman"/>
          <w:sz w:val="28"/>
          <w:szCs w:val="28"/>
          <w:lang w:eastAsia="ru-RU"/>
        </w:rPr>
        <w:t xml:space="preserve"> обязательства</w:t>
      </w:r>
      <w:r w:rsidR="00565CF0" w:rsidRPr="004032F4">
        <w:rPr>
          <w:rFonts w:ascii="Times New Roman" w:eastAsia="Times New Roman" w:hAnsi="Times New Roman" w:cs="Times New Roman"/>
          <w:sz w:val="28"/>
          <w:szCs w:val="28"/>
          <w:vertAlign w:val="superscript"/>
          <w:lang w:eastAsia="ru-RU"/>
        </w:rPr>
        <w:footnoteReference w:id="18"/>
      </w:r>
      <w:r w:rsidR="00565CF0" w:rsidRPr="004032F4">
        <w:rPr>
          <w:rFonts w:ascii="Times New Roman" w:eastAsia="Times New Roman" w:hAnsi="Times New Roman" w:cs="Times New Roman"/>
          <w:sz w:val="28"/>
          <w:szCs w:val="28"/>
          <w:lang w:eastAsia="ru-RU"/>
        </w:rPr>
        <w:t>,</w:t>
      </w:r>
      <w:r w:rsidRPr="004032F4">
        <w:rPr>
          <w:rFonts w:ascii="Times New Roman" w:eastAsia="Times New Roman" w:hAnsi="Times New Roman" w:cs="Times New Roman"/>
          <w:sz w:val="28"/>
          <w:szCs w:val="28"/>
          <w:lang w:eastAsia="ru-RU"/>
        </w:rPr>
        <w:t xml:space="preserve"> </w:t>
      </w:r>
      <w:r w:rsidR="00B909BB">
        <w:rPr>
          <w:rFonts w:ascii="Times New Roman" w:eastAsia="Times New Roman" w:hAnsi="Times New Roman" w:cs="Times New Roman"/>
          <w:sz w:val="28"/>
          <w:szCs w:val="28"/>
          <w:lang w:eastAsia="ru-RU"/>
        </w:rPr>
        <w:t>установленные в</w:t>
      </w:r>
      <w:r w:rsidRPr="004032F4">
        <w:rPr>
          <w:rFonts w:ascii="Times New Roman" w:eastAsia="Times New Roman" w:hAnsi="Times New Roman" w:cs="Times New Roman"/>
          <w:sz w:val="28"/>
          <w:szCs w:val="28"/>
          <w:lang w:eastAsia="ru-RU"/>
        </w:rPr>
        <w:t xml:space="preserve"> 3</w:t>
      </w:r>
      <w:r w:rsidR="0000689C" w:rsidRPr="004032F4">
        <w:rPr>
          <w:rFonts w:ascii="Times New Roman" w:eastAsia="Times New Roman" w:hAnsi="Times New Roman" w:cs="Times New Roman"/>
          <w:sz w:val="28"/>
          <w:szCs w:val="28"/>
          <w:lang w:eastAsia="ru-RU"/>
        </w:rPr>
        <w:t>5</w:t>
      </w:r>
      <w:r w:rsidRPr="004032F4">
        <w:rPr>
          <w:rFonts w:ascii="Times New Roman" w:eastAsia="Times New Roman" w:hAnsi="Times New Roman" w:cs="Times New Roman"/>
          <w:sz w:val="28"/>
          <w:szCs w:val="28"/>
          <w:lang w:eastAsia="ru-RU"/>
        </w:rPr>
        <w:t xml:space="preserve"> нормативны</w:t>
      </w:r>
      <w:r w:rsidR="00B909BB">
        <w:rPr>
          <w:rFonts w:ascii="Times New Roman" w:eastAsia="Times New Roman" w:hAnsi="Times New Roman" w:cs="Times New Roman"/>
          <w:sz w:val="28"/>
          <w:szCs w:val="28"/>
          <w:lang w:eastAsia="ru-RU"/>
        </w:rPr>
        <w:t>х</w:t>
      </w:r>
      <w:r w:rsidRPr="004032F4">
        <w:rPr>
          <w:rFonts w:ascii="Times New Roman" w:eastAsia="Times New Roman" w:hAnsi="Times New Roman" w:cs="Times New Roman"/>
          <w:sz w:val="28"/>
          <w:szCs w:val="28"/>
          <w:lang w:eastAsia="ru-RU"/>
        </w:rPr>
        <w:t xml:space="preserve"> правовы</w:t>
      </w:r>
      <w:r w:rsidR="00B909BB">
        <w:rPr>
          <w:rFonts w:ascii="Times New Roman" w:eastAsia="Times New Roman" w:hAnsi="Times New Roman" w:cs="Times New Roman"/>
          <w:sz w:val="28"/>
          <w:szCs w:val="28"/>
          <w:lang w:eastAsia="ru-RU"/>
        </w:rPr>
        <w:t>х</w:t>
      </w:r>
      <w:r w:rsidRPr="004032F4">
        <w:rPr>
          <w:rFonts w:ascii="Times New Roman" w:eastAsia="Times New Roman" w:hAnsi="Times New Roman" w:cs="Times New Roman"/>
          <w:sz w:val="28"/>
          <w:szCs w:val="28"/>
          <w:lang w:eastAsia="ru-RU"/>
        </w:rPr>
        <w:t xml:space="preserve"> акта</w:t>
      </w:r>
      <w:r w:rsidR="00B909BB">
        <w:rPr>
          <w:rFonts w:ascii="Times New Roman" w:eastAsia="Times New Roman" w:hAnsi="Times New Roman" w:cs="Times New Roman"/>
          <w:sz w:val="28"/>
          <w:szCs w:val="28"/>
          <w:lang w:eastAsia="ru-RU"/>
        </w:rPr>
        <w:t>х</w:t>
      </w:r>
      <w:r w:rsidRPr="004032F4">
        <w:rPr>
          <w:rFonts w:ascii="Times New Roman" w:eastAsia="Times New Roman" w:hAnsi="Times New Roman" w:cs="Times New Roman"/>
          <w:sz w:val="28"/>
          <w:szCs w:val="28"/>
          <w:lang w:eastAsia="ru-RU"/>
        </w:rPr>
        <w:t xml:space="preserve"> </w:t>
      </w:r>
      <w:r w:rsidRPr="004032F4">
        <w:rPr>
          <w:rFonts w:ascii="Times New Roman" w:eastAsia="Times New Roman" w:hAnsi="Times New Roman" w:cs="Times New Roman"/>
          <w:sz w:val="24"/>
          <w:szCs w:val="24"/>
          <w:lang w:eastAsia="ru-RU"/>
        </w:rPr>
        <w:t>(далее – НПА)</w:t>
      </w:r>
      <w:r w:rsidRPr="004032F4">
        <w:rPr>
          <w:rFonts w:ascii="Times New Roman" w:eastAsia="Times New Roman" w:hAnsi="Times New Roman" w:cs="Times New Roman"/>
          <w:sz w:val="28"/>
          <w:szCs w:val="28"/>
          <w:lang w:eastAsia="ru-RU"/>
        </w:rPr>
        <w:t xml:space="preserve">, </w:t>
      </w:r>
      <w:r w:rsidRPr="004032F4">
        <w:rPr>
          <w:rFonts w:ascii="Times New Roman" w:eastAsia="Times New Roman" w:hAnsi="Times New Roman" w:cs="Times New Roman"/>
          <w:sz w:val="24"/>
          <w:szCs w:val="24"/>
          <w:lang w:eastAsia="ru-RU"/>
        </w:rPr>
        <w:t xml:space="preserve">в том числе </w:t>
      </w:r>
      <w:r w:rsidR="0000689C" w:rsidRPr="004032F4">
        <w:rPr>
          <w:rFonts w:ascii="Times New Roman" w:eastAsia="Times New Roman" w:hAnsi="Times New Roman" w:cs="Times New Roman"/>
          <w:sz w:val="24"/>
          <w:szCs w:val="24"/>
          <w:lang w:eastAsia="ru-RU"/>
        </w:rPr>
        <w:t>1</w:t>
      </w:r>
      <w:r w:rsidRPr="004032F4">
        <w:rPr>
          <w:rFonts w:ascii="Times New Roman" w:eastAsia="Times New Roman" w:hAnsi="Times New Roman" w:cs="Times New Roman"/>
          <w:sz w:val="24"/>
          <w:szCs w:val="24"/>
          <w:lang w:eastAsia="ru-RU"/>
        </w:rPr>
        <w:t xml:space="preserve"> публичн</w:t>
      </w:r>
      <w:r w:rsidR="0000689C" w:rsidRPr="004032F4">
        <w:rPr>
          <w:rFonts w:ascii="Times New Roman" w:eastAsia="Times New Roman" w:hAnsi="Times New Roman" w:cs="Times New Roman"/>
          <w:sz w:val="24"/>
          <w:szCs w:val="24"/>
          <w:lang w:eastAsia="ru-RU"/>
        </w:rPr>
        <w:t>ое</w:t>
      </w:r>
      <w:r w:rsidRPr="004032F4">
        <w:rPr>
          <w:rFonts w:ascii="Times New Roman" w:eastAsia="Times New Roman" w:hAnsi="Times New Roman" w:cs="Times New Roman"/>
          <w:sz w:val="24"/>
          <w:szCs w:val="24"/>
          <w:lang w:eastAsia="ru-RU"/>
        </w:rPr>
        <w:t xml:space="preserve"> нормативн</w:t>
      </w:r>
      <w:r w:rsidR="0000689C" w:rsidRPr="004032F4">
        <w:rPr>
          <w:rFonts w:ascii="Times New Roman" w:eastAsia="Times New Roman" w:hAnsi="Times New Roman" w:cs="Times New Roman"/>
          <w:sz w:val="24"/>
          <w:szCs w:val="24"/>
          <w:lang w:eastAsia="ru-RU"/>
        </w:rPr>
        <w:t>ое</w:t>
      </w:r>
      <w:r w:rsidRPr="004032F4">
        <w:rPr>
          <w:rFonts w:ascii="Times New Roman" w:eastAsia="Times New Roman" w:hAnsi="Times New Roman" w:cs="Times New Roman"/>
          <w:sz w:val="24"/>
          <w:szCs w:val="24"/>
          <w:lang w:eastAsia="ru-RU"/>
        </w:rPr>
        <w:t xml:space="preserve"> обязательств</w:t>
      </w:r>
      <w:r w:rsidR="0000689C" w:rsidRPr="004032F4">
        <w:rPr>
          <w:rFonts w:ascii="Times New Roman" w:eastAsia="Times New Roman" w:hAnsi="Times New Roman" w:cs="Times New Roman"/>
          <w:sz w:val="24"/>
          <w:szCs w:val="24"/>
          <w:lang w:eastAsia="ru-RU"/>
        </w:rPr>
        <w:t>о</w:t>
      </w:r>
      <w:r w:rsidRPr="004032F4">
        <w:rPr>
          <w:rFonts w:ascii="Times New Roman" w:eastAsia="Times New Roman" w:hAnsi="Times New Roman" w:cs="Times New Roman"/>
          <w:sz w:val="24"/>
          <w:szCs w:val="24"/>
          <w:lang w:eastAsia="ru-RU"/>
        </w:rPr>
        <w:t xml:space="preserve"> в соответствии с </w:t>
      </w:r>
      <w:r w:rsidR="00DD3E07" w:rsidRPr="004032F4">
        <w:rPr>
          <w:rFonts w:ascii="Times New Roman" w:eastAsia="Times New Roman" w:hAnsi="Times New Roman" w:cs="Times New Roman"/>
          <w:sz w:val="24"/>
          <w:szCs w:val="24"/>
          <w:lang w:eastAsia="ru-RU"/>
        </w:rPr>
        <w:t>З</w:t>
      </w:r>
      <w:r w:rsidRPr="004032F4">
        <w:rPr>
          <w:rFonts w:ascii="Times New Roman" w:eastAsia="Times New Roman" w:hAnsi="Times New Roman" w:cs="Times New Roman"/>
          <w:sz w:val="24"/>
          <w:szCs w:val="24"/>
          <w:lang w:eastAsia="ru-RU"/>
        </w:rPr>
        <w:t>акон</w:t>
      </w:r>
      <w:r w:rsidR="0000689C" w:rsidRPr="004032F4">
        <w:rPr>
          <w:rFonts w:ascii="Times New Roman" w:eastAsia="Times New Roman" w:hAnsi="Times New Roman" w:cs="Times New Roman"/>
          <w:sz w:val="24"/>
          <w:szCs w:val="24"/>
          <w:lang w:eastAsia="ru-RU"/>
        </w:rPr>
        <w:t>ом</w:t>
      </w:r>
      <w:r w:rsidRPr="004032F4">
        <w:rPr>
          <w:rFonts w:ascii="Times New Roman" w:eastAsia="Times New Roman" w:hAnsi="Times New Roman" w:cs="Times New Roman"/>
          <w:sz w:val="24"/>
          <w:szCs w:val="24"/>
          <w:lang w:eastAsia="ru-RU"/>
        </w:rPr>
        <w:t xml:space="preserve"> РФ, </w:t>
      </w:r>
      <w:r w:rsidR="0000689C" w:rsidRPr="004032F4">
        <w:rPr>
          <w:rFonts w:ascii="Times New Roman" w:eastAsia="Times New Roman" w:hAnsi="Times New Roman" w:cs="Times New Roman"/>
          <w:sz w:val="24"/>
          <w:szCs w:val="24"/>
          <w:lang w:eastAsia="ru-RU"/>
        </w:rPr>
        <w:t>19</w:t>
      </w:r>
      <w:r w:rsidRPr="004032F4">
        <w:rPr>
          <w:rFonts w:ascii="Times New Roman" w:eastAsia="Times New Roman" w:hAnsi="Times New Roman" w:cs="Times New Roman"/>
          <w:sz w:val="24"/>
          <w:szCs w:val="24"/>
          <w:lang w:eastAsia="ru-RU"/>
        </w:rPr>
        <w:t xml:space="preserve"> </w:t>
      </w:r>
      <w:r w:rsidR="0000689C" w:rsidRPr="004032F4">
        <w:rPr>
          <w:rFonts w:ascii="Times New Roman" w:eastAsia="Times New Roman" w:hAnsi="Times New Roman" w:cs="Times New Roman"/>
          <w:sz w:val="24"/>
          <w:szCs w:val="24"/>
          <w:lang w:eastAsia="ru-RU"/>
        </w:rPr>
        <w:t>в соответствии с</w:t>
      </w:r>
      <w:r w:rsidRPr="004032F4">
        <w:rPr>
          <w:rFonts w:ascii="Times New Roman" w:eastAsia="Times New Roman" w:hAnsi="Times New Roman" w:cs="Times New Roman"/>
          <w:sz w:val="24"/>
          <w:szCs w:val="24"/>
          <w:lang w:eastAsia="ru-RU"/>
        </w:rPr>
        <w:t xml:space="preserve"> законами Тульской области; </w:t>
      </w:r>
      <w:r w:rsidR="0000689C" w:rsidRPr="004032F4">
        <w:rPr>
          <w:rFonts w:ascii="Times New Roman" w:eastAsia="Times New Roman" w:hAnsi="Times New Roman" w:cs="Times New Roman"/>
          <w:sz w:val="24"/>
          <w:szCs w:val="24"/>
          <w:lang w:eastAsia="ru-RU"/>
        </w:rPr>
        <w:t>6</w:t>
      </w:r>
      <w:r w:rsidRPr="004032F4">
        <w:rPr>
          <w:rFonts w:ascii="Times New Roman" w:eastAsia="Times New Roman" w:hAnsi="Times New Roman" w:cs="Times New Roman"/>
          <w:sz w:val="24"/>
          <w:szCs w:val="24"/>
          <w:lang w:eastAsia="ru-RU"/>
        </w:rPr>
        <w:t xml:space="preserve"> </w:t>
      </w:r>
      <w:r w:rsidR="0000689C" w:rsidRPr="004032F4">
        <w:rPr>
          <w:rFonts w:ascii="Times New Roman" w:eastAsia="Times New Roman" w:hAnsi="Times New Roman" w:cs="Times New Roman"/>
          <w:sz w:val="24"/>
          <w:szCs w:val="24"/>
          <w:lang w:eastAsia="ru-RU"/>
        </w:rPr>
        <w:t>в соответствии с</w:t>
      </w:r>
      <w:r w:rsidRPr="004032F4">
        <w:rPr>
          <w:rFonts w:ascii="Times New Roman" w:eastAsia="Times New Roman" w:hAnsi="Times New Roman" w:cs="Times New Roman"/>
          <w:sz w:val="24"/>
          <w:szCs w:val="24"/>
          <w:lang w:eastAsia="ru-RU"/>
        </w:rPr>
        <w:t xml:space="preserve"> Указом Губернатора Тульской области и </w:t>
      </w:r>
      <w:r w:rsidR="0000689C" w:rsidRPr="004032F4">
        <w:rPr>
          <w:rFonts w:ascii="Times New Roman" w:eastAsia="Times New Roman" w:hAnsi="Times New Roman" w:cs="Times New Roman"/>
          <w:sz w:val="24"/>
          <w:szCs w:val="24"/>
          <w:lang w:eastAsia="ru-RU"/>
        </w:rPr>
        <w:t>9</w:t>
      </w:r>
      <w:r w:rsidRPr="004032F4">
        <w:rPr>
          <w:rFonts w:ascii="Times New Roman" w:eastAsia="Times New Roman" w:hAnsi="Times New Roman" w:cs="Times New Roman"/>
          <w:sz w:val="24"/>
          <w:szCs w:val="24"/>
          <w:lang w:eastAsia="ru-RU"/>
        </w:rPr>
        <w:t xml:space="preserve"> </w:t>
      </w:r>
      <w:r w:rsidR="0000689C" w:rsidRPr="004032F4">
        <w:rPr>
          <w:rFonts w:ascii="Times New Roman" w:eastAsia="Times New Roman" w:hAnsi="Times New Roman" w:cs="Times New Roman"/>
          <w:sz w:val="24"/>
          <w:szCs w:val="24"/>
          <w:lang w:eastAsia="ru-RU"/>
        </w:rPr>
        <w:t>в соответствии с</w:t>
      </w:r>
      <w:r w:rsidRPr="004032F4">
        <w:rPr>
          <w:rFonts w:ascii="Times New Roman" w:eastAsia="Times New Roman" w:hAnsi="Times New Roman" w:cs="Times New Roman"/>
          <w:sz w:val="24"/>
          <w:szCs w:val="24"/>
          <w:lang w:eastAsia="ru-RU"/>
        </w:rPr>
        <w:t xml:space="preserve"> постановлениями Правительства Тульской области.</w:t>
      </w:r>
    </w:p>
    <w:p w14:paraId="4B47324E" w14:textId="09471183" w:rsidR="0000689C" w:rsidRPr="004032F4" w:rsidRDefault="0085083A" w:rsidP="0000689C">
      <w:pPr>
        <w:spacing w:before="120" w:after="0" w:line="240" w:lineRule="auto"/>
        <w:ind w:firstLine="709"/>
        <w:jc w:val="both"/>
        <w:rPr>
          <w:rFonts w:ascii="Times New Roman" w:eastAsia="Times New Roman" w:hAnsi="Times New Roman"/>
          <w:sz w:val="24"/>
          <w:szCs w:val="24"/>
          <w:lang w:eastAsia="ru-RU"/>
        </w:rPr>
      </w:pPr>
      <w:r w:rsidRPr="004032F4">
        <w:rPr>
          <w:rFonts w:ascii="Times New Roman" w:eastAsia="Times New Roman" w:hAnsi="Times New Roman"/>
          <w:sz w:val="24"/>
          <w:szCs w:val="24"/>
          <w:lang w:eastAsia="ru-RU"/>
        </w:rPr>
        <w:t xml:space="preserve">Справочно: </w:t>
      </w:r>
      <w:r w:rsidR="0000689C" w:rsidRPr="004032F4">
        <w:rPr>
          <w:rFonts w:ascii="Times New Roman" w:eastAsia="Times New Roman" w:hAnsi="Times New Roman"/>
          <w:sz w:val="24"/>
          <w:szCs w:val="24"/>
          <w:lang w:eastAsia="ru-RU"/>
        </w:rPr>
        <w:t>в 2024 году – 89 обязательств, предусмотренн</w:t>
      </w:r>
      <w:r w:rsidR="009A0D44" w:rsidRPr="004032F4">
        <w:rPr>
          <w:rFonts w:ascii="Times New Roman" w:eastAsia="Times New Roman" w:hAnsi="Times New Roman"/>
          <w:sz w:val="24"/>
          <w:szCs w:val="24"/>
          <w:lang w:eastAsia="ru-RU"/>
        </w:rPr>
        <w:t>ы</w:t>
      </w:r>
      <w:r w:rsidR="0068540D" w:rsidRPr="004032F4">
        <w:rPr>
          <w:rFonts w:ascii="Times New Roman" w:eastAsia="Times New Roman" w:hAnsi="Times New Roman"/>
          <w:sz w:val="24"/>
          <w:szCs w:val="24"/>
          <w:lang w:eastAsia="ru-RU"/>
        </w:rPr>
        <w:t>е</w:t>
      </w:r>
      <w:r w:rsidR="0000689C" w:rsidRPr="004032F4">
        <w:rPr>
          <w:rFonts w:ascii="Times New Roman" w:eastAsia="Times New Roman" w:hAnsi="Times New Roman"/>
          <w:sz w:val="24"/>
          <w:szCs w:val="24"/>
          <w:lang w:eastAsia="ru-RU"/>
        </w:rPr>
        <w:t xml:space="preserve"> 45 НПА, в том числе 3 публичных нормативных обязательства в соответствии с законами РФ, 21 </w:t>
      </w:r>
      <w:r w:rsidR="00B909BB" w:rsidRPr="004032F4">
        <w:rPr>
          <w:rFonts w:ascii="Times New Roman" w:eastAsia="Times New Roman" w:hAnsi="Times New Roman" w:cs="Times New Roman"/>
          <w:sz w:val="24"/>
          <w:szCs w:val="24"/>
          <w:lang w:eastAsia="ru-RU"/>
        </w:rPr>
        <w:t xml:space="preserve">в соответствии </w:t>
      </w:r>
      <w:r w:rsidR="00B909BB">
        <w:rPr>
          <w:rFonts w:ascii="Times New Roman" w:eastAsia="Times New Roman" w:hAnsi="Times New Roman" w:cs="Times New Roman"/>
          <w:sz w:val="24"/>
          <w:szCs w:val="24"/>
          <w:lang w:eastAsia="ru-RU"/>
        </w:rPr>
        <w:t>с</w:t>
      </w:r>
      <w:r w:rsidR="0000689C" w:rsidRPr="004032F4">
        <w:rPr>
          <w:rFonts w:ascii="Times New Roman" w:eastAsia="Times New Roman" w:hAnsi="Times New Roman"/>
          <w:sz w:val="24"/>
          <w:szCs w:val="24"/>
          <w:lang w:eastAsia="ru-RU"/>
        </w:rPr>
        <w:t xml:space="preserve"> законами Тульской области; 10 </w:t>
      </w:r>
      <w:r w:rsidR="00B909BB" w:rsidRPr="004032F4">
        <w:rPr>
          <w:rFonts w:ascii="Times New Roman" w:eastAsia="Times New Roman" w:hAnsi="Times New Roman" w:cs="Times New Roman"/>
          <w:sz w:val="24"/>
          <w:szCs w:val="24"/>
          <w:lang w:eastAsia="ru-RU"/>
        </w:rPr>
        <w:t>в соответствии</w:t>
      </w:r>
      <w:r w:rsidR="00B909BB">
        <w:rPr>
          <w:rFonts w:ascii="Times New Roman" w:eastAsia="Times New Roman" w:hAnsi="Times New Roman" w:cs="Times New Roman"/>
          <w:sz w:val="24"/>
          <w:szCs w:val="24"/>
          <w:lang w:eastAsia="ru-RU"/>
        </w:rPr>
        <w:t xml:space="preserve"> с</w:t>
      </w:r>
      <w:r w:rsidR="0000689C" w:rsidRPr="004032F4">
        <w:rPr>
          <w:rFonts w:ascii="Times New Roman" w:eastAsia="Times New Roman" w:hAnsi="Times New Roman"/>
          <w:sz w:val="24"/>
          <w:szCs w:val="24"/>
          <w:lang w:eastAsia="ru-RU"/>
        </w:rPr>
        <w:t xml:space="preserve"> Указами Губернатора Тульской области и 11 </w:t>
      </w:r>
      <w:r w:rsidR="00B909BB" w:rsidRPr="004032F4">
        <w:rPr>
          <w:rFonts w:ascii="Times New Roman" w:eastAsia="Times New Roman" w:hAnsi="Times New Roman" w:cs="Times New Roman"/>
          <w:sz w:val="24"/>
          <w:szCs w:val="24"/>
          <w:lang w:eastAsia="ru-RU"/>
        </w:rPr>
        <w:t>в соответствии</w:t>
      </w:r>
      <w:r w:rsidR="00B909BB">
        <w:rPr>
          <w:rFonts w:ascii="Times New Roman" w:eastAsia="Times New Roman" w:hAnsi="Times New Roman" w:cs="Times New Roman"/>
          <w:sz w:val="24"/>
          <w:szCs w:val="24"/>
          <w:lang w:eastAsia="ru-RU"/>
        </w:rPr>
        <w:t xml:space="preserve"> с</w:t>
      </w:r>
      <w:r w:rsidR="0000689C" w:rsidRPr="004032F4">
        <w:rPr>
          <w:rFonts w:ascii="Times New Roman" w:eastAsia="Times New Roman" w:hAnsi="Times New Roman"/>
          <w:sz w:val="24"/>
          <w:szCs w:val="24"/>
          <w:lang w:eastAsia="ru-RU"/>
        </w:rPr>
        <w:t xml:space="preserve"> постановлениями Правительства Тульской области.</w:t>
      </w:r>
    </w:p>
    <w:p w14:paraId="3A66B2D5" w14:textId="4BC0A4FE" w:rsidR="0085083A" w:rsidRPr="004032F4" w:rsidRDefault="0085083A" w:rsidP="0000689C">
      <w:pPr>
        <w:spacing w:before="120" w:after="0" w:line="240" w:lineRule="auto"/>
        <w:ind w:firstLine="709"/>
        <w:jc w:val="both"/>
        <w:rPr>
          <w:rFonts w:ascii="Times New Roman" w:eastAsia="Times New Roman" w:hAnsi="Times New Roman"/>
          <w:lang w:eastAsia="ru-RU"/>
        </w:rPr>
      </w:pPr>
      <w:r w:rsidRPr="004032F4">
        <w:rPr>
          <w:rFonts w:ascii="Times New Roman" w:eastAsia="Times New Roman" w:hAnsi="Times New Roman"/>
          <w:sz w:val="28"/>
          <w:szCs w:val="28"/>
          <w:lang w:eastAsia="ru-RU"/>
        </w:rPr>
        <w:t xml:space="preserve">Существенное уменьшение бюджетных ассигнований </w:t>
      </w:r>
      <w:r w:rsidRPr="004032F4">
        <w:rPr>
          <w:rFonts w:ascii="Times New Roman" w:eastAsia="Calibri" w:hAnsi="Times New Roman" w:cs="Times New Roman"/>
          <w:sz w:val="28"/>
          <w:szCs w:val="28"/>
        </w:rPr>
        <w:t>на исполнение публичных нормативных обязательств</w:t>
      </w:r>
      <w:r w:rsidRPr="004032F4">
        <w:rPr>
          <w:rFonts w:ascii="Times New Roman" w:eastAsia="Times New Roman" w:hAnsi="Times New Roman"/>
          <w:sz w:val="28"/>
          <w:szCs w:val="28"/>
          <w:lang w:eastAsia="ru-RU"/>
        </w:rPr>
        <w:t xml:space="preserve"> на </w:t>
      </w:r>
      <w:r w:rsidR="00933509" w:rsidRPr="004032F4">
        <w:rPr>
          <w:rFonts w:ascii="Times New Roman" w:eastAsia="Times New Roman" w:hAnsi="Times New Roman"/>
          <w:sz w:val="28"/>
          <w:szCs w:val="28"/>
          <w:lang w:eastAsia="ru-RU"/>
        </w:rPr>
        <w:t>2025</w:t>
      </w:r>
      <w:r w:rsidRPr="004032F4">
        <w:rPr>
          <w:rFonts w:ascii="Times New Roman" w:eastAsia="Times New Roman" w:hAnsi="Times New Roman"/>
          <w:sz w:val="28"/>
          <w:szCs w:val="28"/>
          <w:lang w:eastAsia="ru-RU"/>
        </w:rPr>
        <w:t xml:space="preserve"> год </w:t>
      </w:r>
      <w:r w:rsidRPr="004032F4">
        <w:rPr>
          <w:rFonts w:ascii="Times New Roman" w:eastAsia="Times New Roman" w:hAnsi="Times New Roman"/>
          <w:lang w:eastAsia="ru-RU"/>
        </w:rPr>
        <w:t xml:space="preserve">(с </w:t>
      </w:r>
      <w:r w:rsidR="003A1234" w:rsidRPr="004032F4">
        <w:rPr>
          <w:rFonts w:ascii="Times New Roman" w:eastAsia="Times New Roman" w:hAnsi="Times New Roman"/>
          <w:lang w:eastAsia="ru-RU"/>
        </w:rPr>
        <w:t xml:space="preserve">8 498,7 млн. рублей до 4 441,6 </w:t>
      </w:r>
      <w:r w:rsidRPr="004032F4">
        <w:rPr>
          <w:rFonts w:ascii="Times New Roman" w:eastAsia="Times New Roman" w:hAnsi="Times New Roman"/>
          <w:lang w:eastAsia="ru-RU"/>
        </w:rPr>
        <w:t>млн. рублей)</w:t>
      </w:r>
      <w:r w:rsidRPr="004032F4">
        <w:rPr>
          <w:rFonts w:ascii="Times New Roman" w:eastAsia="Times New Roman" w:hAnsi="Times New Roman"/>
          <w:sz w:val="28"/>
          <w:szCs w:val="28"/>
          <w:lang w:eastAsia="ru-RU"/>
        </w:rPr>
        <w:t xml:space="preserve"> обусловлено, в основном, изменениями федерального законодательства, сокращением количества получателей выплат, пособий, которые осуществляются из бюджета области</w:t>
      </w:r>
      <w:r w:rsidRPr="004032F4">
        <w:rPr>
          <w:rFonts w:ascii="Times New Roman" w:hAnsi="Times New Roman"/>
          <w:sz w:val="28"/>
          <w:szCs w:val="28"/>
        </w:rPr>
        <w:t xml:space="preserve"> в связи с учетом фактической численности получателей выплат 202</w:t>
      </w:r>
      <w:r w:rsidR="003A1234" w:rsidRPr="004032F4">
        <w:rPr>
          <w:rFonts w:ascii="Times New Roman" w:hAnsi="Times New Roman"/>
          <w:sz w:val="28"/>
          <w:szCs w:val="28"/>
        </w:rPr>
        <w:t>4</w:t>
      </w:r>
      <w:r w:rsidRPr="004032F4">
        <w:rPr>
          <w:rFonts w:ascii="Times New Roman" w:hAnsi="Times New Roman"/>
          <w:sz w:val="28"/>
          <w:szCs w:val="28"/>
        </w:rPr>
        <w:t xml:space="preserve"> года, истечением срока региональных </w:t>
      </w:r>
      <w:r w:rsidR="009A0D44" w:rsidRPr="004032F4">
        <w:rPr>
          <w:rFonts w:ascii="Times New Roman" w:hAnsi="Times New Roman"/>
          <w:sz w:val="28"/>
          <w:szCs w:val="28"/>
        </w:rPr>
        <w:t>правовых актов</w:t>
      </w:r>
      <w:r w:rsidRPr="004032F4">
        <w:rPr>
          <w:rFonts w:ascii="Times New Roman" w:hAnsi="Times New Roman"/>
          <w:sz w:val="28"/>
          <w:szCs w:val="28"/>
        </w:rPr>
        <w:t>, регламентирующих предоставление отдельных выплат и пособий</w:t>
      </w:r>
      <w:r w:rsidR="00AD7255" w:rsidRPr="004032F4">
        <w:rPr>
          <w:rFonts w:ascii="Times New Roman" w:hAnsi="Times New Roman"/>
          <w:sz w:val="28"/>
          <w:szCs w:val="28"/>
        </w:rPr>
        <w:t>.</w:t>
      </w:r>
    </w:p>
    <w:p w14:paraId="4E39A064" w14:textId="0585B02D" w:rsidR="00754B6F" w:rsidRPr="004032F4" w:rsidRDefault="00754B6F" w:rsidP="00754B6F">
      <w:pPr>
        <w:autoSpaceDE w:val="0"/>
        <w:autoSpaceDN w:val="0"/>
        <w:adjustRightInd w:val="0"/>
        <w:spacing w:after="0" w:line="240" w:lineRule="auto"/>
        <w:ind w:firstLine="709"/>
        <w:jc w:val="both"/>
        <w:rPr>
          <w:rFonts w:ascii="Times New Roman" w:hAnsi="Times New Roman"/>
          <w:sz w:val="28"/>
          <w:szCs w:val="28"/>
          <w:lang w:eastAsia="ru-RU"/>
        </w:rPr>
      </w:pPr>
      <w:r w:rsidRPr="004032F4">
        <w:rPr>
          <w:rFonts w:ascii="Times New Roman" w:hAnsi="Times New Roman"/>
          <w:sz w:val="28"/>
          <w:szCs w:val="28"/>
          <w:lang w:eastAsia="ru-RU"/>
        </w:rPr>
        <w:lastRenderedPageBreak/>
        <w:t>Две дополнительные меры социальной поддержки были введены в 2024 году и финансируются за счет средств резервного фонда Правительства Тульской области (которые будут начислены в декабре 2024 года и выплачены в январе 2025 года), в том числе:</w:t>
      </w:r>
    </w:p>
    <w:p w14:paraId="13CAE982" w14:textId="38867C64" w:rsidR="00754B6F" w:rsidRPr="004032F4" w:rsidRDefault="00754B6F" w:rsidP="00754B6F">
      <w:pPr>
        <w:autoSpaceDE w:val="0"/>
        <w:autoSpaceDN w:val="0"/>
        <w:adjustRightInd w:val="0"/>
        <w:spacing w:after="0" w:line="240" w:lineRule="auto"/>
        <w:ind w:firstLine="709"/>
        <w:jc w:val="both"/>
        <w:rPr>
          <w:rFonts w:ascii="Times New Roman" w:hAnsi="Times New Roman"/>
          <w:lang w:eastAsia="ru-RU"/>
        </w:rPr>
      </w:pPr>
      <w:r w:rsidRPr="004032F4">
        <w:rPr>
          <w:rFonts w:ascii="Times New Roman" w:hAnsi="Times New Roman"/>
          <w:sz w:val="28"/>
          <w:szCs w:val="28"/>
          <w:lang w:eastAsia="ru-RU"/>
        </w:rPr>
        <w:t>гражданам</w:t>
      </w:r>
      <w:r w:rsidRPr="004032F4">
        <w:rPr>
          <w:rFonts w:ascii="Times New Roman" w:eastAsia="Times New Roman" w:hAnsi="Times New Roman"/>
          <w:sz w:val="28"/>
          <w:szCs w:val="28"/>
          <w:lang w:eastAsia="ru-RU"/>
        </w:rPr>
        <w:t xml:space="preserve">, награжденным наградой Тульской области – медалью «Доблесть и слава», в виде единовременной денежной выплаты в размере </w:t>
      </w:r>
      <w:r w:rsidRPr="004032F4">
        <w:rPr>
          <w:rFonts w:ascii="Times New Roman" w:hAnsi="Times New Roman"/>
          <w:sz w:val="28"/>
          <w:szCs w:val="28"/>
          <w:lang w:eastAsia="ru-RU"/>
        </w:rPr>
        <w:t>50 000 рублей на основании пункта 1 Постановления Правительства Тульской области от 28.06.2024 № 308.</w:t>
      </w:r>
      <w:r w:rsidRPr="004032F4">
        <w:t xml:space="preserve"> </w:t>
      </w:r>
      <w:r w:rsidRPr="004032F4">
        <w:rPr>
          <w:rFonts w:ascii="Times New Roman" w:hAnsi="Times New Roman"/>
          <w:lang w:eastAsia="ru-RU"/>
        </w:rPr>
        <w:t>Справочно: объем бюджетных ассигнований на указанные выплаты на 2025 год предусматривается в объеме 500,0 тыс. рублей;</w:t>
      </w:r>
    </w:p>
    <w:p w14:paraId="6A6CD726" w14:textId="0A01FF02" w:rsidR="00754B6F" w:rsidRPr="004032F4" w:rsidRDefault="00754B6F" w:rsidP="00754B6F">
      <w:pPr>
        <w:autoSpaceDE w:val="0"/>
        <w:autoSpaceDN w:val="0"/>
        <w:adjustRightInd w:val="0"/>
        <w:spacing w:after="0" w:line="240" w:lineRule="auto"/>
        <w:ind w:firstLine="709"/>
        <w:jc w:val="both"/>
        <w:rPr>
          <w:rFonts w:ascii="Times New Roman" w:hAnsi="Times New Roman"/>
          <w:sz w:val="28"/>
          <w:szCs w:val="28"/>
          <w:lang w:eastAsia="ru-RU"/>
        </w:rPr>
      </w:pPr>
      <w:r w:rsidRPr="004032F4">
        <w:rPr>
          <w:rFonts w:ascii="Times New Roman" w:hAnsi="Times New Roman"/>
          <w:sz w:val="28"/>
          <w:szCs w:val="28"/>
          <w:lang w:eastAsia="ru-RU"/>
        </w:rPr>
        <w:t>отдельным категориям сотрудников правоохранительных органов,</w:t>
      </w:r>
      <w:r w:rsidRPr="004032F4">
        <w:rPr>
          <w:rFonts w:ascii="Times New Roman" w:eastAsia="Times New Roman" w:hAnsi="Times New Roman"/>
          <w:sz w:val="28"/>
          <w:szCs w:val="28"/>
          <w:lang w:eastAsia="ru-RU"/>
        </w:rPr>
        <w:t xml:space="preserve"> в виде единовременной денежной выплаты</w:t>
      </w:r>
      <w:r w:rsidRPr="004032F4">
        <w:rPr>
          <w:rFonts w:ascii="Times New Roman" w:hAnsi="Times New Roman"/>
          <w:sz w:val="28"/>
          <w:szCs w:val="28"/>
          <w:lang w:eastAsia="ru-RU"/>
        </w:rPr>
        <w:t xml:space="preserve"> в размере 10 000 рублей на основании Постановления Правительства Тульской об</w:t>
      </w:r>
      <w:r w:rsidR="009A0D44" w:rsidRPr="004032F4">
        <w:rPr>
          <w:rFonts w:ascii="Times New Roman" w:hAnsi="Times New Roman"/>
          <w:sz w:val="28"/>
          <w:szCs w:val="28"/>
          <w:lang w:eastAsia="ru-RU"/>
        </w:rPr>
        <w:t>ласти от 29.12.2023 №824.</w:t>
      </w:r>
    </w:p>
    <w:p w14:paraId="7A1C7A2C" w14:textId="09A0A587" w:rsidR="0085083A" w:rsidRPr="004032F4" w:rsidRDefault="0085083A" w:rsidP="0085083A">
      <w:pPr>
        <w:tabs>
          <w:tab w:val="left" w:pos="0"/>
        </w:tabs>
        <w:spacing w:before="120" w:after="0" w:line="240" w:lineRule="auto"/>
        <w:ind w:firstLine="709"/>
        <w:jc w:val="both"/>
        <w:rPr>
          <w:rFonts w:ascii="Times New Roman" w:hAnsi="Times New Roman"/>
          <w:sz w:val="28"/>
          <w:szCs w:val="28"/>
        </w:rPr>
      </w:pPr>
      <w:r w:rsidRPr="004032F4">
        <w:rPr>
          <w:rFonts w:ascii="Times New Roman" w:hAnsi="Times New Roman"/>
          <w:sz w:val="28"/>
          <w:szCs w:val="28"/>
        </w:rPr>
        <w:t>Согласно абзацу 3 пункта 4 статьи 21 БК РФ</w:t>
      </w:r>
      <w:r w:rsidR="009A0D44" w:rsidRPr="004032F4">
        <w:rPr>
          <w:rFonts w:ascii="Times New Roman" w:hAnsi="Times New Roman"/>
          <w:sz w:val="28"/>
          <w:szCs w:val="28"/>
        </w:rPr>
        <w:t>,</w:t>
      </w:r>
      <w:r w:rsidRPr="004032F4">
        <w:rPr>
          <w:rFonts w:ascii="Times New Roman" w:hAnsi="Times New Roman"/>
          <w:sz w:val="28"/>
          <w:szCs w:val="28"/>
        </w:rPr>
        <w:t xml:space="preserve"> «каждому публичному нормативному обязательству присваиваются уникальные коды классификации расходов бюджетов». </w:t>
      </w:r>
    </w:p>
    <w:p w14:paraId="3187F162" w14:textId="72FAEF8D" w:rsidR="0085083A" w:rsidRPr="004032F4" w:rsidRDefault="0085083A" w:rsidP="0085083A">
      <w:pPr>
        <w:tabs>
          <w:tab w:val="left" w:pos="0"/>
        </w:tabs>
        <w:spacing w:after="0" w:line="240" w:lineRule="auto"/>
        <w:ind w:firstLine="709"/>
        <w:jc w:val="both"/>
        <w:rPr>
          <w:rFonts w:ascii="Times New Roman" w:hAnsi="Times New Roman"/>
          <w:spacing w:val="-4"/>
          <w:sz w:val="28"/>
          <w:szCs w:val="28"/>
        </w:rPr>
      </w:pPr>
      <w:r w:rsidRPr="004032F4">
        <w:rPr>
          <w:rFonts w:ascii="Times New Roman" w:hAnsi="Times New Roman"/>
          <w:sz w:val="28"/>
          <w:szCs w:val="28"/>
        </w:rPr>
        <w:t xml:space="preserve">Счетная палата отмечает, что требования статьи 21 БК РФ не соблюдены. </w:t>
      </w:r>
      <w:r w:rsidRPr="004032F4">
        <w:rPr>
          <w:rFonts w:ascii="Times New Roman" w:hAnsi="Times New Roman"/>
          <w:spacing w:val="-4"/>
          <w:sz w:val="28"/>
          <w:szCs w:val="28"/>
        </w:rPr>
        <w:t>В представленном Законопроекте 7</w:t>
      </w:r>
      <w:r w:rsidR="003A1234" w:rsidRPr="004032F4">
        <w:rPr>
          <w:rFonts w:ascii="Times New Roman" w:hAnsi="Times New Roman"/>
          <w:spacing w:val="-4"/>
          <w:sz w:val="28"/>
          <w:szCs w:val="28"/>
        </w:rPr>
        <w:t>2</w:t>
      </w:r>
      <w:r w:rsidRPr="004032F4">
        <w:rPr>
          <w:rFonts w:ascii="Times New Roman" w:hAnsi="Times New Roman"/>
          <w:spacing w:val="-4"/>
          <w:sz w:val="28"/>
          <w:szCs w:val="28"/>
        </w:rPr>
        <w:t xml:space="preserve"> выплат</w:t>
      </w:r>
      <w:r w:rsidR="009A0D44" w:rsidRPr="004032F4">
        <w:rPr>
          <w:rFonts w:ascii="Times New Roman" w:hAnsi="Times New Roman"/>
          <w:spacing w:val="-4"/>
          <w:sz w:val="28"/>
          <w:szCs w:val="28"/>
        </w:rPr>
        <w:t>ы</w:t>
      </w:r>
      <w:r w:rsidRPr="004032F4">
        <w:rPr>
          <w:rFonts w:ascii="Times New Roman" w:hAnsi="Times New Roman"/>
          <w:spacing w:val="-4"/>
          <w:sz w:val="28"/>
          <w:szCs w:val="28"/>
        </w:rPr>
        <w:t xml:space="preserve"> </w:t>
      </w:r>
      <w:r w:rsidRPr="004032F4">
        <w:rPr>
          <w:rFonts w:ascii="Times New Roman" w:hAnsi="Times New Roman"/>
          <w:sz w:val="28"/>
          <w:szCs w:val="28"/>
        </w:rPr>
        <w:t>отражены по 5</w:t>
      </w:r>
      <w:r w:rsidR="003A1234" w:rsidRPr="004032F4">
        <w:rPr>
          <w:rFonts w:ascii="Times New Roman" w:hAnsi="Times New Roman"/>
          <w:sz w:val="28"/>
          <w:szCs w:val="28"/>
        </w:rPr>
        <w:t>1-ой</w:t>
      </w:r>
      <w:r w:rsidRPr="004032F4">
        <w:rPr>
          <w:rFonts w:ascii="Times New Roman" w:hAnsi="Times New Roman"/>
          <w:sz w:val="28"/>
          <w:szCs w:val="28"/>
        </w:rPr>
        <w:t xml:space="preserve"> целев</w:t>
      </w:r>
      <w:r w:rsidR="003A1234" w:rsidRPr="004032F4">
        <w:rPr>
          <w:rFonts w:ascii="Times New Roman" w:hAnsi="Times New Roman"/>
          <w:sz w:val="28"/>
          <w:szCs w:val="28"/>
        </w:rPr>
        <w:t>ой</w:t>
      </w:r>
      <w:r w:rsidRPr="004032F4">
        <w:rPr>
          <w:rFonts w:ascii="Times New Roman" w:hAnsi="Times New Roman"/>
          <w:sz w:val="28"/>
          <w:szCs w:val="28"/>
        </w:rPr>
        <w:t xml:space="preserve"> стать</w:t>
      </w:r>
      <w:r w:rsidR="003A1234" w:rsidRPr="004032F4">
        <w:rPr>
          <w:rFonts w:ascii="Times New Roman" w:hAnsi="Times New Roman"/>
          <w:sz w:val="28"/>
          <w:szCs w:val="28"/>
        </w:rPr>
        <w:t>е</w:t>
      </w:r>
      <w:r w:rsidRPr="004032F4">
        <w:rPr>
          <w:rFonts w:ascii="Times New Roman" w:hAnsi="Times New Roman"/>
          <w:sz w:val="28"/>
          <w:szCs w:val="28"/>
        </w:rPr>
        <w:t xml:space="preserve"> расходов бюджета области (приложения №</w:t>
      </w:r>
      <w:r w:rsidR="003A1234" w:rsidRPr="004032F4">
        <w:rPr>
          <w:rFonts w:ascii="Times New Roman" w:hAnsi="Times New Roman"/>
          <w:sz w:val="28"/>
          <w:szCs w:val="28"/>
        </w:rPr>
        <w:t>7</w:t>
      </w:r>
      <w:r w:rsidRPr="004032F4">
        <w:rPr>
          <w:rFonts w:ascii="Times New Roman" w:hAnsi="Times New Roman"/>
          <w:sz w:val="28"/>
          <w:szCs w:val="28"/>
        </w:rPr>
        <w:t xml:space="preserve">, </w:t>
      </w:r>
      <w:r w:rsidR="00B20354" w:rsidRPr="004032F4">
        <w:rPr>
          <w:rFonts w:ascii="Times New Roman" w:hAnsi="Times New Roman"/>
          <w:sz w:val="28"/>
          <w:szCs w:val="28"/>
        </w:rPr>
        <w:t>№</w:t>
      </w:r>
      <w:r w:rsidR="003A1234" w:rsidRPr="004032F4">
        <w:rPr>
          <w:rFonts w:ascii="Times New Roman" w:hAnsi="Times New Roman"/>
          <w:sz w:val="28"/>
          <w:szCs w:val="28"/>
        </w:rPr>
        <w:t>9</w:t>
      </w:r>
      <w:r w:rsidRPr="004032F4">
        <w:rPr>
          <w:rFonts w:ascii="Times New Roman" w:hAnsi="Times New Roman"/>
          <w:sz w:val="28"/>
          <w:szCs w:val="28"/>
        </w:rPr>
        <w:t xml:space="preserve">, </w:t>
      </w:r>
      <w:r w:rsidR="00B20354" w:rsidRPr="004032F4">
        <w:rPr>
          <w:rFonts w:ascii="Times New Roman" w:hAnsi="Times New Roman"/>
          <w:sz w:val="28"/>
          <w:szCs w:val="28"/>
        </w:rPr>
        <w:t>№</w:t>
      </w:r>
      <w:r w:rsidRPr="004032F4">
        <w:rPr>
          <w:rFonts w:ascii="Times New Roman" w:hAnsi="Times New Roman"/>
          <w:sz w:val="28"/>
          <w:szCs w:val="28"/>
        </w:rPr>
        <w:t>1</w:t>
      </w:r>
      <w:r w:rsidR="003A1234" w:rsidRPr="004032F4">
        <w:rPr>
          <w:rFonts w:ascii="Times New Roman" w:hAnsi="Times New Roman"/>
          <w:sz w:val="28"/>
          <w:szCs w:val="28"/>
        </w:rPr>
        <w:t>1</w:t>
      </w:r>
      <w:r w:rsidRPr="004032F4">
        <w:rPr>
          <w:rFonts w:ascii="Times New Roman" w:hAnsi="Times New Roman"/>
          <w:sz w:val="28"/>
          <w:szCs w:val="28"/>
        </w:rPr>
        <w:t xml:space="preserve"> к Законопроекту). </w:t>
      </w:r>
    </w:p>
    <w:p w14:paraId="4743F8C5" w14:textId="1E6B04CF" w:rsidR="0085083A" w:rsidRPr="004032F4" w:rsidRDefault="0085083A" w:rsidP="0085083A">
      <w:pPr>
        <w:tabs>
          <w:tab w:val="left" w:pos="0"/>
        </w:tabs>
        <w:spacing w:after="0" w:line="240" w:lineRule="auto"/>
        <w:ind w:firstLine="709"/>
        <w:jc w:val="both"/>
        <w:rPr>
          <w:rFonts w:ascii="Times New Roman" w:hAnsi="Times New Roman"/>
          <w:spacing w:val="-4"/>
          <w:sz w:val="28"/>
          <w:szCs w:val="28"/>
        </w:rPr>
      </w:pPr>
      <w:r w:rsidRPr="004032F4">
        <w:rPr>
          <w:rFonts w:ascii="Times New Roman" w:hAnsi="Times New Roman"/>
          <w:spacing w:val="-4"/>
          <w:sz w:val="28"/>
          <w:szCs w:val="28"/>
        </w:rPr>
        <w:t>В</w:t>
      </w:r>
      <w:r w:rsidRPr="004032F4">
        <w:rPr>
          <w:rFonts w:ascii="Times New Roman" w:hAnsi="Times New Roman"/>
          <w:sz w:val="28"/>
          <w:szCs w:val="28"/>
        </w:rPr>
        <w:t xml:space="preserve"> результате выборочного анализа нормативных правовых актов</w:t>
      </w:r>
      <w:r w:rsidR="00B20354" w:rsidRPr="004032F4">
        <w:rPr>
          <w:rFonts w:ascii="Times New Roman" w:hAnsi="Times New Roman"/>
          <w:sz w:val="28"/>
          <w:szCs w:val="28"/>
        </w:rPr>
        <w:t>,</w:t>
      </w:r>
      <w:r w:rsidRPr="004032F4">
        <w:rPr>
          <w:rFonts w:ascii="Times New Roman" w:hAnsi="Times New Roman"/>
          <w:sz w:val="28"/>
          <w:szCs w:val="28"/>
        </w:rPr>
        <w:t xml:space="preserve"> представленного перечня публичных нормативных обязательств </w:t>
      </w:r>
      <w:r w:rsidR="00B20354" w:rsidRPr="004032F4">
        <w:rPr>
          <w:rFonts w:ascii="Times New Roman" w:hAnsi="Times New Roman"/>
          <w:sz w:val="28"/>
          <w:szCs w:val="28"/>
        </w:rPr>
        <w:t xml:space="preserve">и приложений к Законопроекту о распределении бюджетных ассигнований на </w:t>
      </w:r>
      <w:r w:rsidR="00933509" w:rsidRPr="004032F4">
        <w:rPr>
          <w:rFonts w:ascii="Times New Roman" w:hAnsi="Times New Roman"/>
          <w:sz w:val="28"/>
          <w:szCs w:val="28"/>
        </w:rPr>
        <w:t>2025</w:t>
      </w:r>
      <w:r w:rsidR="00B20354" w:rsidRPr="004032F4">
        <w:rPr>
          <w:rFonts w:ascii="Times New Roman" w:hAnsi="Times New Roman"/>
          <w:sz w:val="28"/>
          <w:szCs w:val="28"/>
        </w:rPr>
        <w:t xml:space="preserve"> год</w:t>
      </w:r>
      <w:r w:rsidR="00B20354" w:rsidRPr="004032F4">
        <w:rPr>
          <w:rStyle w:val="a5"/>
          <w:rFonts w:ascii="Times New Roman" w:hAnsi="Times New Roman"/>
          <w:sz w:val="28"/>
          <w:szCs w:val="28"/>
        </w:rPr>
        <w:footnoteReference w:id="19"/>
      </w:r>
      <w:r w:rsidR="00B20354" w:rsidRPr="004032F4">
        <w:rPr>
          <w:rFonts w:ascii="Times New Roman" w:hAnsi="Times New Roman"/>
          <w:sz w:val="28"/>
          <w:szCs w:val="28"/>
        </w:rPr>
        <w:t xml:space="preserve"> </w:t>
      </w:r>
      <w:r w:rsidRPr="004032F4">
        <w:rPr>
          <w:rFonts w:ascii="Times New Roman" w:hAnsi="Times New Roman"/>
          <w:sz w:val="28"/>
          <w:szCs w:val="28"/>
        </w:rPr>
        <w:t xml:space="preserve">установлены случаи объединения нескольких видов выплат с </w:t>
      </w:r>
      <w:r w:rsidRPr="004032F4">
        <w:rPr>
          <w:rFonts w:ascii="Times New Roman" w:hAnsi="Times New Roman"/>
          <w:i/>
          <w:sz w:val="28"/>
          <w:szCs w:val="28"/>
        </w:rPr>
        <w:t>различной направленностью, различной периодичностью и размером выплаты</w:t>
      </w:r>
      <w:r w:rsidRPr="004032F4">
        <w:rPr>
          <w:rFonts w:ascii="Times New Roman" w:hAnsi="Times New Roman"/>
          <w:sz w:val="28"/>
          <w:szCs w:val="28"/>
        </w:rPr>
        <w:t xml:space="preserve"> в одну целевую статью.</w:t>
      </w:r>
      <w:r w:rsidRPr="004032F4">
        <w:rPr>
          <w:rFonts w:ascii="Times New Roman" w:hAnsi="Times New Roman"/>
          <w:spacing w:val="-4"/>
          <w:sz w:val="28"/>
          <w:szCs w:val="28"/>
        </w:rPr>
        <w:t xml:space="preserve"> </w:t>
      </w:r>
    </w:p>
    <w:p w14:paraId="6AF6F0E4" w14:textId="77777777" w:rsidR="007611D4" w:rsidRPr="004032F4" w:rsidRDefault="007611D4" w:rsidP="007611D4">
      <w:pPr>
        <w:spacing w:before="120" w:after="0" w:line="240" w:lineRule="auto"/>
        <w:ind w:firstLine="567"/>
        <w:jc w:val="both"/>
        <w:rPr>
          <w:rFonts w:ascii="Times New Roman" w:eastAsia="Times New Roman" w:hAnsi="Times New Roman"/>
          <w:spacing w:val="-4"/>
          <w:sz w:val="24"/>
          <w:szCs w:val="24"/>
          <w:lang w:eastAsia="ru-RU"/>
        </w:rPr>
      </w:pPr>
      <w:proofErr w:type="gramStart"/>
      <w:r w:rsidRPr="004032F4">
        <w:rPr>
          <w:rFonts w:ascii="Times New Roman" w:eastAsia="Times New Roman" w:hAnsi="Times New Roman"/>
          <w:spacing w:val="-4"/>
          <w:sz w:val="24"/>
          <w:szCs w:val="24"/>
          <w:lang w:eastAsia="ru-RU"/>
        </w:rPr>
        <w:t>Например</w:t>
      </w:r>
      <w:proofErr w:type="gramEnd"/>
      <w:r w:rsidRPr="004032F4">
        <w:rPr>
          <w:rFonts w:ascii="Times New Roman" w:eastAsia="Times New Roman" w:hAnsi="Times New Roman"/>
          <w:spacing w:val="-4"/>
          <w:sz w:val="24"/>
          <w:szCs w:val="24"/>
          <w:lang w:eastAsia="ru-RU"/>
        </w:rPr>
        <w:t>:</w:t>
      </w:r>
    </w:p>
    <w:p w14:paraId="4B26672A" w14:textId="77777777" w:rsidR="00EE4EA6" w:rsidRPr="004032F4" w:rsidRDefault="00EE4EA6" w:rsidP="00EE4EA6">
      <w:pPr>
        <w:spacing w:after="0" w:line="240" w:lineRule="auto"/>
        <w:ind w:firstLine="709"/>
        <w:jc w:val="both"/>
        <w:rPr>
          <w:rFonts w:ascii="Times New Roman" w:hAnsi="Times New Roman"/>
          <w:spacing w:val="-4"/>
          <w:sz w:val="24"/>
          <w:szCs w:val="24"/>
          <w:lang w:eastAsia="ru-RU"/>
        </w:rPr>
      </w:pPr>
      <w:r w:rsidRPr="004032F4">
        <w:rPr>
          <w:rFonts w:ascii="Times New Roman" w:eastAsia="Times New Roman" w:hAnsi="Times New Roman"/>
          <w:spacing w:val="-4"/>
          <w:sz w:val="24"/>
          <w:szCs w:val="24"/>
          <w:lang w:eastAsia="ru-RU"/>
        </w:rPr>
        <w:t>- 7 видов выплат</w:t>
      </w:r>
      <w:r w:rsidRPr="004032F4">
        <w:rPr>
          <w:rFonts w:ascii="Times New Roman" w:hAnsi="Times New Roman"/>
          <w:spacing w:val="-4"/>
          <w:sz w:val="28"/>
          <w:szCs w:val="28"/>
          <w:vertAlign w:val="superscript"/>
          <w:lang w:eastAsia="ru-RU"/>
        </w:rPr>
        <w:footnoteReference w:id="20"/>
      </w:r>
      <w:r w:rsidRPr="004032F4">
        <w:rPr>
          <w:rFonts w:ascii="Times New Roman" w:eastAsia="Times New Roman" w:hAnsi="Times New Roman"/>
          <w:spacing w:val="-4"/>
          <w:sz w:val="24"/>
          <w:szCs w:val="24"/>
          <w:lang w:eastAsia="ru-RU"/>
        </w:rPr>
        <w:t xml:space="preserve"> в соответствии с Законом Тульской области «О физической культуре и спорте» объединены в 2 </w:t>
      </w:r>
      <w:r w:rsidRPr="004032F4">
        <w:rPr>
          <w:rFonts w:ascii="Times New Roman" w:hAnsi="Times New Roman"/>
          <w:spacing w:val="-4"/>
          <w:sz w:val="24"/>
          <w:szCs w:val="24"/>
          <w:lang w:eastAsia="ru-RU"/>
        </w:rPr>
        <w:t xml:space="preserve">целевые статьи; </w:t>
      </w:r>
    </w:p>
    <w:p w14:paraId="18012C31" w14:textId="77777777" w:rsidR="00EE4EA6" w:rsidRPr="004032F4" w:rsidRDefault="00EE4EA6" w:rsidP="00EE4EA6">
      <w:pPr>
        <w:tabs>
          <w:tab w:val="left" w:pos="993"/>
        </w:tabs>
        <w:spacing w:after="0" w:line="240" w:lineRule="auto"/>
        <w:ind w:firstLine="709"/>
        <w:jc w:val="both"/>
        <w:rPr>
          <w:rFonts w:ascii="Times New Roman" w:hAnsi="Times New Roman"/>
          <w:spacing w:val="-4"/>
          <w:sz w:val="24"/>
          <w:szCs w:val="24"/>
          <w:lang w:eastAsia="ru-RU"/>
        </w:rPr>
      </w:pPr>
      <w:r w:rsidRPr="004032F4">
        <w:rPr>
          <w:rFonts w:ascii="Times New Roman" w:hAnsi="Times New Roman"/>
          <w:spacing w:val="-4"/>
          <w:sz w:val="24"/>
          <w:szCs w:val="24"/>
          <w:lang w:eastAsia="ru-RU"/>
        </w:rPr>
        <w:lastRenderedPageBreak/>
        <w:t>- 5 видов выплат</w:t>
      </w:r>
      <w:r w:rsidRPr="004032F4">
        <w:rPr>
          <w:rFonts w:ascii="Times New Roman" w:hAnsi="Times New Roman"/>
          <w:spacing w:val="-4"/>
          <w:sz w:val="24"/>
          <w:szCs w:val="24"/>
          <w:vertAlign w:val="superscript"/>
          <w:lang w:eastAsia="ru-RU"/>
        </w:rPr>
        <w:footnoteReference w:id="21"/>
      </w:r>
      <w:r w:rsidRPr="004032F4">
        <w:rPr>
          <w:rFonts w:ascii="Times New Roman" w:hAnsi="Times New Roman"/>
          <w:spacing w:val="-4"/>
          <w:sz w:val="24"/>
          <w:szCs w:val="24"/>
          <w:lang w:eastAsia="ru-RU"/>
        </w:rPr>
        <w:t xml:space="preserve"> </w:t>
      </w:r>
      <w:r w:rsidRPr="004032F4">
        <w:rPr>
          <w:rFonts w:ascii="Times New Roman" w:eastAsia="Times New Roman" w:hAnsi="Times New Roman"/>
          <w:spacing w:val="-4"/>
          <w:sz w:val="24"/>
          <w:szCs w:val="24"/>
          <w:lang w:eastAsia="ru-RU"/>
        </w:rPr>
        <w:t xml:space="preserve">в соответствии с Законом </w:t>
      </w:r>
      <w:r w:rsidRPr="004032F4">
        <w:rPr>
          <w:rFonts w:ascii="Times New Roman" w:hAnsi="Times New Roman"/>
          <w:spacing w:val="-4"/>
          <w:sz w:val="24"/>
          <w:szCs w:val="24"/>
          <w:lang w:eastAsia="ru-RU"/>
        </w:rPr>
        <w:t>Тульской области «О защите прав ребенка» объединены в одну целевую статью.</w:t>
      </w:r>
    </w:p>
    <w:p w14:paraId="65B4A79D" w14:textId="7E84C99D" w:rsidR="00F040E7" w:rsidRPr="004032F4" w:rsidRDefault="00F040E7" w:rsidP="00F040E7">
      <w:pPr>
        <w:tabs>
          <w:tab w:val="left" w:pos="0"/>
        </w:tabs>
        <w:spacing w:before="120" w:after="0" w:line="240" w:lineRule="auto"/>
        <w:ind w:firstLine="709"/>
        <w:jc w:val="both"/>
        <w:rPr>
          <w:rFonts w:ascii="Times New Roman" w:hAnsi="Times New Roman"/>
          <w:spacing w:val="-4"/>
          <w:sz w:val="28"/>
          <w:szCs w:val="28"/>
        </w:rPr>
      </w:pPr>
      <w:r w:rsidRPr="004032F4">
        <w:rPr>
          <w:rFonts w:ascii="Times New Roman" w:hAnsi="Times New Roman"/>
          <w:spacing w:val="-4"/>
          <w:sz w:val="28"/>
          <w:szCs w:val="28"/>
        </w:rPr>
        <w:t>Аналогичное нарушение уже отмечалось в заключении счетной палаты области на проект закона Тульской области «О бюджете Тульской области на 202</w:t>
      </w:r>
      <w:r w:rsidR="00EE4EA6" w:rsidRPr="004032F4">
        <w:rPr>
          <w:rFonts w:ascii="Times New Roman" w:hAnsi="Times New Roman"/>
          <w:spacing w:val="-4"/>
          <w:sz w:val="28"/>
          <w:szCs w:val="28"/>
        </w:rPr>
        <w:t>4</w:t>
      </w:r>
      <w:r w:rsidRPr="004032F4">
        <w:rPr>
          <w:rFonts w:ascii="Times New Roman" w:hAnsi="Times New Roman"/>
          <w:spacing w:val="-4"/>
          <w:sz w:val="28"/>
          <w:szCs w:val="28"/>
        </w:rPr>
        <w:t xml:space="preserve"> год и на плановый период </w:t>
      </w:r>
      <w:r w:rsidR="00933509" w:rsidRPr="004032F4">
        <w:rPr>
          <w:rFonts w:ascii="Times New Roman" w:hAnsi="Times New Roman"/>
          <w:spacing w:val="-4"/>
          <w:sz w:val="28"/>
          <w:szCs w:val="28"/>
        </w:rPr>
        <w:t>2025</w:t>
      </w:r>
      <w:r w:rsidRPr="004032F4">
        <w:rPr>
          <w:rFonts w:ascii="Times New Roman" w:hAnsi="Times New Roman"/>
          <w:spacing w:val="-4"/>
          <w:sz w:val="28"/>
          <w:szCs w:val="28"/>
        </w:rPr>
        <w:t xml:space="preserve"> и </w:t>
      </w:r>
      <w:r w:rsidR="00933509" w:rsidRPr="004032F4">
        <w:rPr>
          <w:rFonts w:ascii="Times New Roman" w:hAnsi="Times New Roman"/>
          <w:spacing w:val="-4"/>
          <w:sz w:val="28"/>
          <w:szCs w:val="28"/>
        </w:rPr>
        <w:t>2026</w:t>
      </w:r>
      <w:r w:rsidRPr="004032F4">
        <w:rPr>
          <w:rFonts w:ascii="Times New Roman" w:hAnsi="Times New Roman"/>
          <w:spacing w:val="-4"/>
          <w:sz w:val="28"/>
          <w:szCs w:val="28"/>
        </w:rPr>
        <w:t xml:space="preserve"> годов» от 1</w:t>
      </w:r>
      <w:r w:rsidR="00EE4EA6" w:rsidRPr="004032F4">
        <w:rPr>
          <w:rFonts w:ascii="Times New Roman" w:hAnsi="Times New Roman"/>
          <w:spacing w:val="-4"/>
          <w:sz w:val="28"/>
          <w:szCs w:val="28"/>
        </w:rPr>
        <w:t>5</w:t>
      </w:r>
      <w:r w:rsidRPr="004032F4">
        <w:rPr>
          <w:rFonts w:ascii="Times New Roman" w:hAnsi="Times New Roman"/>
          <w:spacing w:val="-4"/>
          <w:sz w:val="28"/>
          <w:szCs w:val="28"/>
        </w:rPr>
        <w:t>.11.202</w:t>
      </w:r>
      <w:r w:rsidR="00EE4EA6" w:rsidRPr="004032F4">
        <w:rPr>
          <w:rFonts w:ascii="Times New Roman" w:hAnsi="Times New Roman"/>
          <w:spacing w:val="-4"/>
          <w:sz w:val="28"/>
          <w:szCs w:val="28"/>
        </w:rPr>
        <w:t>3</w:t>
      </w:r>
      <w:r w:rsidRPr="004032F4">
        <w:rPr>
          <w:rFonts w:ascii="Times New Roman" w:hAnsi="Times New Roman"/>
          <w:spacing w:val="-4"/>
          <w:sz w:val="28"/>
          <w:szCs w:val="28"/>
        </w:rPr>
        <w:t xml:space="preserve"> № 01-07/4</w:t>
      </w:r>
      <w:r w:rsidR="00EE4EA6" w:rsidRPr="004032F4">
        <w:rPr>
          <w:rFonts w:ascii="Times New Roman" w:hAnsi="Times New Roman"/>
          <w:spacing w:val="-4"/>
          <w:sz w:val="28"/>
          <w:szCs w:val="28"/>
        </w:rPr>
        <w:t>0</w:t>
      </w:r>
      <w:r w:rsidRPr="004032F4">
        <w:rPr>
          <w:rFonts w:ascii="Times New Roman" w:hAnsi="Times New Roman"/>
          <w:spacing w:val="-4"/>
          <w:sz w:val="28"/>
          <w:szCs w:val="28"/>
        </w:rPr>
        <w:t>.</w:t>
      </w:r>
    </w:p>
    <w:p w14:paraId="2913945B" w14:textId="400A3023" w:rsidR="007611D4" w:rsidRPr="004032F4" w:rsidRDefault="007611D4" w:rsidP="00F040E7">
      <w:pPr>
        <w:tabs>
          <w:tab w:val="left" w:pos="993"/>
        </w:tabs>
        <w:spacing w:before="120" w:after="0" w:line="240" w:lineRule="auto"/>
        <w:ind w:firstLine="709"/>
        <w:jc w:val="both"/>
        <w:rPr>
          <w:rFonts w:ascii="Times New Roman" w:hAnsi="Times New Roman"/>
          <w:sz w:val="28"/>
          <w:szCs w:val="28"/>
        </w:rPr>
      </w:pPr>
      <w:r w:rsidRPr="004032F4">
        <w:rPr>
          <w:rFonts w:ascii="Times New Roman" w:hAnsi="Times New Roman"/>
          <w:sz w:val="28"/>
          <w:szCs w:val="28"/>
        </w:rPr>
        <w:t xml:space="preserve">Публичные нормативные обязательства при формировании проекта Закона области о бюджете на </w:t>
      </w:r>
      <w:r w:rsidR="00933509" w:rsidRPr="004032F4">
        <w:rPr>
          <w:rFonts w:ascii="Times New Roman" w:hAnsi="Times New Roman"/>
          <w:sz w:val="28"/>
          <w:szCs w:val="28"/>
        </w:rPr>
        <w:t>2025</w:t>
      </w:r>
      <w:r w:rsidRPr="004032F4">
        <w:rPr>
          <w:rFonts w:ascii="Times New Roman" w:hAnsi="Times New Roman"/>
          <w:sz w:val="28"/>
          <w:szCs w:val="28"/>
        </w:rPr>
        <w:t xml:space="preserve"> и на плановый период </w:t>
      </w:r>
      <w:r w:rsidR="00933509" w:rsidRPr="004032F4">
        <w:rPr>
          <w:rFonts w:ascii="Times New Roman" w:hAnsi="Times New Roman"/>
          <w:sz w:val="28"/>
          <w:szCs w:val="28"/>
        </w:rPr>
        <w:t>2026</w:t>
      </w:r>
      <w:r w:rsidRPr="004032F4">
        <w:rPr>
          <w:rFonts w:ascii="Times New Roman" w:hAnsi="Times New Roman"/>
          <w:sz w:val="28"/>
          <w:szCs w:val="28"/>
        </w:rPr>
        <w:t>-</w:t>
      </w:r>
      <w:r w:rsidR="00933509" w:rsidRPr="004032F4">
        <w:rPr>
          <w:rFonts w:ascii="Times New Roman" w:hAnsi="Times New Roman"/>
          <w:sz w:val="28"/>
          <w:szCs w:val="28"/>
        </w:rPr>
        <w:t>2027</w:t>
      </w:r>
      <w:r w:rsidRPr="004032F4">
        <w:rPr>
          <w:rFonts w:ascii="Times New Roman" w:hAnsi="Times New Roman"/>
          <w:sz w:val="28"/>
          <w:szCs w:val="28"/>
        </w:rPr>
        <w:t xml:space="preserve"> годов (подлежащие индексации) рассчитаны с учетом прогнозного уровня инфляции в соответствии с проектом закона о федеральном бюджете на </w:t>
      </w:r>
      <w:r w:rsidR="00933509" w:rsidRPr="004032F4">
        <w:rPr>
          <w:rFonts w:ascii="Times New Roman" w:hAnsi="Times New Roman"/>
          <w:sz w:val="28"/>
          <w:szCs w:val="28"/>
        </w:rPr>
        <w:t>2025</w:t>
      </w:r>
      <w:r w:rsidRPr="004032F4">
        <w:rPr>
          <w:rFonts w:ascii="Times New Roman" w:hAnsi="Times New Roman"/>
          <w:sz w:val="28"/>
          <w:szCs w:val="28"/>
        </w:rPr>
        <w:t>-</w:t>
      </w:r>
      <w:r w:rsidR="00933509" w:rsidRPr="004032F4">
        <w:rPr>
          <w:rFonts w:ascii="Times New Roman" w:hAnsi="Times New Roman"/>
          <w:sz w:val="28"/>
          <w:szCs w:val="28"/>
        </w:rPr>
        <w:t>2027</w:t>
      </w:r>
      <w:r w:rsidRPr="004032F4">
        <w:rPr>
          <w:rFonts w:ascii="Times New Roman" w:hAnsi="Times New Roman"/>
          <w:sz w:val="28"/>
          <w:szCs w:val="28"/>
        </w:rPr>
        <w:t xml:space="preserve"> годы в размере </w:t>
      </w:r>
      <w:r w:rsidRPr="004032F4">
        <w:rPr>
          <w:rFonts w:ascii="PT Astra Serif" w:hAnsi="PT Astra Serif"/>
          <w:sz w:val="28"/>
          <w:szCs w:val="28"/>
        </w:rPr>
        <w:t xml:space="preserve">4,5% на </w:t>
      </w:r>
      <w:r w:rsidR="00933509" w:rsidRPr="004032F4">
        <w:rPr>
          <w:rFonts w:ascii="PT Astra Serif" w:hAnsi="PT Astra Serif"/>
          <w:sz w:val="28"/>
          <w:szCs w:val="28"/>
        </w:rPr>
        <w:t>2025</w:t>
      </w:r>
      <w:r w:rsidRPr="004032F4">
        <w:rPr>
          <w:rFonts w:ascii="PT Astra Serif" w:hAnsi="PT Astra Serif"/>
          <w:sz w:val="28"/>
          <w:szCs w:val="28"/>
        </w:rPr>
        <w:t xml:space="preserve"> год, по 4% на </w:t>
      </w:r>
      <w:r w:rsidR="00933509" w:rsidRPr="004032F4">
        <w:rPr>
          <w:rFonts w:ascii="PT Astra Serif" w:hAnsi="PT Astra Serif"/>
          <w:sz w:val="28"/>
          <w:szCs w:val="28"/>
        </w:rPr>
        <w:t>2026</w:t>
      </w:r>
      <w:r w:rsidRPr="004032F4">
        <w:rPr>
          <w:rFonts w:ascii="PT Astra Serif" w:hAnsi="PT Astra Serif"/>
          <w:sz w:val="28"/>
          <w:szCs w:val="28"/>
        </w:rPr>
        <w:t xml:space="preserve"> и </w:t>
      </w:r>
      <w:r w:rsidR="00933509" w:rsidRPr="004032F4">
        <w:rPr>
          <w:rFonts w:ascii="PT Astra Serif" w:hAnsi="PT Astra Serif"/>
          <w:sz w:val="28"/>
          <w:szCs w:val="28"/>
        </w:rPr>
        <w:t>2027</w:t>
      </w:r>
      <w:r w:rsidRPr="004032F4">
        <w:rPr>
          <w:rFonts w:ascii="PT Astra Serif" w:hAnsi="PT Astra Serif"/>
          <w:sz w:val="28"/>
          <w:szCs w:val="28"/>
        </w:rPr>
        <w:t xml:space="preserve"> годы.</w:t>
      </w:r>
    </w:p>
    <w:p w14:paraId="6EFBA2A0" w14:textId="5E896692" w:rsidR="007B19BD" w:rsidRPr="004032F4" w:rsidRDefault="00D875D8" w:rsidP="000339E5">
      <w:pPr>
        <w:widowControl w:val="0"/>
        <w:spacing w:before="240" w:after="0" w:line="240" w:lineRule="auto"/>
        <w:ind w:firstLine="709"/>
        <w:jc w:val="both"/>
        <w:rPr>
          <w:rFonts w:ascii="Times New Roman" w:eastAsia="Calibri" w:hAnsi="Times New Roman" w:cs="Times New Roman"/>
          <w:b/>
          <w:spacing w:val="-4"/>
          <w:sz w:val="28"/>
          <w:szCs w:val="28"/>
          <w:lang w:eastAsia="ru-RU"/>
        </w:rPr>
      </w:pPr>
      <w:r w:rsidRPr="004032F4">
        <w:rPr>
          <w:rFonts w:ascii="Times New Roman" w:eastAsia="Times New Roman" w:hAnsi="Times New Roman" w:cs="Times New Roman"/>
          <w:b/>
          <w:spacing w:val="-4"/>
          <w:kern w:val="28"/>
          <w:sz w:val="28"/>
          <w:szCs w:val="24"/>
          <w:lang w:eastAsia="ru-RU"/>
        </w:rPr>
        <w:t>3.3</w:t>
      </w:r>
      <w:r w:rsidR="007B19BD" w:rsidRPr="004032F4">
        <w:rPr>
          <w:rFonts w:ascii="Times New Roman" w:eastAsia="Times New Roman" w:hAnsi="Times New Roman" w:cs="Times New Roman"/>
          <w:b/>
          <w:spacing w:val="-4"/>
          <w:kern w:val="28"/>
          <w:sz w:val="28"/>
          <w:szCs w:val="24"/>
          <w:lang w:eastAsia="ru-RU"/>
        </w:rPr>
        <w:t>.</w:t>
      </w:r>
      <w:r w:rsidR="007B19BD" w:rsidRPr="004032F4">
        <w:rPr>
          <w:rFonts w:ascii="Times New Roman" w:eastAsia="Times New Roman" w:hAnsi="Times New Roman" w:cs="Times New Roman"/>
          <w:spacing w:val="-4"/>
          <w:kern w:val="28"/>
          <w:sz w:val="28"/>
          <w:szCs w:val="24"/>
          <w:lang w:eastAsia="ru-RU"/>
        </w:rPr>
        <w:t> </w:t>
      </w:r>
      <w:r w:rsidR="007B19BD" w:rsidRPr="004032F4">
        <w:rPr>
          <w:rFonts w:ascii="Times New Roman" w:eastAsia="Times New Roman" w:hAnsi="Times New Roman" w:cs="Times New Roman"/>
          <w:i/>
          <w:spacing w:val="-4"/>
          <w:sz w:val="28"/>
          <w:szCs w:val="28"/>
          <w:lang w:eastAsia="ru-RU"/>
        </w:rPr>
        <w:t>Анализ отдельных направлений расходов, предусмотренных в Законопроекте.</w:t>
      </w:r>
    </w:p>
    <w:p w14:paraId="3A57828B" w14:textId="7E775E1E" w:rsidR="000339E5" w:rsidRPr="004032F4" w:rsidRDefault="00290FBC" w:rsidP="000339E5">
      <w:pPr>
        <w:autoSpaceDE w:val="0"/>
        <w:autoSpaceDN w:val="0"/>
        <w:adjustRightInd w:val="0"/>
        <w:spacing w:before="120" w:after="0" w:line="240" w:lineRule="auto"/>
        <w:ind w:firstLine="765"/>
        <w:jc w:val="both"/>
        <w:rPr>
          <w:rFonts w:ascii="Times New Roman" w:eastAsia="Calibri" w:hAnsi="Times New Roman" w:cs="Times New Roman"/>
          <w:color w:val="000000" w:themeColor="text1"/>
        </w:rPr>
      </w:pPr>
      <w:r w:rsidRPr="004032F4">
        <w:rPr>
          <w:rFonts w:ascii="Times New Roman" w:eastAsia="Calibri" w:hAnsi="Times New Roman" w:cs="Times New Roman"/>
          <w:b/>
          <w:color w:val="000000" w:themeColor="text1"/>
          <w:spacing w:val="-4"/>
          <w:sz w:val="28"/>
          <w:szCs w:val="28"/>
        </w:rPr>
        <w:t>3.3.1.</w:t>
      </w:r>
      <w:r w:rsidRPr="004032F4">
        <w:rPr>
          <w:rFonts w:ascii="Times New Roman" w:eastAsia="Calibri" w:hAnsi="Times New Roman" w:cs="Times New Roman"/>
          <w:color w:val="000000" w:themeColor="text1"/>
          <w:spacing w:val="-4"/>
          <w:sz w:val="28"/>
          <w:szCs w:val="28"/>
        </w:rPr>
        <w:t xml:space="preserve"> </w:t>
      </w:r>
      <w:r w:rsidR="00693BCD" w:rsidRPr="004032F4">
        <w:rPr>
          <w:rFonts w:ascii="Times New Roman" w:eastAsia="Calibri" w:hAnsi="Times New Roman" w:cs="Times New Roman"/>
          <w:color w:val="000000" w:themeColor="text1"/>
          <w:sz w:val="28"/>
          <w:szCs w:val="28"/>
        </w:rPr>
        <w:t xml:space="preserve">В структуре расходов бюджета области в </w:t>
      </w:r>
      <w:r w:rsidR="00933509" w:rsidRPr="004032F4">
        <w:rPr>
          <w:rFonts w:ascii="Times New Roman" w:eastAsia="Calibri" w:hAnsi="Times New Roman" w:cs="Times New Roman"/>
          <w:color w:val="000000" w:themeColor="text1"/>
          <w:sz w:val="28"/>
          <w:szCs w:val="28"/>
        </w:rPr>
        <w:t>2025</w:t>
      </w:r>
      <w:r w:rsidR="00693BCD" w:rsidRPr="004032F4">
        <w:rPr>
          <w:rFonts w:ascii="Times New Roman" w:eastAsia="Calibri" w:hAnsi="Times New Roman" w:cs="Times New Roman"/>
          <w:color w:val="000000" w:themeColor="text1"/>
          <w:sz w:val="28"/>
          <w:szCs w:val="28"/>
        </w:rPr>
        <w:t xml:space="preserve"> году бюджетные ассигнования на осуществление бюджетных инвестиций запланированы в </w:t>
      </w:r>
      <w:r w:rsidR="000339E5" w:rsidRPr="004032F4">
        <w:rPr>
          <w:rFonts w:ascii="Times New Roman" w:eastAsia="Calibri" w:hAnsi="Times New Roman" w:cs="Times New Roman"/>
          <w:color w:val="000000" w:themeColor="text1"/>
          <w:sz w:val="28"/>
          <w:szCs w:val="28"/>
        </w:rPr>
        <w:t xml:space="preserve">объеме 3 211,5 млн. рублей </w:t>
      </w:r>
      <w:r w:rsidR="000339E5" w:rsidRPr="004032F4">
        <w:rPr>
          <w:rFonts w:ascii="Times New Roman" w:eastAsia="Calibri" w:hAnsi="Times New Roman" w:cs="Times New Roman"/>
          <w:color w:val="000000" w:themeColor="text1"/>
        </w:rPr>
        <w:t>(виды расходов 410, 450, 460)</w:t>
      </w:r>
      <w:r w:rsidR="000339E5" w:rsidRPr="004032F4">
        <w:rPr>
          <w:rFonts w:ascii="Times New Roman" w:eastAsia="Calibri" w:hAnsi="Times New Roman" w:cs="Times New Roman"/>
          <w:color w:val="000000" w:themeColor="text1"/>
          <w:sz w:val="28"/>
          <w:szCs w:val="28"/>
        </w:rPr>
        <w:t>, что на 220,9 млн. рублей, или на 7,4%, больше утвержденного объема аналогичных бюджетных ассигнований на 2024 год. Увеличение объема бюджетных ассигнований в основном обусловлено ростом расходов на строительство и реконструкцию автомобильных дорог общего пользования регионального и межмуниципального значения</w:t>
      </w:r>
      <w:r w:rsidR="000339E5" w:rsidRPr="004032F4">
        <w:rPr>
          <w:rFonts w:ascii="Times New Roman" w:hAnsi="Times New Roman" w:cs="Times New Roman"/>
          <w:sz w:val="28"/>
          <w:szCs w:val="28"/>
        </w:rPr>
        <w:t xml:space="preserve">. </w:t>
      </w:r>
      <w:r w:rsidR="000339E5" w:rsidRPr="004032F4">
        <w:rPr>
          <w:rFonts w:ascii="Times New Roman" w:eastAsia="Calibri" w:hAnsi="Times New Roman" w:cs="Times New Roman"/>
          <w:color w:val="000000" w:themeColor="text1"/>
          <w:sz w:val="28"/>
          <w:szCs w:val="28"/>
        </w:rPr>
        <w:t xml:space="preserve">Доля бюджетных инвестиций в общем объеме расходов бюджета области в 2025 году составит 2,4%, в 2026 году – 3,3%, в 2027 году – 3,7%. </w:t>
      </w:r>
      <w:r w:rsidR="000339E5" w:rsidRPr="004032F4">
        <w:rPr>
          <w:rFonts w:ascii="Times New Roman" w:eastAsia="Calibri" w:hAnsi="Times New Roman" w:cs="Times New Roman"/>
          <w:color w:val="000000" w:themeColor="text1"/>
        </w:rPr>
        <w:t xml:space="preserve">Информация о бюджетных инвестициях в разрезе госпрограмм в 2025 – 2027 годах представлена в приложении №5 к </w:t>
      </w:r>
      <w:r w:rsidR="002D450F" w:rsidRPr="004032F4">
        <w:rPr>
          <w:rFonts w:ascii="Times New Roman" w:eastAsia="Calibri" w:hAnsi="Times New Roman" w:cs="Times New Roman"/>
          <w:color w:val="000000" w:themeColor="text1"/>
        </w:rPr>
        <w:t xml:space="preserve">настоящему </w:t>
      </w:r>
      <w:r w:rsidR="000339E5" w:rsidRPr="004032F4">
        <w:rPr>
          <w:rFonts w:ascii="Times New Roman" w:eastAsia="Calibri" w:hAnsi="Times New Roman" w:cs="Times New Roman"/>
          <w:color w:val="000000" w:themeColor="text1"/>
        </w:rPr>
        <w:t xml:space="preserve">заключению. </w:t>
      </w:r>
    </w:p>
    <w:p w14:paraId="3CE3AC77" w14:textId="7C032FE3" w:rsidR="00724A0A" w:rsidRPr="004032F4" w:rsidRDefault="00321091" w:rsidP="00724A0A">
      <w:pPr>
        <w:widowControl w:val="0"/>
        <w:spacing w:after="0" w:line="240" w:lineRule="auto"/>
        <w:ind w:firstLine="765"/>
        <w:jc w:val="both"/>
        <w:rPr>
          <w:rFonts w:ascii="Times New Roman" w:eastAsia="Calibri" w:hAnsi="Times New Roman" w:cs="Times New Roman"/>
          <w:color w:val="000000" w:themeColor="text1"/>
          <w:sz w:val="28"/>
          <w:szCs w:val="28"/>
        </w:rPr>
      </w:pPr>
      <w:r w:rsidRPr="004032F4">
        <w:rPr>
          <w:rFonts w:ascii="Times New Roman" w:eastAsia="Calibri" w:hAnsi="Times New Roman" w:cs="Times New Roman"/>
          <w:color w:val="000000" w:themeColor="text1"/>
          <w:spacing w:val="-4"/>
          <w:sz w:val="28"/>
          <w:szCs w:val="28"/>
        </w:rPr>
        <w:t xml:space="preserve">Бюджетные инвестиции </w:t>
      </w:r>
      <w:r w:rsidRPr="004032F4">
        <w:rPr>
          <w:rFonts w:ascii="Times New Roman" w:eastAsia="Calibri" w:hAnsi="Times New Roman" w:cs="Times New Roman"/>
          <w:i/>
          <w:color w:val="000000" w:themeColor="text1"/>
          <w:spacing w:val="-4"/>
          <w:sz w:val="28"/>
          <w:szCs w:val="28"/>
        </w:rPr>
        <w:t>в объекты капитального строительства государственной собственности области</w:t>
      </w:r>
      <w:r w:rsidRPr="004032F4">
        <w:rPr>
          <w:rFonts w:ascii="Times New Roman" w:eastAsia="Calibri" w:hAnsi="Times New Roman" w:cs="Times New Roman"/>
          <w:color w:val="000000" w:themeColor="text1"/>
          <w:spacing w:val="-4"/>
          <w:sz w:val="28"/>
          <w:szCs w:val="28"/>
        </w:rPr>
        <w:t xml:space="preserve"> </w:t>
      </w:r>
      <w:r w:rsidRPr="004032F4">
        <w:rPr>
          <w:rFonts w:ascii="Times New Roman" w:eastAsia="Calibri" w:hAnsi="Times New Roman" w:cs="Times New Roman"/>
          <w:color w:val="000000" w:themeColor="text1"/>
          <w:spacing w:val="-4"/>
          <w:sz w:val="24"/>
          <w:szCs w:val="24"/>
        </w:rPr>
        <w:t>(</w:t>
      </w:r>
      <w:r w:rsidR="00191B0B" w:rsidRPr="004032F4">
        <w:rPr>
          <w:rFonts w:ascii="Times New Roman" w:eastAsia="Calibri" w:hAnsi="Times New Roman" w:cs="Times New Roman"/>
          <w:color w:val="000000" w:themeColor="text1"/>
          <w:spacing w:val="-4"/>
          <w:sz w:val="24"/>
          <w:szCs w:val="24"/>
        </w:rPr>
        <w:t>КВР</w:t>
      </w:r>
      <w:r w:rsidRPr="004032F4">
        <w:rPr>
          <w:rFonts w:ascii="Times New Roman" w:eastAsia="Calibri" w:hAnsi="Times New Roman" w:cs="Times New Roman"/>
          <w:color w:val="000000" w:themeColor="text1"/>
          <w:spacing w:val="-4"/>
          <w:sz w:val="24"/>
          <w:szCs w:val="24"/>
        </w:rPr>
        <w:t xml:space="preserve"> 410)</w:t>
      </w:r>
      <w:r w:rsidRPr="004032F4">
        <w:rPr>
          <w:rFonts w:ascii="Times New Roman" w:eastAsia="Calibri" w:hAnsi="Times New Roman" w:cs="Times New Roman"/>
          <w:color w:val="000000" w:themeColor="text1"/>
          <w:spacing w:val="-4"/>
          <w:sz w:val="28"/>
          <w:szCs w:val="28"/>
        </w:rPr>
        <w:t xml:space="preserve"> запланированы </w:t>
      </w:r>
      <w:r w:rsidR="00693BCD" w:rsidRPr="004032F4">
        <w:rPr>
          <w:rFonts w:ascii="Times New Roman" w:eastAsia="Calibri" w:hAnsi="Times New Roman" w:cs="Times New Roman"/>
          <w:color w:val="000000" w:themeColor="text1"/>
          <w:sz w:val="28"/>
          <w:szCs w:val="28"/>
        </w:rPr>
        <w:t xml:space="preserve">в </w:t>
      </w:r>
      <w:r w:rsidR="00933509" w:rsidRPr="004032F4">
        <w:rPr>
          <w:rFonts w:ascii="Times New Roman" w:eastAsia="Calibri" w:hAnsi="Times New Roman" w:cs="Times New Roman"/>
          <w:color w:val="000000" w:themeColor="text1"/>
          <w:sz w:val="28"/>
          <w:szCs w:val="28"/>
        </w:rPr>
        <w:t>2025</w:t>
      </w:r>
      <w:r w:rsidR="00693BCD" w:rsidRPr="004032F4">
        <w:rPr>
          <w:rFonts w:ascii="Times New Roman" w:eastAsia="Calibri" w:hAnsi="Times New Roman" w:cs="Times New Roman"/>
          <w:color w:val="000000" w:themeColor="text1"/>
          <w:sz w:val="28"/>
          <w:szCs w:val="28"/>
        </w:rPr>
        <w:t xml:space="preserve"> году </w:t>
      </w:r>
      <w:r w:rsidR="00724A0A" w:rsidRPr="004032F4">
        <w:rPr>
          <w:rFonts w:ascii="Times New Roman" w:eastAsia="Calibri" w:hAnsi="Times New Roman" w:cs="Times New Roman"/>
          <w:color w:val="000000" w:themeColor="text1"/>
          <w:sz w:val="28"/>
          <w:szCs w:val="28"/>
        </w:rPr>
        <w:t>в объеме 2 599,3 млн. рублей, что на 426,5 млн. рублей, или на 19,6%, больше утвержденного объема аналогичных бюджетных ассигнований на 2024 год. Доля инвестиций в объекты капитального строительства</w:t>
      </w:r>
      <w:r w:rsidR="00724A0A" w:rsidRPr="004032F4">
        <w:rPr>
          <w:rFonts w:ascii="Times New Roman" w:eastAsia="Calibri" w:hAnsi="Times New Roman" w:cs="Times New Roman"/>
          <w:i/>
          <w:color w:val="000000" w:themeColor="text1"/>
          <w:sz w:val="28"/>
          <w:szCs w:val="28"/>
        </w:rPr>
        <w:t xml:space="preserve"> </w:t>
      </w:r>
      <w:r w:rsidR="00724A0A" w:rsidRPr="004032F4">
        <w:rPr>
          <w:rFonts w:ascii="Times New Roman" w:eastAsia="Calibri" w:hAnsi="Times New Roman" w:cs="Times New Roman"/>
          <w:color w:val="000000" w:themeColor="text1"/>
          <w:sz w:val="28"/>
          <w:szCs w:val="28"/>
        </w:rPr>
        <w:t>в общем объеме расходов бюджета области в 2025 году составит 2%, в 2026 году – 3,1%, в 2027 году – 3,6%.</w:t>
      </w:r>
      <w:r w:rsidR="00724A0A" w:rsidRPr="004032F4">
        <w:rPr>
          <w:rFonts w:ascii="Times New Roman" w:eastAsia="Calibri" w:hAnsi="Times New Roman" w:cs="Times New Roman"/>
          <w:color w:val="000000" w:themeColor="text1"/>
        </w:rPr>
        <w:t xml:space="preserve"> Информация о бюджетных ассигнованиях на осуществление бюджетных </w:t>
      </w:r>
      <w:r w:rsidR="00724A0A" w:rsidRPr="004032F4">
        <w:rPr>
          <w:rFonts w:ascii="Times New Roman" w:eastAsia="Calibri" w:hAnsi="Times New Roman" w:cs="Times New Roman"/>
          <w:color w:val="000000" w:themeColor="text1"/>
        </w:rPr>
        <w:lastRenderedPageBreak/>
        <w:t xml:space="preserve">инвестиций </w:t>
      </w:r>
      <w:r w:rsidR="00724A0A" w:rsidRPr="004032F4">
        <w:rPr>
          <w:rFonts w:ascii="Times New Roman" w:eastAsia="Calibri" w:hAnsi="Times New Roman" w:cs="Times New Roman"/>
          <w:i/>
          <w:color w:val="000000" w:themeColor="text1"/>
        </w:rPr>
        <w:t>в объекты капитального строительства</w:t>
      </w:r>
      <w:r w:rsidR="00724A0A" w:rsidRPr="004032F4">
        <w:rPr>
          <w:rFonts w:ascii="Times New Roman" w:eastAsia="Calibri" w:hAnsi="Times New Roman" w:cs="Times New Roman"/>
          <w:color w:val="000000" w:themeColor="text1"/>
        </w:rPr>
        <w:t xml:space="preserve"> государственной собственности области в разрезе госпрограмм (непрограммных расходов) в 2024 – 2027 годах</w:t>
      </w:r>
      <w:r w:rsidR="00724A0A" w:rsidRPr="004032F4">
        <w:t xml:space="preserve"> </w:t>
      </w:r>
      <w:r w:rsidR="00724A0A" w:rsidRPr="004032F4">
        <w:rPr>
          <w:rFonts w:ascii="Times New Roman" w:eastAsia="Calibri" w:hAnsi="Times New Roman" w:cs="Times New Roman"/>
          <w:color w:val="000000" w:themeColor="text1"/>
        </w:rPr>
        <w:t xml:space="preserve">представлена в приложении №6 к </w:t>
      </w:r>
      <w:r w:rsidR="002D450F" w:rsidRPr="004032F4">
        <w:rPr>
          <w:rFonts w:ascii="Times New Roman" w:eastAsia="Calibri" w:hAnsi="Times New Roman" w:cs="Times New Roman"/>
          <w:color w:val="000000" w:themeColor="text1"/>
        </w:rPr>
        <w:t xml:space="preserve">настоящему </w:t>
      </w:r>
      <w:r w:rsidR="00724A0A" w:rsidRPr="004032F4">
        <w:rPr>
          <w:rFonts w:ascii="Times New Roman" w:eastAsia="Calibri" w:hAnsi="Times New Roman" w:cs="Times New Roman"/>
          <w:color w:val="000000" w:themeColor="text1"/>
        </w:rPr>
        <w:t>заключению.</w:t>
      </w:r>
    </w:p>
    <w:p w14:paraId="0AA4782F" w14:textId="60411C33" w:rsidR="00693BCD" w:rsidRPr="004032F4" w:rsidRDefault="00693BCD" w:rsidP="00724A0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В прогнозируемом периоде бюджетные инвестиции </w:t>
      </w:r>
      <w:r w:rsidRPr="004032F4">
        <w:rPr>
          <w:rFonts w:ascii="Times New Roman" w:eastAsia="Calibri" w:hAnsi="Times New Roman" w:cs="Times New Roman"/>
          <w:color w:val="000000" w:themeColor="text1"/>
          <w:sz w:val="28"/>
          <w:szCs w:val="28"/>
        </w:rPr>
        <w:t xml:space="preserve">в объекты капитального строительства государственной собственности области </w:t>
      </w:r>
      <w:r w:rsidRPr="004032F4">
        <w:rPr>
          <w:rFonts w:ascii="Times New Roman" w:eastAsia="Times New Roman" w:hAnsi="Times New Roman" w:cs="Times New Roman"/>
          <w:sz w:val="28"/>
          <w:szCs w:val="28"/>
          <w:lang w:eastAsia="ru-RU"/>
        </w:rPr>
        <w:t>предполагается направить на следующие цели в рамках реализации четырех госпрограмм:</w:t>
      </w:r>
    </w:p>
    <w:p w14:paraId="187E1B55" w14:textId="32762A8B" w:rsidR="00C167EA" w:rsidRPr="004032F4" w:rsidRDefault="00C167EA" w:rsidP="00C167EA">
      <w:pPr>
        <w:widowControl w:val="0"/>
        <w:spacing w:before="120" w:after="0" w:line="240" w:lineRule="auto"/>
        <w:ind w:left="709"/>
        <w:rPr>
          <w:rFonts w:ascii="Times New Roman" w:eastAsia="Times New Roman" w:hAnsi="Times New Roman" w:cs="Times New Roman"/>
          <w:i/>
          <w:spacing w:val="-4"/>
          <w:sz w:val="28"/>
          <w:szCs w:val="28"/>
          <w:lang w:eastAsia="ru-RU"/>
        </w:rPr>
      </w:pPr>
      <w:r w:rsidRPr="004032F4">
        <w:rPr>
          <w:rFonts w:ascii="Times New Roman" w:eastAsia="Times New Roman" w:hAnsi="Times New Roman" w:cs="Times New Roman"/>
          <w:i/>
          <w:spacing w:val="-4"/>
          <w:sz w:val="28"/>
          <w:szCs w:val="28"/>
          <w:lang w:eastAsia="ru-RU"/>
        </w:rPr>
        <w:t>«Управление государственным имуществом и земельными ресурсами Тульской области»</w:t>
      </w:r>
    </w:p>
    <w:p w14:paraId="38EB5323" w14:textId="26E683D1" w:rsidR="00C167EA" w:rsidRPr="004032F4" w:rsidRDefault="00C167EA" w:rsidP="00C167EA">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4032F4">
        <w:rPr>
          <w:rFonts w:ascii="Times New Roman" w:eastAsia="Times New Roman" w:hAnsi="Times New Roman" w:cs="Times New Roman"/>
          <w:spacing w:val="-4"/>
          <w:sz w:val="24"/>
          <w:szCs w:val="24"/>
          <w:lang w:eastAsia="ru-RU"/>
        </w:rPr>
        <w:t>- </w:t>
      </w:r>
      <w:r w:rsidR="00693BCD" w:rsidRPr="004032F4">
        <w:rPr>
          <w:rFonts w:ascii="Times New Roman" w:eastAsia="Times New Roman" w:hAnsi="Times New Roman" w:cs="Times New Roman"/>
          <w:spacing w:val="-4"/>
          <w:sz w:val="24"/>
          <w:szCs w:val="24"/>
          <w:lang w:eastAsia="ru-RU"/>
        </w:rPr>
        <w:t xml:space="preserve">на обеспечение приобретения земельных участков из земель сельскохозяйственного назначения и изъятых земельных участков из земель сельскохозяйственного назначения в государственную собственность Тульской области в рамках комплекса процессных мероприятий «Земельные отношения» в </w:t>
      </w:r>
      <w:r w:rsidR="00933509" w:rsidRPr="004032F4">
        <w:rPr>
          <w:rFonts w:ascii="Times New Roman" w:eastAsia="Times New Roman" w:hAnsi="Times New Roman" w:cs="Times New Roman"/>
          <w:spacing w:val="-4"/>
          <w:sz w:val="24"/>
          <w:szCs w:val="24"/>
          <w:lang w:eastAsia="ru-RU"/>
        </w:rPr>
        <w:t>2025</w:t>
      </w:r>
      <w:r w:rsidR="00693BCD" w:rsidRPr="004032F4">
        <w:rPr>
          <w:rFonts w:ascii="Times New Roman" w:eastAsia="Times New Roman" w:hAnsi="Times New Roman" w:cs="Times New Roman"/>
          <w:spacing w:val="-4"/>
          <w:sz w:val="24"/>
          <w:szCs w:val="24"/>
          <w:lang w:eastAsia="ru-RU"/>
        </w:rPr>
        <w:t xml:space="preserve"> году – </w:t>
      </w:r>
      <w:r w:rsidR="003D3795" w:rsidRPr="004032F4">
        <w:rPr>
          <w:rFonts w:ascii="Times New Roman" w:eastAsia="Times New Roman" w:hAnsi="Times New Roman" w:cs="Times New Roman"/>
          <w:spacing w:val="-4"/>
          <w:sz w:val="24"/>
          <w:szCs w:val="24"/>
          <w:lang w:eastAsia="ru-RU"/>
        </w:rPr>
        <w:t>1,5</w:t>
      </w:r>
      <w:r w:rsidR="00693BCD" w:rsidRPr="004032F4">
        <w:rPr>
          <w:rFonts w:ascii="Times New Roman" w:eastAsia="Times New Roman" w:hAnsi="Times New Roman" w:cs="Times New Roman"/>
          <w:spacing w:val="-4"/>
          <w:sz w:val="24"/>
          <w:szCs w:val="24"/>
          <w:lang w:eastAsia="ru-RU"/>
        </w:rPr>
        <w:t xml:space="preserve"> млн. рублей, в </w:t>
      </w:r>
      <w:r w:rsidR="00933509" w:rsidRPr="004032F4">
        <w:rPr>
          <w:rFonts w:ascii="Times New Roman" w:eastAsia="Times New Roman" w:hAnsi="Times New Roman" w:cs="Times New Roman"/>
          <w:spacing w:val="-4"/>
          <w:sz w:val="24"/>
          <w:szCs w:val="24"/>
          <w:lang w:eastAsia="ru-RU"/>
        </w:rPr>
        <w:t>2026</w:t>
      </w:r>
      <w:r w:rsidR="00693BCD" w:rsidRPr="004032F4">
        <w:rPr>
          <w:rFonts w:ascii="Times New Roman" w:eastAsia="Times New Roman" w:hAnsi="Times New Roman" w:cs="Times New Roman"/>
          <w:spacing w:val="-4"/>
          <w:sz w:val="24"/>
          <w:szCs w:val="24"/>
          <w:lang w:eastAsia="ru-RU"/>
        </w:rPr>
        <w:t xml:space="preserve"> и </w:t>
      </w:r>
      <w:r w:rsidR="00933509" w:rsidRPr="004032F4">
        <w:rPr>
          <w:rFonts w:ascii="Times New Roman" w:eastAsia="Times New Roman" w:hAnsi="Times New Roman" w:cs="Times New Roman"/>
          <w:spacing w:val="-4"/>
          <w:sz w:val="24"/>
          <w:szCs w:val="24"/>
          <w:lang w:eastAsia="ru-RU"/>
        </w:rPr>
        <w:t>2027</w:t>
      </w:r>
      <w:r w:rsidR="00693BCD" w:rsidRPr="004032F4">
        <w:rPr>
          <w:rFonts w:ascii="Times New Roman" w:eastAsia="Times New Roman" w:hAnsi="Times New Roman" w:cs="Times New Roman"/>
          <w:spacing w:val="-4"/>
          <w:sz w:val="24"/>
          <w:szCs w:val="24"/>
          <w:lang w:eastAsia="ru-RU"/>
        </w:rPr>
        <w:t xml:space="preserve"> годах по 1,5 млн. рублей, ежегодно;</w:t>
      </w:r>
    </w:p>
    <w:p w14:paraId="2DC2308B" w14:textId="22840FDE" w:rsidR="007B19BD" w:rsidRPr="004032F4" w:rsidRDefault="007B19BD" w:rsidP="005A7AEF">
      <w:pPr>
        <w:widowControl w:val="0"/>
        <w:tabs>
          <w:tab w:val="left" w:pos="993"/>
        </w:tabs>
        <w:spacing w:before="120" w:after="0" w:line="240" w:lineRule="auto"/>
        <w:ind w:left="709"/>
        <w:rPr>
          <w:rFonts w:ascii="Times New Roman" w:eastAsia="Times New Roman" w:hAnsi="Times New Roman" w:cs="Times New Roman"/>
          <w:i/>
          <w:spacing w:val="-4"/>
          <w:sz w:val="28"/>
          <w:szCs w:val="28"/>
          <w:lang w:eastAsia="ru-RU"/>
        </w:rPr>
      </w:pPr>
      <w:r w:rsidRPr="004032F4">
        <w:rPr>
          <w:rFonts w:ascii="Times New Roman" w:eastAsia="Times New Roman" w:hAnsi="Times New Roman" w:cs="Times New Roman"/>
          <w:i/>
          <w:spacing w:val="-4"/>
          <w:sz w:val="28"/>
          <w:szCs w:val="28"/>
          <w:lang w:eastAsia="ru-RU"/>
        </w:rPr>
        <w:t>«Модернизация и развитие автомобильных дорог общего пользования в Тульской области»</w:t>
      </w:r>
    </w:p>
    <w:p w14:paraId="52111482" w14:textId="1500E5A2" w:rsidR="00321091" w:rsidRPr="004032F4" w:rsidRDefault="00321091" w:rsidP="00321091">
      <w:pPr>
        <w:widowControl w:val="0"/>
        <w:snapToGrid w:val="0"/>
        <w:spacing w:after="0" w:line="240" w:lineRule="auto"/>
        <w:ind w:firstLine="720"/>
        <w:jc w:val="both"/>
        <w:rPr>
          <w:rFonts w:ascii="Times New Roman" w:eastAsia="Times New Roman" w:hAnsi="Times New Roman" w:cs="Times New Roman"/>
          <w:spacing w:val="-4"/>
          <w:sz w:val="24"/>
          <w:szCs w:val="24"/>
          <w:lang w:eastAsia="ru-RU"/>
        </w:rPr>
      </w:pPr>
      <w:r w:rsidRPr="004032F4">
        <w:rPr>
          <w:rFonts w:ascii="Times New Roman" w:eastAsia="Times New Roman" w:hAnsi="Times New Roman" w:cs="Times New Roman"/>
          <w:spacing w:val="-4"/>
          <w:sz w:val="24"/>
          <w:szCs w:val="24"/>
          <w:lang w:eastAsia="ru-RU"/>
        </w:rPr>
        <w:t xml:space="preserve">- на строительство и реконструкцию автомобильных дорог общего пользования регионального и межмуниципального значения в рамках ведомственного проекта «Увеличение протяженности и развитие сети автомобильных дорог общего пользования регионального или межмуниципального значения» </w:t>
      </w:r>
      <w:r w:rsidR="00693BCD" w:rsidRPr="004032F4">
        <w:rPr>
          <w:rFonts w:ascii="Times New Roman" w:eastAsia="Times New Roman" w:hAnsi="Times New Roman" w:cs="Times New Roman"/>
          <w:spacing w:val="-4"/>
          <w:sz w:val="24"/>
          <w:szCs w:val="24"/>
          <w:lang w:eastAsia="ru-RU"/>
        </w:rPr>
        <w:t xml:space="preserve">в </w:t>
      </w:r>
      <w:r w:rsidR="00933509" w:rsidRPr="004032F4">
        <w:rPr>
          <w:rFonts w:ascii="Times New Roman" w:eastAsia="Times New Roman" w:hAnsi="Times New Roman" w:cs="Times New Roman"/>
          <w:spacing w:val="-4"/>
          <w:sz w:val="24"/>
          <w:szCs w:val="24"/>
          <w:lang w:eastAsia="ru-RU"/>
        </w:rPr>
        <w:t>2025</w:t>
      </w:r>
      <w:r w:rsidR="00693BCD" w:rsidRPr="004032F4">
        <w:rPr>
          <w:rFonts w:ascii="Times New Roman" w:eastAsia="Times New Roman" w:hAnsi="Times New Roman" w:cs="Times New Roman"/>
          <w:spacing w:val="-4"/>
          <w:sz w:val="24"/>
          <w:szCs w:val="24"/>
          <w:lang w:eastAsia="ru-RU"/>
        </w:rPr>
        <w:t xml:space="preserve"> году в объеме 1</w:t>
      </w:r>
      <w:r w:rsidR="005A7AEF" w:rsidRPr="004032F4">
        <w:rPr>
          <w:rFonts w:ascii="Times New Roman" w:eastAsia="Times New Roman" w:hAnsi="Times New Roman" w:cs="Times New Roman"/>
          <w:spacing w:val="-4"/>
          <w:sz w:val="24"/>
          <w:szCs w:val="24"/>
          <w:lang w:eastAsia="ru-RU"/>
        </w:rPr>
        <w:t> 447,8 млн. рублей (на реконструкцию мостовых переходов и искусственных сооружений – 10 объектов), в 2026 и 2027 годах по 2 325 </w:t>
      </w:r>
      <w:r w:rsidR="00693BCD" w:rsidRPr="004032F4">
        <w:rPr>
          <w:rFonts w:ascii="Times New Roman" w:eastAsia="Times New Roman" w:hAnsi="Times New Roman" w:cs="Times New Roman"/>
          <w:spacing w:val="-4"/>
          <w:sz w:val="24"/>
          <w:szCs w:val="24"/>
          <w:lang w:eastAsia="ru-RU"/>
        </w:rPr>
        <w:t>млн. рублей, ежегодно;</w:t>
      </w:r>
    </w:p>
    <w:p w14:paraId="10A17FF6" w14:textId="5B0AD8EB" w:rsidR="007B19BD" w:rsidRPr="004032F4" w:rsidRDefault="007B19BD" w:rsidP="00C167EA">
      <w:pPr>
        <w:widowControl w:val="0"/>
        <w:spacing w:before="120" w:after="0" w:line="240" w:lineRule="auto"/>
        <w:ind w:firstLine="709"/>
        <w:rPr>
          <w:rFonts w:ascii="Times New Roman" w:eastAsia="Times New Roman" w:hAnsi="Times New Roman" w:cs="Times New Roman"/>
          <w:i/>
          <w:spacing w:val="-4"/>
          <w:sz w:val="28"/>
          <w:szCs w:val="28"/>
          <w:lang w:eastAsia="ru-RU"/>
        </w:rPr>
      </w:pPr>
      <w:r w:rsidRPr="004032F4">
        <w:rPr>
          <w:rFonts w:ascii="Times New Roman" w:eastAsia="Times New Roman" w:hAnsi="Times New Roman" w:cs="Times New Roman"/>
          <w:i/>
          <w:spacing w:val="-4"/>
          <w:sz w:val="28"/>
          <w:szCs w:val="28"/>
          <w:lang w:eastAsia="ru-RU"/>
        </w:rPr>
        <w:t>«Развитие здравоохранения Тульской области»</w:t>
      </w:r>
    </w:p>
    <w:p w14:paraId="1E6232C5" w14:textId="047D8AFC" w:rsidR="005A7AEF" w:rsidRPr="004032F4" w:rsidRDefault="005A7AEF" w:rsidP="005A7AEF">
      <w:pPr>
        <w:widowControl w:val="0"/>
        <w:spacing w:after="0" w:line="240" w:lineRule="auto"/>
        <w:ind w:firstLine="765"/>
        <w:jc w:val="both"/>
        <w:rPr>
          <w:rFonts w:ascii="Times New Roman" w:eastAsia="Times New Roman" w:hAnsi="Times New Roman" w:cs="Times New Roman"/>
          <w:spacing w:val="-4"/>
          <w:sz w:val="24"/>
          <w:szCs w:val="24"/>
          <w:lang w:eastAsia="ru-RU"/>
        </w:rPr>
      </w:pPr>
      <w:r w:rsidRPr="004032F4">
        <w:rPr>
          <w:rFonts w:ascii="Times New Roman" w:eastAsia="Times New Roman" w:hAnsi="Times New Roman" w:cs="Times New Roman"/>
          <w:spacing w:val="-4"/>
          <w:sz w:val="24"/>
          <w:szCs w:val="24"/>
          <w:lang w:eastAsia="ru-RU"/>
        </w:rPr>
        <w:t>- в рамках реализации регионального проекта «Развитие инфраструктуры здравоохранения» запланированы бюджетные инвестиции, в 2025 году – 330,8 млн. рублей, в 2026 и 2027 годах по 1 185,3 млн. рублей и 2 065,1 млн. рублей, соответственно;</w:t>
      </w:r>
    </w:p>
    <w:p w14:paraId="384277CC" w14:textId="77777777" w:rsidR="005A7AEF" w:rsidRPr="004032F4" w:rsidRDefault="005A7AEF" w:rsidP="005A7AEF">
      <w:pPr>
        <w:widowControl w:val="0"/>
        <w:spacing w:after="0" w:line="240" w:lineRule="auto"/>
        <w:ind w:firstLine="765"/>
        <w:jc w:val="both"/>
        <w:rPr>
          <w:rFonts w:ascii="Times New Roman" w:eastAsia="Times New Roman" w:hAnsi="Times New Roman" w:cs="Times New Roman"/>
          <w:spacing w:val="-4"/>
          <w:sz w:val="24"/>
          <w:szCs w:val="24"/>
          <w:lang w:eastAsia="ru-RU"/>
        </w:rPr>
      </w:pPr>
      <w:r w:rsidRPr="004032F4">
        <w:rPr>
          <w:rFonts w:ascii="Times New Roman" w:eastAsia="Times New Roman" w:hAnsi="Times New Roman" w:cs="Times New Roman"/>
          <w:spacing w:val="-4"/>
          <w:sz w:val="24"/>
          <w:szCs w:val="24"/>
          <w:lang w:eastAsia="ru-RU"/>
        </w:rPr>
        <w:t>- в рамках комплекса процессных мероприятий «Управление кадровыми ресурсами здравоохранения» запланированы бюджетные инвестиции на обеспечение предоставления жилых помещений врачам, прибывшим на работу в государственные учреждения здравоохранения Тульской области, в 2025 году – 129,5 млн. рублей; в 2026 и 2027 годах по 60,3 млн. рублей, ежегодно;</w:t>
      </w:r>
    </w:p>
    <w:p w14:paraId="5FFE4327" w14:textId="68FAAAD8" w:rsidR="00693BCD" w:rsidRPr="004032F4" w:rsidRDefault="005A7AEF" w:rsidP="005A7AEF">
      <w:pPr>
        <w:widowControl w:val="0"/>
        <w:spacing w:before="120" w:after="0" w:line="240" w:lineRule="auto"/>
        <w:ind w:left="709"/>
        <w:rPr>
          <w:rFonts w:ascii="Times New Roman" w:eastAsia="Times New Roman" w:hAnsi="Times New Roman" w:cs="Times New Roman"/>
          <w:i/>
          <w:sz w:val="28"/>
          <w:szCs w:val="28"/>
          <w:lang w:eastAsia="ru-RU"/>
        </w:rPr>
      </w:pPr>
      <w:r w:rsidRPr="004032F4">
        <w:rPr>
          <w:rFonts w:ascii="Times New Roman" w:eastAsia="Times New Roman" w:hAnsi="Times New Roman" w:cs="Times New Roman"/>
          <w:i/>
          <w:sz w:val="28"/>
          <w:szCs w:val="28"/>
          <w:lang w:eastAsia="ru-RU"/>
        </w:rPr>
        <w:t xml:space="preserve"> </w:t>
      </w:r>
      <w:r w:rsidR="00693BCD" w:rsidRPr="004032F4">
        <w:rPr>
          <w:rFonts w:ascii="Times New Roman" w:eastAsia="Times New Roman" w:hAnsi="Times New Roman" w:cs="Times New Roman"/>
          <w:i/>
          <w:sz w:val="28"/>
          <w:szCs w:val="28"/>
          <w:lang w:eastAsia="ru-RU"/>
        </w:rPr>
        <w:t>«Обеспечение доступным и комфортным жильем населения Тульской области»</w:t>
      </w:r>
    </w:p>
    <w:p w14:paraId="1D3B46EC" w14:textId="17F01D5A" w:rsidR="00693BCD" w:rsidRPr="004032F4" w:rsidRDefault="00693BCD" w:rsidP="00693BCD">
      <w:pPr>
        <w:spacing w:after="0" w:line="240" w:lineRule="auto"/>
        <w:ind w:firstLine="709"/>
        <w:jc w:val="both"/>
        <w:rPr>
          <w:rFonts w:ascii="Times New Roman" w:eastAsia="Times New Roman" w:hAnsi="Times New Roman" w:cs="Times New Roman"/>
          <w:spacing w:val="-4"/>
          <w:sz w:val="24"/>
          <w:szCs w:val="24"/>
          <w:lang w:eastAsia="ru-RU"/>
        </w:rPr>
      </w:pPr>
      <w:r w:rsidRPr="004032F4">
        <w:rPr>
          <w:rFonts w:ascii="Times New Roman" w:eastAsia="Times New Roman" w:hAnsi="Times New Roman" w:cs="Times New Roman"/>
          <w:spacing w:val="-4"/>
          <w:sz w:val="24"/>
          <w:szCs w:val="24"/>
          <w:lang w:eastAsia="ru-RU"/>
        </w:rPr>
        <w:t xml:space="preserve">- на мероприятия по улучшению жилищных условий детей-сирот, детей, оставшихся без попечения родителей, и лиц из их числа в рамках регионального проекта «Улучшение жилищных условий детей-сирот, детей, оставшихся без попечения родителей, и лиц из их числа» в </w:t>
      </w:r>
      <w:r w:rsidR="00933509" w:rsidRPr="004032F4">
        <w:rPr>
          <w:rFonts w:ascii="Times New Roman" w:eastAsia="Times New Roman" w:hAnsi="Times New Roman" w:cs="Times New Roman"/>
          <w:spacing w:val="-4"/>
          <w:sz w:val="24"/>
          <w:szCs w:val="24"/>
          <w:lang w:eastAsia="ru-RU"/>
        </w:rPr>
        <w:t>2025</w:t>
      </w:r>
      <w:r w:rsidRPr="004032F4">
        <w:rPr>
          <w:rFonts w:ascii="Times New Roman" w:eastAsia="Times New Roman" w:hAnsi="Times New Roman" w:cs="Times New Roman"/>
          <w:spacing w:val="-4"/>
          <w:sz w:val="24"/>
          <w:szCs w:val="24"/>
          <w:lang w:eastAsia="ru-RU"/>
        </w:rPr>
        <w:t xml:space="preserve"> году - </w:t>
      </w:r>
      <w:r w:rsidR="00B913C6" w:rsidRPr="004032F4">
        <w:rPr>
          <w:rFonts w:ascii="Times New Roman" w:eastAsia="Times New Roman" w:hAnsi="Times New Roman" w:cs="Times New Roman"/>
          <w:spacing w:val="-4"/>
          <w:sz w:val="24"/>
          <w:szCs w:val="24"/>
          <w:lang w:eastAsia="ru-RU"/>
        </w:rPr>
        <w:t xml:space="preserve">689,7 млн. рублей, в 2026 и 2027 годах - по 613,0 млн </w:t>
      </w:r>
      <w:proofErr w:type="spellStart"/>
      <w:r w:rsidRPr="004032F4">
        <w:rPr>
          <w:rFonts w:ascii="Times New Roman" w:eastAsia="Times New Roman" w:hAnsi="Times New Roman" w:cs="Times New Roman"/>
          <w:spacing w:val="-4"/>
          <w:sz w:val="24"/>
          <w:szCs w:val="24"/>
          <w:lang w:eastAsia="ru-RU"/>
        </w:rPr>
        <w:t>млн</w:t>
      </w:r>
      <w:proofErr w:type="spellEnd"/>
      <w:r w:rsidRPr="004032F4">
        <w:rPr>
          <w:rFonts w:ascii="Times New Roman" w:eastAsia="Times New Roman" w:hAnsi="Times New Roman" w:cs="Times New Roman"/>
          <w:spacing w:val="-4"/>
          <w:sz w:val="24"/>
          <w:szCs w:val="24"/>
          <w:lang w:eastAsia="ru-RU"/>
        </w:rPr>
        <w:t>. рублей, соответственно;</w:t>
      </w:r>
    </w:p>
    <w:p w14:paraId="4D6F49A0" w14:textId="77777777" w:rsidR="00693BCD" w:rsidRPr="004032F4" w:rsidRDefault="00321091" w:rsidP="00693BCD">
      <w:pPr>
        <w:widowControl w:val="0"/>
        <w:spacing w:before="120" w:after="0" w:line="240" w:lineRule="auto"/>
        <w:ind w:firstLine="709"/>
        <w:jc w:val="both"/>
        <w:rPr>
          <w:rFonts w:ascii="Times New Roman" w:eastAsia="Calibri" w:hAnsi="Times New Roman" w:cs="Times New Roman"/>
          <w:iCs/>
          <w:spacing w:val="-4"/>
          <w:sz w:val="28"/>
          <w:szCs w:val="28"/>
        </w:rPr>
      </w:pPr>
      <w:r w:rsidRPr="004032F4">
        <w:rPr>
          <w:rFonts w:ascii="Times New Roman" w:eastAsia="Times New Roman" w:hAnsi="Times New Roman" w:cs="Times New Roman"/>
          <w:i/>
          <w:spacing w:val="-4"/>
          <w:sz w:val="28"/>
          <w:szCs w:val="28"/>
          <w:lang w:eastAsia="ru-RU"/>
        </w:rPr>
        <w:t>«</w:t>
      </w:r>
      <w:r w:rsidRPr="004032F4">
        <w:rPr>
          <w:rFonts w:ascii="Times New Roman" w:eastAsia="Calibri" w:hAnsi="Times New Roman" w:cs="Times New Roman"/>
          <w:i/>
          <w:iCs/>
          <w:spacing w:val="-4"/>
          <w:sz w:val="28"/>
          <w:szCs w:val="28"/>
        </w:rPr>
        <w:t>Улучшение инвестиционного климата Тульской области»</w:t>
      </w:r>
      <w:r w:rsidRPr="004032F4">
        <w:rPr>
          <w:rFonts w:ascii="Times New Roman" w:eastAsia="Calibri" w:hAnsi="Times New Roman" w:cs="Times New Roman"/>
          <w:iCs/>
          <w:spacing w:val="-4"/>
          <w:sz w:val="28"/>
          <w:szCs w:val="28"/>
        </w:rPr>
        <w:t xml:space="preserve"> </w:t>
      </w:r>
    </w:p>
    <w:p w14:paraId="1E2F8E94" w14:textId="77777777" w:rsidR="00B913C6" w:rsidRPr="004032F4" w:rsidRDefault="00693BCD" w:rsidP="00B913C6">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4032F4">
        <w:rPr>
          <w:rFonts w:ascii="Times New Roman" w:eastAsia="Times New Roman" w:hAnsi="Times New Roman" w:cs="Times New Roman"/>
          <w:spacing w:val="-4"/>
          <w:sz w:val="24"/>
          <w:szCs w:val="24"/>
          <w:lang w:eastAsia="ru-RU"/>
        </w:rPr>
        <w:t>– </w:t>
      </w:r>
      <w:r w:rsidR="00321091" w:rsidRPr="004032F4">
        <w:rPr>
          <w:rFonts w:ascii="Times New Roman" w:eastAsia="Times New Roman" w:hAnsi="Times New Roman" w:cs="Times New Roman"/>
          <w:spacing w:val="-4"/>
          <w:sz w:val="24"/>
          <w:szCs w:val="24"/>
          <w:lang w:eastAsia="ru-RU"/>
        </w:rPr>
        <w:t xml:space="preserve">на предоставление бюджетных инвестиций в виде взноса в уставный капитал Акционерного общества «Региональная корпорация развития и поддержки Тульской области» (доля участия Тульской области – 100%) </w:t>
      </w:r>
      <w:r w:rsidRPr="004032F4">
        <w:rPr>
          <w:rFonts w:ascii="Times New Roman" w:eastAsia="Times New Roman" w:hAnsi="Times New Roman" w:cs="Times New Roman"/>
          <w:spacing w:val="-4"/>
          <w:sz w:val="24"/>
          <w:szCs w:val="24"/>
          <w:lang w:eastAsia="ru-RU"/>
        </w:rPr>
        <w:t xml:space="preserve">на </w:t>
      </w:r>
      <w:r w:rsidR="00933509" w:rsidRPr="004032F4">
        <w:rPr>
          <w:rFonts w:ascii="Times New Roman" w:eastAsia="Times New Roman" w:hAnsi="Times New Roman" w:cs="Times New Roman"/>
          <w:spacing w:val="-4"/>
          <w:sz w:val="24"/>
          <w:szCs w:val="24"/>
          <w:lang w:eastAsia="ru-RU"/>
        </w:rPr>
        <w:t>2025</w:t>
      </w:r>
      <w:r w:rsidRPr="004032F4">
        <w:rPr>
          <w:rFonts w:ascii="Times New Roman" w:eastAsia="Times New Roman" w:hAnsi="Times New Roman" w:cs="Times New Roman"/>
          <w:spacing w:val="-4"/>
          <w:sz w:val="24"/>
          <w:szCs w:val="24"/>
          <w:lang w:eastAsia="ru-RU"/>
        </w:rPr>
        <w:t xml:space="preserve"> год в сумме </w:t>
      </w:r>
      <w:r w:rsidR="00B913C6" w:rsidRPr="004032F4">
        <w:rPr>
          <w:rFonts w:ascii="Times New Roman" w:eastAsia="Times New Roman" w:hAnsi="Times New Roman" w:cs="Times New Roman"/>
          <w:spacing w:val="-4"/>
          <w:sz w:val="24"/>
          <w:szCs w:val="24"/>
          <w:lang w:eastAsia="ru-RU"/>
        </w:rPr>
        <w:t>298,8 млн. рублей (или на 8% ниже уровня 2024 года), на 2026 и 2027 года по 201,3 млн. рублей, или с уменьшением ассигнований на указанные цели по отношению к уровню 2025 года на 32,6 %.</w:t>
      </w:r>
    </w:p>
    <w:p w14:paraId="4D643A64" w14:textId="77777777" w:rsidR="00B913C6" w:rsidRPr="004032F4" w:rsidRDefault="007B19BD" w:rsidP="00B913C6">
      <w:pPr>
        <w:widowControl w:val="0"/>
        <w:spacing w:before="120" w:after="0" w:line="240" w:lineRule="auto"/>
        <w:ind w:firstLine="765"/>
        <w:jc w:val="both"/>
        <w:rPr>
          <w:rFonts w:ascii="Times New Roman" w:eastAsia="Times New Roman" w:hAnsi="Times New Roman" w:cs="Times New Roman"/>
          <w:snapToGrid w:val="0"/>
          <w:color w:val="000000" w:themeColor="text1"/>
          <w:sz w:val="28"/>
          <w:szCs w:val="28"/>
          <w:lang w:eastAsia="ru-RU"/>
        </w:rPr>
      </w:pPr>
      <w:r w:rsidRPr="004032F4">
        <w:rPr>
          <w:rFonts w:ascii="Times New Roman" w:eastAsia="Times New Roman" w:hAnsi="Times New Roman" w:cs="Times New Roman"/>
          <w:snapToGrid w:val="0"/>
          <w:color w:val="000000" w:themeColor="text1"/>
          <w:sz w:val="28"/>
          <w:szCs w:val="28"/>
          <w:lang w:eastAsia="ru-RU"/>
        </w:rPr>
        <w:t xml:space="preserve">В </w:t>
      </w:r>
      <w:r w:rsidR="00933509" w:rsidRPr="004032F4">
        <w:rPr>
          <w:rFonts w:ascii="Times New Roman" w:eastAsia="Times New Roman" w:hAnsi="Times New Roman" w:cs="Times New Roman"/>
          <w:snapToGrid w:val="0"/>
          <w:color w:val="000000" w:themeColor="text1"/>
          <w:sz w:val="28"/>
          <w:szCs w:val="28"/>
          <w:lang w:eastAsia="ru-RU"/>
        </w:rPr>
        <w:t>2025</w:t>
      </w:r>
      <w:r w:rsidRPr="004032F4">
        <w:rPr>
          <w:rFonts w:ascii="Times New Roman" w:eastAsia="Times New Roman" w:hAnsi="Times New Roman" w:cs="Times New Roman"/>
          <w:snapToGrid w:val="0"/>
          <w:color w:val="000000" w:themeColor="text1"/>
          <w:sz w:val="28"/>
          <w:szCs w:val="28"/>
          <w:lang w:eastAsia="ru-RU"/>
        </w:rPr>
        <w:t xml:space="preserve"> году бюджетные ассигнования </w:t>
      </w:r>
      <w:r w:rsidRPr="004032F4">
        <w:rPr>
          <w:rFonts w:ascii="Times New Roman" w:eastAsia="Times New Roman" w:hAnsi="Times New Roman" w:cs="Times New Roman"/>
          <w:i/>
          <w:snapToGrid w:val="0"/>
          <w:color w:val="000000" w:themeColor="text1"/>
          <w:sz w:val="28"/>
          <w:szCs w:val="28"/>
          <w:lang w:eastAsia="ru-RU"/>
        </w:rPr>
        <w:t>на предоставление бюджетным и автономным учреждениям, государственным унитарным предприятиям субсидий на осуществление капитальных вложений в объекты государственной собственности области или на приобретение объектов недвижимого имущества в государственную собственность</w:t>
      </w:r>
      <w:r w:rsidRPr="004032F4">
        <w:rPr>
          <w:rFonts w:ascii="Times New Roman" w:eastAsia="Times New Roman" w:hAnsi="Times New Roman" w:cs="Times New Roman"/>
          <w:snapToGrid w:val="0"/>
          <w:color w:val="000000" w:themeColor="text1"/>
          <w:sz w:val="28"/>
          <w:szCs w:val="28"/>
          <w:lang w:eastAsia="ru-RU"/>
        </w:rPr>
        <w:t xml:space="preserve"> запланированы </w:t>
      </w:r>
      <w:r w:rsidR="00693BCD" w:rsidRPr="004032F4">
        <w:rPr>
          <w:rFonts w:ascii="Times New Roman" w:eastAsia="Times New Roman" w:hAnsi="Times New Roman" w:cs="Times New Roman"/>
          <w:snapToGrid w:val="0"/>
          <w:color w:val="000000" w:themeColor="text1"/>
          <w:sz w:val="28"/>
          <w:szCs w:val="28"/>
          <w:lang w:eastAsia="ru-RU"/>
        </w:rPr>
        <w:lastRenderedPageBreak/>
        <w:t xml:space="preserve">в объеме </w:t>
      </w:r>
      <w:r w:rsidR="00B913C6" w:rsidRPr="004032F4">
        <w:rPr>
          <w:rFonts w:ascii="Times New Roman" w:eastAsia="Times New Roman" w:hAnsi="Times New Roman" w:cs="Times New Roman"/>
          <w:snapToGrid w:val="0"/>
          <w:color w:val="000000" w:themeColor="text1"/>
          <w:sz w:val="28"/>
          <w:szCs w:val="28"/>
          <w:lang w:eastAsia="ru-RU"/>
        </w:rPr>
        <w:t>313,4 млн. рублей, что на 179,7 млн. рублей, или на 36,4% меньше утвержденного объема аналогичных бюджетных ассигнований на 2024 год (493,1 млн. рублей). В плановом периоде бюджетные ассигнования на осуществление капитальных вложений не предусмотрены. Доля субсидий на осуществление капитальных вложений в общем объеме расходов бюджета области в 2025 году составит 0,2%.</w:t>
      </w:r>
    </w:p>
    <w:p w14:paraId="76328AFA" w14:textId="77777777" w:rsidR="00A41DDE" w:rsidRPr="004032F4" w:rsidRDefault="00693BCD" w:rsidP="00A41DDE">
      <w:pPr>
        <w:widowControl w:val="0"/>
        <w:spacing w:after="0" w:line="240" w:lineRule="auto"/>
        <w:ind w:firstLine="765"/>
        <w:jc w:val="both"/>
        <w:rPr>
          <w:rFonts w:ascii="Times New Roman" w:eastAsia="Times New Roman" w:hAnsi="Times New Roman" w:cs="Times New Roman"/>
          <w:snapToGrid w:val="0"/>
          <w:color w:val="000000" w:themeColor="text1"/>
          <w:spacing w:val="-4"/>
          <w:sz w:val="28"/>
          <w:szCs w:val="28"/>
          <w:lang w:eastAsia="ru-RU"/>
        </w:rPr>
      </w:pPr>
      <w:r w:rsidRPr="004032F4">
        <w:rPr>
          <w:rFonts w:ascii="Times New Roman" w:eastAsia="Times New Roman" w:hAnsi="Times New Roman" w:cs="Times New Roman"/>
          <w:snapToGrid w:val="0"/>
          <w:color w:val="000000" w:themeColor="text1"/>
          <w:spacing w:val="-4"/>
          <w:sz w:val="28"/>
          <w:szCs w:val="28"/>
          <w:lang w:eastAsia="ru-RU"/>
        </w:rPr>
        <w:t xml:space="preserve">В прогнозируемом периоде </w:t>
      </w:r>
      <w:r w:rsidR="00A41DDE" w:rsidRPr="004032F4">
        <w:rPr>
          <w:rFonts w:ascii="Times New Roman" w:eastAsia="Times New Roman" w:hAnsi="Times New Roman" w:cs="Times New Roman"/>
          <w:snapToGrid w:val="0"/>
          <w:color w:val="000000" w:themeColor="text1"/>
          <w:spacing w:val="-4"/>
          <w:sz w:val="28"/>
          <w:szCs w:val="28"/>
          <w:lang w:eastAsia="ru-RU"/>
        </w:rPr>
        <w:t>субсидии в сумме 305,2 млн. рублей предполагается направить на строительство физкультурно-оздоровительных комплексов в г. Алексин и пос. Арсеньево Тульской области в рамках реализации регионального проекта «Совершенствование спортивной инфраструктуры и материально-технической базы для занятий физической культурой и массовым спортом», в сумме 8,2 млн. рублей на присоединение к газораспределительной сети и устройство котельной Музея-усадьбы А.Т. </w:t>
      </w:r>
      <w:proofErr w:type="spellStart"/>
      <w:r w:rsidR="00A41DDE" w:rsidRPr="004032F4">
        <w:rPr>
          <w:rFonts w:ascii="Times New Roman" w:eastAsia="Times New Roman" w:hAnsi="Times New Roman" w:cs="Times New Roman"/>
          <w:snapToGrid w:val="0"/>
          <w:color w:val="000000" w:themeColor="text1"/>
          <w:spacing w:val="-4"/>
          <w:sz w:val="28"/>
          <w:szCs w:val="28"/>
          <w:lang w:eastAsia="ru-RU"/>
        </w:rPr>
        <w:t>Болотова</w:t>
      </w:r>
      <w:proofErr w:type="spellEnd"/>
      <w:r w:rsidR="00A41DDE" w:rsidRPr="004032F4">
        <w:rPr>
          <w:rFonts w:ascii="Times New Roman" w:eastAsia="Times New Roman" w:hAnsi="Times New Roman" w:cs="Times New Roman"/>
          <w:snapToGrid w:val="0"/>
          <w:color w:val="000000" w:themeColor="text1"/>
          <w:spacing w:val="-4"/>
          <w:sz w:val="28"/>
          <w:szCs w:val="28"/>
          <w:lang w:eastAsia="ru-RU"/>
        </w:rPr>
        <w:t xml:space="preserve"> «</w:t>
      </w:r>
      <w:proofErr w:type="spellStart"/>
      <w:r w:rsidR="00A41DDE" w:rsidRPr="004032F4">
        <w:rPr>
          <w:rFonts w:ascii="Times New Roman" w:eastAsia="Times New Roman" w:hAnsi="Times New Roman" w:cs="Times New Roman"/>
          <w:snapToGrid w:val="0"/>
          <w:color w:val="000000" w:themeColor="text1"/>
          <w:spacing w:val="-4"/>
          <w:sz w:val="28"/>
          <w:szCs w:val="28"/>
          <w:lang w:eastAsia="ru-RU"/>
        </w:rPr>
        <w:t>Дворяниново</w:t>
      </w:r>
      <w:proofErr w:type="spellEnd"/>
      <w:r w:rsidR="00A41DDE" w:rsidRPr="004032F4">
        <w:rPr>
          <w:rFonts w:ascii="Times New Roman" w:eastAsia="Times New Roman" w:hAnsi="Times New Roman" w:cs="Times New Roman"/>
          <w:snapToGrid w:val="0"/>
          <w:color w:val="000000" w:themeColor="text1"/>
          <w:spacing w:val="-4"/>
          <w:sz w:val="28"/>
          <w:szCs w:val="28"/>
          <w:lang w:eastAsia="ru-RU"/>
        </w:rPr>
        <w:t>» в рамках регионального проекта «Государственная поддержка региональных и муниципальных учреждений культуры».</w:t>
      </w:r>
    </w:p>
    <w:p w14:paraId="5E6C10D5" w14:textId="23DE302B" w:rsidR="00693BCD" w:rsidRPr="004032F4" w:rsidRDefault="00415F0C" w:rsidP="00A41DDE">
      <w:pPr>
        <w:widowControl w:val="0"/>
        <w:spacing w:before="120" w:after="0" w:line="240" w:lineRule="auto"/>
        <w:ind w:firstLine="709"/>
        <w:jc w:val="both"/>
        <w:rPr>
          <w:rFonts w:ascii="Times New Roman" w:hAnsi="Times New Roman" w:cs="Times New Roman"/>
          <w:sz w:val="28"/>
          <w:szCs w:val="28"/>
        </w:rPr>
      </w:pPr>
      <w:r w:rsidRPr="004032F4">
        <w:rPr>
          <w:rFonts w:ascii="Times New Roman" w:eastAsia="Times New Roman" w:hAnsi="Times New Roman" w:cs="Times New Roman"/>
          <w:b/>
          <w:sz w:val="28"/>
          <w:szCs w:val="28"/>
          <w:lang w:eastAsia="ru-RU"/>
        </w:rPr>
        <w:t>3.3.2.</w:t>
      </w:r>
      <w:r w:rsidRPr="004032F4">
        <w:rPr>
          <w:rFonts w:ascii="Times New Roman" w:eastAsia="Times New Roman" w:hAnsi="Times New Roman" w:cs="Times New Roman"/>
          <w:sz w:val="28"/>
          <w:szCs w:val="28"/>
          <w:lang w:eastAsia="ru-RU"/>
        </w:rPr>
        <w:t xml:space="preserve"> </w:t>
      </w:r>
      <w:r w:rsidR="007B19BD" w:rsidRPr="004032F4">
        <w:rPr>
          <w:rFonts w:ascii="Times New Roman" w:hAnsi="Times New Roman" w:cs="Times New Roman"/>
          <w:sz w:val="28"/>
          <w:szCs w:val="28"/>
        </w:rPr>
        <w:t>Расходы на предоставление средств из бюджета области</w:t>
      </w:r>
      <w:r w:rsidR="007B19BD" w:rsidRPr="004032F4">
        <w:rPr>
          <w:rFonts w:ascii="Times New Roman" w:hAnsi="Times New Roman" w:cs="Times New Roman"/>
          <w:i/>
          <w:sz w:val="28"/>
          <w:szCs w:val="28"/>
        </w:rPr>
        <w:t xml:space="preserve"> юридическим лицам, не являющимся государственными (муниципальными) учреждениями и государственными (муниципальными) унитарными предприятиями,</w:t>
      </w:r>
      <w:r w:rsidR="00693BCD" w:rsidRPr="004032F4">
        <w:rPr>
          <w:rFonts w:ascii="Times New Roman" w:hAnsi="Times New Roman" w:cs="Times New Roman"/>
          <w:i/>
          <w:sz w:val="28"/>
          <w:szCs w:val="28"/>
        </w:rPr>
        <w:t xml:space="preserve"> </w:t>
      </w:r>
      <w:r w:rsidR="00693BCD" w:rsidRPr="004032F4">
        <w:rPr>
          <w:rFonts w:ascii="Times New Roman" w:hAnsi="Times New Roman" w:cs="Times New Roman"/>
          <w:sz w:val="28"/>
          <w:szCs w:val="28"/>
        </w:rPr>
        <w:t xml:space="preserve">на </w:t>
      </w:r>
      <w:r w:rsidR="00933509" w:rsidRPr="004032F4">
        <w:rPr>
          <w:rFonts w:ascii="Times New Roman" w:hAnsi="Times New Roman" w:cs="Times New Roman"/>
          <w:sz w:val="28"/>
          <w:szCs w:val="28"/>
        </w:rPr>
        <w:t>2025</w:t>
      </w:r>
      <w:r w:rsidR="00693BCD" w:rsidRPr="004032F4">
        <w:rPr>
          <w:rFonts w:ascii="Times New Roman" w:hAnsi="Times New Roman" w:cs="Times New Roman"/>
          <w:sz w:val="28"/>
          <w:szCs w:val="28"/>
        </w:rPr>
        <w:t xml:space="preserve"> год запланированы в объеме </w:t>
      </w:r>
      <w:r w:rsidR="00801730" w:rsidRPr="004032F4">
        <w:rPr>
          <w:rFonts w:ascii="Times New Roman" w:hAnsi="Times New Roman" w:cs="Times New Roman"/>
          <w:sz w:val="28"/>
          <w:szCs w:val="28"/>
        </w:rPr>
        <w:t xml:space="preserve">3 795,8 млн. рублей, что на 5 332,1 млн. рублей, или на 58,4% меньше утвержденного объема аналогичных бюджетных ассигнований на 2024 год (9 127,9 </w:t>
      </w:r>
      <w:r w:rsidR="00693BCD" w:rsidRPr="004032F4">
        <w:rPr>
          <w:rFonts w:ascii="Times New Roman" w:hAnsi="Times New Roman" w:cs="Times New Roman"/>
          <w:sz w:val="28"/>
          <w:szCs w:val="28"/>
        </w:rPr>
        <w:t>млн. рублей), в том числе:</w:t>
      </w:r>
    </w:p>
    <w:p w14:paraId="4E319474" w14:textId="1F528A4F" w:rsidR="00321091" w:rsidRPr="004032F4" w:rsidRDefault="00801730" w:rsidP="00801730">
      <w:pPr>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i/>
          <w:color w:val="000000" w:themeColor="text1"/>
          <w:sz w:val="28"/>
          <w:szCs w:val="28"/>
        </w:rPr>
        <w:t xml:space="preserve">1 239,3 </w:t>
      </w:r>
      <w:r w:rsidR="000C7B60" w:rsidRPr="004032F4">
        <w:rPr>
          <w:rFonts w:ascii="Times New Roman" w:hAnsi="Times New Roman" w:cs="Times New Roman"/>
          <w:i/>
          <w:sz w:val="28"/>
          <w:szCs w:val="28"/>
        </w:rPr>
        <w:t>млн</w:t>
      </w:r>
      <w:r w:rsidR="00321091" w:rsidRPr="004032F4">
        <w:rPr>
          <w:rFonts w:ascii="Times New Roman" w:hAnsi="Times New Roman" w:cs="Times New Roman"/>
          <w:i/>
          <w:sz w:val="28"/>
          <w:szCs w:val="28"/>
        </w:rPr>
        <w:t>. рублей (КВР 630)</w:t>
      </w:r>
      <w:r w:rsidR="00321091" w:rsidRPr="004032F4">
        <w:rPr>
          <w:rFonts w:ascii="Times New Roman" w:hAnsi="Times New Roman" w:cs="Times New Roman"/>
          <w:sz w:val="28"/>
          <w:szCs w:val="28"/>
        </w:rPr>
        <w:t xml:space="preserve"> –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в том числе:</w:t>
      </w:r>
    </w:p>
    <w:p w14:paraId="32093863" w14:textId="77777777" w:rsidR="00801730" w:rsidRPr="004032F4" w:rsidRDefault="00801730" w:rsidP="00801730">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- 728,9 млн. рублей – предоставление субсидий в виде имущественных взносов в организации (фонды);</w:t>
      </w:r>
    </w:p>
    <w:p w14:paraId="26C5057C" w14:textId="77777777" w:rsidR="00801730" w:rsidRPr="004032F4" w:rsidRDefault="00801730" w:rsidP="00801730">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- 182,6 млн. рублей – субсидии иным некоммерческим организациям;</w:t>
      </w:r>
    </w:p>
    <w:p w14:paraId="6F701F84" w14:textId="77777777" w:rsidR="00801730" w:rsidRPr="004032F4" w:rsidRDefault="00801730" w:rsidP="00801730">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xml:space="preserve">- 100,2 млн. рублей – оказание экономической поддержки Ассоциации «Совет муниципальных образований Тульской области»; </w:t>
      </w:r>
    </w:p>
    <w:p w14:paraId="3B75F102" w14:textId="77777777" w:rsidR="00801730" w:rsidRPr="004032F4" w:rsidRDefault="00801730" w:rsidP="00801730">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- 100,0 млн. рублей – субсидия Фонду капитального ремонта Тульской области на возмещение части затрат на выполнение работ по капитальному ремонту общего имущества в многоквартирных домах;</w:t>
      </w:r>
    </w:p>
    <w:p w14:paraId="36AB9C7D" w14:textId="77777777" w:rsidR="00801730" w:rsidRPr="004032F4" w:rsidRDefault="00801730" w:rsidP="00801730">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- 80,0 млн. рублей – субсидии Фонду «Инновационный научно-технологический центр «Композитная долина» в целях создания условий для функционирования Инновационного научно-технологического центра «Композитная долина»;</w:t>
      </w:r>
    </w:p>
    <w:p w14:paraId="709F3B2D" w14:textId="77777777" w:rsidR="00801730" w:rsidRPr="004032F4" w:rsidRDefault="00801730" w:rsidP="00801730">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- 47,0 млн. рублей – гранты;</w:t>
      </w:r>
    </w:p>
    <w:p w14:paraId="27AE3066" w14:textId="77777777" w:rsidR="00801730" w:rsidRPr="004032F4" w:rsidRDefault="00801730" w:rsidP="00801730">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- 0,5 млн. рублей – субсидии Тульской областной адвокатской палате на финансовое обеспечение оплаты труда адвокатов и компенсации их расходов, связанных с оказанием бесплатной юридической помощи;</w:t>
      </w:r>
    </w:p>
    <w:p w14:paraId="6083870E" w14:textId="77777777" w:rsidR="00801730" w:rsidRPr="004032F4" w:rsidRDefault="00801730" w:rsidP="00801730">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- 0,1 млн. рублей – субсидии Тульской областной нотариальной палате на финансовое обеспечение оплаты труда нотариусам и компенсацию их расходов, связанных с оказанием бесплатной юридической помощи.</w:t>
      </w:r>
    </w:p>
    <w:p w14:paraId="474EEFB9" w14:textId="79A92F4A" w:rsidR="00321091" w:rsidRPr="004032F4" w:rsidRDefault="00E26801" w:rsidP="00321091">
      <w:pPr>
        <w:spacing w:before="60" w:after="0" w:line="240" w:lineRule="auto"/>
        <w:ind w:firstLine="709"/>
        <w:jc w:val="both"/>
        <w:rPr>
          <w:rFonts w:ascii="Times New Roman" w:hAnsi="Times New Roman" w:cs="Times New Roman"/>
          <w:spacing w:val="-4"/>
          <w:sz w:val="28"/>
          <w:szCs w:val="28"/>
        </w:rPr>
      </w:pPr>
      <w:r w:rsidRPr="004032F4">
        <w:rPr>
          <w:rFonts w:ascii="Times New Roman" w:hAnsi="Times New Roman" w:cs="Times New Roman"/>
          <w:i/>
          <w:spacing w:val="-4"/>
          <w:sz w:val="28"/>
          <w:szCs w:val="28"/>
        </w:rPr>
        <w:t xml:space="preserve">2 556,5 </w:t>
      </w:r>
      <w:r w:rsidR="000C7B60" w:rsidRPr="004032F4">
        <w:rPr>
          <w:rFonts w:ascii="Times New Roman" w:hAnsi="Times New Roman" w:cs="Times New Roman"/>
          <w:i/>
          <w:spacing w:val="-4"/>
          <w:sz w:val="28"/>
          <w:szCs w:val="28"/>
        </w:rPr>
        <w:t>млн.</w:t>
      </w:r>
      <w:r w:rsidR="00321091" w:rsidRPr="004032F4">
        <w:rPr>
          <w:rFonts w:ascii="Times New Roman" w:hAnsi="Times New Roman" w:cs="Times New Roman"/>
          <w:i/>
          <w:spacing w:val="-4"/>
          <w:sz w:val="28"/>
          <w:szCs w:val="28"/>
        </w:rPr>
        <w:t> рублей (КВР 810)</w:t>
      </w:r>
      <w:r w:rsidR="00321091" w:rsidRPr="004032F4">
        <w:rPr>
          <w:rFonts w:ascii="Times New Roman" w:hAnsi="Times New Roman" w:cs="Times New Roman"/>
          <w:spacing w:val="-4"/>
          <w:sz w:val="28"/>
          <w:szCs w:val="28"/>
        </w:rPr>
        <w:t xml:space="preserve"> –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13516B" w:rsidRPr="004032F4">
        <w:rPr>
          <w:rFonts w:ascii="Times New Roman" w:hAnsi="Times New Roman" w:cs="Times New Roman"/>
          <w:spacing w:val="-4"/>
          <w:sz w:val="28"/>
          <w:szCs w:val="28"/>
        </w:rPr>
        <w:t>, из них</w:t>
      </w:r>
      <w:r w:rsidR="00321091" w:rsidRPr="004032F4">
        <w:rPr>
          <w:rFonts w:ascii="Times New Roman" w:hAnsi="Times New Roman" w:cs="Times New Roman"/>
          <w:spacing w:val="-4"/>
          <w:sz w:val="28"/>
          <w:szCs w:val="28"/>
        </w:rPr>
        <w:t xml:space="preserve">: </w:t>
      </w:r>
    </w:p>
    <w:p w14:paraId="120ECCDA"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- 660,4 млн. рублей – на поддержку приоритетных направлений агропромышленного комплекса и развитие малых форм хозяйствования;</w:t>
      </w:r>
    </w:p>
    <w:p w14:paraId="5CD57DE4"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lastRenderedPageBreak/>
        <w:t>- 19,0 млн. рублей – на возмещение затрат, связанных с уплатой первого взноса договора лизинга;</w:t>
      </w:r>
    </w:p>
    <w:p w14:paraId="054B8499"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- 452,2 млн. рублей – на поддержку отраслей растениеводства, животноводства;</w:t>
      </w:r>
    </w:p>
    <w:p w14:paraId="3D2AA338"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- 310,0 млн. рублей – АО «Центральная пригородная пассажирская компания» на компенсацию потерь в доходах, возникающих в результате государственного регулирования тарифов в пригородном сообщении;</w:t>
      </w:r>
    </w:p>
    <w:p w14:paraId="27C479AE"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- 199,5 млн. рублей – на финансовое обеспечение (возмещение) производителям зерновых культур части затрат на производство и реализацию зерновых культур;</w:t>
      </w:r>
    </w:p>
    <w:p w14:paraId="377CD5FD"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- 162,5 млн. рублей – на стимулирование увеличения производства картофеля и овощей;</w:t>
      </w:r>
    </w:p>
    <w:p w14:paraId="4CB88FD1"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- 131,8 млн. рублей – на возмещение части затрат на уплату процентов по инвестиционным кредитам (займам) в агропромышленном комплексе;</w:t>
      </w:r>
    </w:p>
    <w:p w14:paraId="55E9C4E1"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- 90,8 млн. рублей – на стимулирование вовлечения в оборот земель сельскохозяйственного назначения;</w:t>
      </w:r>
    </w:p>
    <w:p w14:paraId="368211BB"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- 89,4 млн. рублей –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недополученных доходов в связи с реализацией Законов Тульской области «Об образовании», «О защите прав ребенка»;</w:t>
      </w:r>
    </w:p>
    <w:p w14:paraId="106EA48D"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- 71,2 млн. рублей – на создание системы поддержки фермеров и развитие сельской кооперации;</w:t>
      </w:r>
    </w:p>
    <w:p w14:paraId="7B7F6FC0"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- 60,7 млн. рублей – АО «Региональная корпорация развития и поддержки Тульской области» в виде безвозмездного вклада в имущество общества, не увеличивающего его уставной капитал, в целях финансового обеспечения (возмещения) затрат, связанных с осуществлением деятельности по реализации механизма инфраструктурных облигаций на территории Тульской области;</w:t>
      </w:r>
    </w:p>
    <w:p w14:paraId="62EF047F"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- 51,0 млн. рублей – организациям, осуществляющим пассажирские перевозки по маршрутам регулярных перевозок по нерегулируемым тарифам, на возмещение недополученных доходов в связи с предоставлением льгот отдельным категориям граждан на проезд;</w:t>
      </w:r>
    </w:p>
    <w:p w14:paraId="068C5DC6"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- 44,0 млн. рублей – на проведение мелиоративных мероприятий (возмещение понесенных затрат);</w:t>
      </w:r>
    </w:p>
    <w:p w14:paraId="51F61C0B"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- 43,3 млн. рублей – организациям, осуществляющим инвестиции в форме капитальных вложений на территории Тульской области (компенсация части затрат на строительство объектов инфраструктуры инвесторам: ООО «Тульская мясная компания» и ООО Тепличный комплекс «Тульский»);</w:t>
      </w:r>
    </w:p>
    <w:p w14:paraId="699EA4CA"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- 39,6 млн. рублей (непрограммные расходы) – на возмещение части затрат на уплату лизинговых платежей по договорам финансовой аренды (лизинга) автобусов, предназначенных для осуществления работ, связанных с осуществлением регулярных перевозок по регулируемым тарифам;</w:t>
      </w:r>
    </w:p>
    <w:p w14:paraId="44DDCF75" w14:textId="30287BB0" w:rsidR="0013516B" w:rsidRPr="004032F4" w:rsidRDefault="0013516B" w:rsidP="0013516B">
      <w:pPr>
        <w:spacing w:after="0" w:line="240" w:lineRule="auto"/>
        <w:ind w:firstLine="709"/>
        <w:jc w:val="both"/>
        <w:rPr>
          <w:rFonts w:ascii="Times New Roman" w:hAnsi="Times New Roman" w:cs="Times New Roman"/>
          <w:spacing w:val="-4"/>
        </w:rPr>
      </w:pPr>
      <w:r w:rsidRPr="004032F4">
        <w:rPr>
          <w:rFonts w:ascii="Times New Roman" w:hAnsi="Times New Roman" w:cs="Times New Roman"/>
          <w:spacing w:val="-4"/>
        </w:rPr>
        <w:t xml:space="preserve">- 30,0 млн. рублей – на возмещение части затрат на развитие инфраструктуры связи в сельской местности на территории Тульской области; </w:t>
      </w:r>
    </w:p>
    <w:p w14:paraId="4B2A1337" w14:textId="77777777"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- 18,3 млн. рублей – на уплату процентов по инвестиционным кредитам (займам) в агропромышленном комплексе;</w:t>
      </w:r>
    </w:p>
    <w:p w14:paraId="5B80B31A" w14:textId="6A2C73C8" w:rsidR="0013516B" w:rsidRPr="004032F4" w:rsidRDefault="0013516B" w:rsidP="0013516B">
      <w:pPr>
        <w:spacing w:after="0" w:line="240" w:lineRule="auto"/>
        <w:ind w:firstLine="765"/>
        <w:jc w:val="both"/>
        <w:rPr>
          <w:rFonts w:ascii="Times New Roman" w:hAnsi="Times New Roman" w:cs="Times New Roman"/>
          <w:spacing w:val="-4"/>
        </w:rPr>
      </w:pPr>
      <w:r w:rsidRPr="004032F4">
        <w:rPr>
          <w:rFonts w:ascii="Times New Roman" w:hAnsi="Times New Roman" w:cs="Times New Roman"/>
          <w:spacing w:val="-4"/>
        </w:rPr>
        <w:t>- 15,8 млн. рублей – на развитие сельского туризма.</w:t>
      </w:r>
    </w:p>
    <w:p w14:paraId="5D0496EF" w14:textId="4B4BED81" w:rsidR="0013516B" w:rsidRPr="004032F4" w:rsidRDefault="007B19BD" w:rsidP="0013516B">
      <w:pPr>
        <w:spacing w:before="120" w:after="0" w:line="240" w:lineRule="auto"/>
        <w:ind w:firstLine="765"/>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По сравнению с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 xml:space="preserve"> годом, в плановом периоде объем расходов на предоставление средств из бюджета области юридическим лицам, не являющимся государственными (муниципальными) учреждениями и государственными (муниципальными) унитарными предприятиями</w:t>
      </w:r>
      <w:r w:rsidR="0039725F" w:rsidRPr="004032F4">
        <w:rPr>
          <w:rFonts w:ascii="Times New Roman" w:eastAsia="Times New Roman" w:hAnsi="Times New Roman" w:cs="Times New Roman"/>
          <w:sz w:val="28"/>
          <w:szCs w:val="28"/>
          <w:lang w:eastAsia="ru-RU"/>
        </w:rPr>
        <w:t>,</w:t>
      </w:r>
      <w:r w:rsidRPr="004032F4">
        <w:rPr>
          <w:rFonts w:ascii="Times New Roman" w:eastAsia="Times New Roman" w:hAnsi="Times New Roman" w:cs="Times New Roman"/>
          <w:sz w:val="28"/>
          <w:szCs w:val="28"/>
          <w:lang w:eastAsia="ru-RU"/>
        </w:rPr>
        <w:t xml:space="preserve"> предполагается</w:t>
      </w:r>
      <w:r w:rsidR="00E83DC0" w:rsidRPr="004032F4">
        <w:rPr>
          <w:rFonts w:ascii="Times New Roman" w:eastAsia="Times New Roman" w:hAnsi="Times New Roman" w:cs="Times New Roman"/>
          <w:sz w:val="28"/>
          <w:szCs w:val="28"/>
          <w:lang w:eastAsia="ru-RU"/>
        </w:rPr>
        <w:t xml:space="preserve"> уменьшить</w:t>
      </w:r>
      <w:r w:rsidRPr="004032F4">
        <w:rPr>
          <w:rFonts w:ascii="Times New Roman" w:eastAsia="Times New Roman" w:hAnsi="Times New Roman" w:cs="Times New Roman"/>
          <w:sz w:val="28"/>
          <w:szCs w:val="28"/>
          <w:lang w:eastAsia="ru-RU"/>
        </w:rPr>
        <w:t xml:space="preserve"> </w:t>
      </w:r>
      <w:r w:rsidR="009E351D" w:rsidRPr="004032F4">
        <w:rPr>
          <w:rFonts w:ascii="Times New Roman" w:eastAsia="Times New Roman" w:hAnsi="Times New Roman" w:cs="Times New Roman"/>
          <w:sz w:val="28"/>
          <w:szCs w:val="28"/>
          <w:lang w:eastAsia="ru-RU"/>
        </w:rPr>
        <w:t xml:space="preserve">в </w:t>
      </w:r>
      <w:r w:rsidR="00933509" w:rsidRPr="004032F4">
        <w:rPr>
          <w:rFonts w:ascii="Times New Roman" w:eastAsia="Times New Roman" w:hAnsi="Times New Roman" w:cs="Times New Roman"/>
          <w:sz w:val="28"/>
          <w:szCs w:val="28"/>
          <w:lang w:eastAsia="ru-RU"/>
        </w:rPr>
        <w:t>2026</w:t>
      </w:r>
      <w:r w:rsidR="009E351D" w:rsidRPr="004032F4">
        <w:rPr>
          <w:rFonts w:ascii="Times New Roman" w:eastAsia="Times New Roman" w:hAnsi="Times New Roman" w:cs="Times New Roman"/>
          <w:sz w:val="28"/>
          <w:szCs w:val="28"/>
          <w:lang w:eastAsia="ru-RU"/>
        </w:rPr>
        <w:t xml:space="preserve"> году – на </w:t>
      </w:r>
      <w:r w:rsidR="0013516B" w:rsidRPr="004032F4">
        <w:rPr>
          <w:rFonts w:ascii="Times New Roman" w:eastAsia="Times New Roman" w:hAnsi="Times New Roman" w:cs="Times New Roman"/>
          <w:sz w:val="28"/>
          <w:szCs w:val="28"/>
          <w:lang w:eastAsia="ru-RU"/>
        </w:rPr>
        <w:t>77,7 млн. рублей, или на 2</w:t>
      </w:r>
      <w:r w:rsidR="00F149BE" w:rsidRPr="004032F4">
        <w:rPr>
          <w:rFonts w:ascii="Times New Roman" w:eastAsia="Times New Roman" w:hAnsi="Times New Roman" w:cs="Times New Roman"/>
          <w:sz w:val="28"/>
          <w:szCs w:val="28"/>
          <w:lang w:eastAsia="ru-RU"/>
        </w:rPr>
        <w:t> </w:t>
      </w:r>
      <w:r w:rsidR="0013516B" w:rsidRPr="004032F4">
        <w:rPr>
          <w:rFonts w:ascii="Times New Roman" w:eastAsia="Times New Roman" w:hAnsi="Times New Roman" w:cs="Times New Roman"/>
          <w:sz w:val="28"/>
          <w:szCs w:val="28"/>
          <w:lang w:eastAsia="ru-RU"/>
        </w:rPr>
        <w:t>%; в 2027 году – на 157,3 млн. рублей, или на 4,1%. Доля расходов на предоставление средств из бюджета области юридическим лицам, не являющимся государственными (муниципальными) учреждениями и государственными (муниципальными) унитарными предприятиями, в общем объеме расходов бюджета области в 2025 году составит 2,9%, в 2026 году – 2,9%, в 2027 году – 2,6%.</w:t>
      </w:r>
    </w:p>
    <w:p w14:paraId="0047C71D" w14:textId="09A31EC9" w:rsidR="009E351D" w:rsidRPr="004032F4" w:rsidRDefault="00D22C4F" w:rsidP="0013516B">
      <w:pPr>
        <w:spacing w:before="120"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 xml:space="preserve">В </w:t>
      </w:r>
      <w:r w:rsidR="00933509" w:rsidRPr="004032F4">
        <w:rPr>
          <w:rFonts w:ascii="Times New Roman" w:hAnsi="Times New Roman" w:cs="Times New Roman"/>
          <w:sz w:val="28"/>
          <w:szCs w:val="28"/>
        </w:rPr>
        <w:t>2025</w:t>
      </w:r>
      <w:r w:rsidRPr="004032F4">
        <w:rPr>
          <w:rFonts w:ascii="Times New Roman" w:hAnsi="Times New Roman" w:cs="Times New Roman"/>
          <w:sz w:val="28"/>
          <w:szCs w:val="28"/>
        </w:rPr>
        <w:t xml:space="preserve"> году из 1</w:t>
      </w:r>
      <w:r w:rsidR="000D017A" w:rsidRPr="004032F4">
        <w:rPr>
          <w:rFonts w:ascii="Times New Roman" w:hAnsi="Times New Roman" w:cs="Times New Roman"/>
          <w:sz w:val="28"/>
          <w:szCs w:val="28"/>
        </w:rPr>
        <w:t>6</w:t>
      </w:r>
      <w:r w:rsidRPr="004032F4">
        <w:rPr>
          <w:rFonts w:ascii="Times New Roman" w:hAnsi="Times New Roman" w:cs="Times New Roman"/>
          <w:sz w:val="28"/>
          <w:szCs w:val="28"/>
        </w:rPr>
        <w:t xml:space="preserve"> ГРБС, по которым запланировано предоставление средств из бюджета области юридическим лицам, не являющимся государственными (муниципальными) учреждениями и государственными </w:t>
      </w:r>
      <w:r w:rsidRPr="004032F4">
        <w:rPr>
          <w:rFonts w:ascii="Times New Roman" w:hAnsi="Times New Roman" w:cs="Times New Roman"/>
          <w:sz w:val="28"/>
          <w:szCs w:val="28"/>
        </w:rPr>
        <w:lastRenderedPageBreak/>
        <w:t xml:space="preserve">(муниципальными) унитарными предприятиями, наибольший объем расходов предусмотрен </w:t>
      </w:r>
      <w:r w:rsidR="000D017A" w:rsidRPr="004032F4">
        <w:rPr>
          <w:rFonts w:ascii="Times New Roman" w:hAnsi="Times New Roman" w:cs="Times New Roman"/>
          <w:sz w:val="28"/>
          <w:szCs w:val="28"/>
        </w:rPr>
        <w:t xml:space="preserve">министерству сельского хозяйства, природных ресурсов и экологии Тульской области (48,8%), министерству транспорта и дорожного хозяйства Тульской области (13,1%), министерству экономического развития Тульской области (9,1%), министерству промышленности и торговли Тульской области (7,8%), министерству жилищно-коммунального хозяйства Тульской области (5,6%), министерству спорта Тульской области (4,1%). </w:t>
      </w:r>
      <w:r w:rsidR="009E351D" w:rsidRPr="004032F4">
        <w:rPr>
          <w:rFonts w:ascii="Times New Roman" w:hAnsi="Times New Roman" w:cs="Times New Roman"/>
          <w:sz w:val="28"/>
          <w:szCs w:val="28"/>
        </w:rPr>
        <w:t>Информация в разрезе ГРБС представлена в приложении №</w:t>
      </w:r>
      <w:r w:rsidR="00B82C6F" w:rsidRPr="004032F4">
        <w:rPr>
          <w:rFonts w:ascii="Times New Roman" w:hAnsi="Times New Roman" w:cs="Times New Roman"/>
          <w:sz w:val="28"/>
          <w:szCs w:val="28"/>
        </w:rPr>
        <w:t>7</w:t>
      </w:r>
      <w:r w:rsidR="009E351D" w:rsidRPr="004032F4">
        <w:rPr>
          <w:rFonts w:ascii="Times New Roman" w:hAnsi="Times New Roman" w:cs="Times New Roman"/>
          <w:sz w:val="28"/>
          <w:szCs w:val="28"/>
        </w:rPr>
        <w:t xml:space="preserve"> к </w:t>
      </w:r>
      <w:r w:rsidR="002D450F" w:rsidRPr="004032F4">
        <w:rPr>
          <w:rFonts w:ascii="Times New Roman" w:hAnsi="Times New Roman" w:cs="Times New Roman"/>
          <w:sz w:val="28"/>
          <w:szCs w:val="28"/>
        </w:rPr>
        <w:t xml:space="preserve">настоящему </w:t>
      </w:r>
      <w:r w:rsidR="009E351D" w:rsidRPr="004032F4">
        <w:rPr>
          <w:rFonts w:ascii="Times New Roman" w:hAnsi="Times New Roman" w:cs="Times New Roman"/>
          <w:sz w:val="28"/>
          <w:szCs w:val="28"/>
        </w:rPr>
        <w:t>заключению.</w:t>
      </w:r>
    </w:p>
    <w:p w14:paraId="21E516F6" w14:textId="664AC6A9" w:rsidR="007B19BD" w:rsidRPr="004032F4" w:rsidRDefault="00290FBC" w:rsidP="00170822">
      <w:pPr>
        <w:spacing w:before="120" w:after="0" w:line="240" w:lineRule="auto"/>
        <w:ind w:firstLine="720"/>
        <w:jc w:val="both"/>
        <w:rPr>
          <w:rFonts w:ascii="Times New Roman" w:hAnsi="Times New Roman" w:cs="Times New Roman"/>
          <w:snapToGrid w:val="0"/>
          <w:color w:val="000000" w:themeColor="text1"/>
          <w:spacing w:val="-4"/>
          <w:sz w:val="28"/>
          <w:szCs w:val="28"/>
          <w:lang w:eastAsia="ru-RU"/>
        </w:rPr>
      </w:pPr>
      <w:r w:rsidRPr="004032F4">
        <w:rPr>
          <w:rFonts w:ascii="Times New Roman" w:hAnsi="Times New Roman" w:cs="Times New Roman"/>
          <w:b/>
          <w:snapToGrid w:val="0"/>
          <w:color w:val="000000"/>
          <w:spacing w:val="-4"/>
          <w:sz w:val="28"/>
          <w:szCs w:val="28"/>
          <w:lang w:eastAsia="ru-RU"/>
        </w:rPr>
        <w:t>3.3.3.</w:t>
      </w:r>
      <w:r w:rsidR="00A5067C" w:rsidRPr="004032F4">
        <w:rPr>
          <w:rFonts w:ascii="Times New Roman" w:hAnsi="Times New Roman" w:cs="Times New Roman"/>
          <w:b/>
          <w:snapToGrid w:val="0"/>
          <w:color w:val="000000"/>
          <w:spacing w:val="-4"/>
          <w:sz w:val="28"/>
          <w:szCs w:val="28"/>
          <w:lang w:eastAsia="ru-RU"/>
        </w:rPr>
        <w:t> </w:t>
      </w:r>
      <w:r w:rsidR="007B19BD" w:rsidRPr="004032F4">
        <w:rPr>
          <w:rFonts w:ascii="Times New Roman" w:hAnsi="Times New Roman" w:cs="Times New Roman"/>
          <w:snapToGrid w:val="0"/>
          <w:color w:val="000000"/>
          <w:spacing w:val="-4"/>
          <w:sz w:val="28"/>
          <w:szCs w:val="28"/>
          <w:lang w:eastAsia="ru-RU"/>
        </w:rPr>
        <w:t xml:space="preserve">В структуре расходов бюджета области запланированы бюджетные ассигнования </w:t>
      </w:r>
      <w:r w:rsidR="007B19BD" w:rsidRPr="004032F4">
        <w:rPr>
          <w:rFonts w:ascii="Times New Roman" w:hAnsi="Times New Roman" w:cs="Times New Roman"/>
          <w:i/>
          <w:iCs/>
          <w:snapToGrid w:val="0"/>
          <w:color w:val="000000"/>
          <w:spacing w:val="-4"/>
          <w:sz w:val="28"/>
          <w:szCs w:val="28"/>
          <w:lang w:eastAsia="ru-RU"/>
        </w:rPr>
        <w:t xml:space="preserve">на предоставление субсидий местным бюджетам на софинансирование капитальных вложений в объекты муниципальной </w:t>
      </w:r>
      <w:r w:rsidR="007B19BD" w:rsidRPr="004032F4">
        <w:rPr>
          <w:rFonts w:ascii="Times New Roman" w:hAnsi="Times New Roman" w:cs="Times New Roman"/>
          <w:i/>
          <w:iCs/>
          <w:snapToGrid w:val="0"/>
          <w:color w:val="000000" w:themeColor="text1"/>
          <w:spacing w:val="-4"/>
          <w:sz w:val="28"/>
          <w:szCs w:val="28"/>
          <w:lang w:eastAsia="ru-RU"/>
        </w:rPr>
        <w:t>собственности</w:t>
      </w:r>
      <w:r w:rsidR="007B19BD" w:rsidRPr="004032F4">
        <w:rPr>
          <w:rFonts w:ascii="Times New Roman" w:hAnsi="Times New Roman" w:cs="Times New Roman"/>
          <w:snapToGrid w:val="0"/>
          <w:color w:val="000000" w:themeColor="text1"/>
          <w:spacing w:val="-4"/>
          <w:sz w:val="28"/>
          <w:szCs w:val="28"/>
          <w:lang w:eastAsia="ru-RU"/>
        </w:rPr>
        <w:t>, в том числе по отдельным укрупненным мероприятиям в рамках госпрограмм:</w:t>
      </w:r>
    </w:p>
    <w:p w14:paraId="476D117B" w14:textId="006F3A42" w:rsidR="00C321B3" w:rsidRPr="004032F4" w:rsidRDefault="00C321B3" w:rsidP="00C321B3">
      <w:pPr>
        <w:spacing w:after="0" w:line="240" w:lineRule="auto"/>
        <w:ind w:firstLine="765"/>
        <w:jc w:val="both"/>
        <w:rPr>
          <w:rFonts w:ascii="Times New Roman" w:hAnsi="Times New Roman" w:cs="Times New Roman"/>
          <w:snapToGrid w:val="0"/>
          <w:color w:val="000000" w:themeColor="text1"/>
          <w:spacing w:val="-4"/>
          <w:sz w:val="28"/>
          <w:szCs w:val="28"/>
          <w:lang w:eastAsia="ru-RU"/>
        </w:rPr>
      </w:pPr>
      <w:r w:rsidRPr="004032F4">
        <w:rPr>
          <w:rFonts w:ascii="Times New Roman" w:hAnsi="Times New Roman" w:cs="Times New Roman"/>
          <w:snapToGrid w:val="0"/>
          <w:color w:val="000000" w:themeColor="text1"/>
          <w:spacing w:val="-4"/>
          <w:sz w:val="28"/>
          <w:szCs w:val="28"/>
          <w:lang w:eastAsia="ru-RU"/>
        </w:rPr>
        <w:t xml:space="preserve">«Комплексное развитие сельских территорий Тульской области»: </w:t>
      </w:r>
      <w:r w:rsidRPr="004032F4">
        <w:rPr>
          <w:rFonts w:ascii="Times New Roman" w:hAnsi="Times New Roman" w:cs="Times New Roman"/>
          <w:snapToGrid w:val="0"/>
          <w:color w:val="000000" w:themeColor="text1"/>
          <w:spacing w:val="-4"/>
          <w:lang w:eastAsia="ru-RU"/>
        </w:rPr>
        <w:t>в рамках регионального проекта «Современный облик сельских территорий» бюджету муниципального образования Куркинский район на реализацию проекта «Реконструкция системы водоснабжения р.п. Куркино Куркинского района Тульской области» предусмотрены в 2025 году субсидии в сумме 67,0 млн. рублей;</w:t>
      </w:r>
      <w:r w:rsidRPr="004032F4">
        <w:t xml:space="preserve"> </w:t>
      </w:r>
      <w:r w:rsidRPr="004032F4">
        <w:rPr>
          <w:rFonts w:ascii="Times New Roman" w:hAnsi="Times New Roman" w:cs="Times New Roman"/>
          <w:snapToGrid w:val="0"/>
          <w:color w:val="000000" w:themeColor="text1"/>
          <w:spacing w:val="-4"/>
          <w:lang w:eastAsia="ru-RU"/>
        </w:rPr>
        <w:t>бюджету муниципального образования Белевский район на реализацию проекта «Капитальный ремонт здания 1 МБОУ «СОШ №1» г. Белева Тульской области, расположенного по адресу: Тульская область, Белевский район, г. Белев, ул. Советская, д.91А» предусмотрены в 2026 году субсидии в сумме 83,9 млн. рублей; на 2027 год субсидии на указанные цели не предусмотрены;</w:t>
      </w:r>
    </w:p>
    <w:p w14:paraId="61A25D2C" w14:textId="461A9E10" w:rsidR="00E51F1C" w:rsidRPr="004032F4" w:rsidRDefault="007B19BD" w:rsidP="00C321B3">
      <w:pPr>
        <w:spacing w:before="60" w:after="0" w:line="240" w:lineRule="auto"/>
        <w:ind w:firstLine="720"/>
        <w:jc w:val="both"/>
        <w:rPr>
          <w:rFonts w:ascii="Times New Roman" w:hAnsi="Times New Roman" w:cs="Times New Roman"/>
          <w:snapToGrid w:val="0"/>
          <w:color w:val="000000" w:themeColor="text1"/>
          <w:spacing w:val="-4"/>
          <w:sz w:val="28"/>
          <w:szCs w:val="28"/>
          <w:lang w:eastAsia="ru-RU"/>
        </w:rPr>
      </w:pPr>
      <w:r w:rsidRPr="004032F4">
        <w:rPr>
          <w:rFonts w:ascii="Times New Roman" w:hAnsi="Times New Roman" w:cs="Times New Roman"/>
          <w:snapToGrid w:val="0"/>
          <w:color w:val="000000" w:themeColor="text1"/>
          <w:spacing w:val="-4"/>
          <w:sz w:val="28"/>
          <w:szCs w:val="28"/>
          <w:lang w:eastAsia="ru-RU"/>
        </w:rPr>
        <w:t>«Модернизация и развитие автомобильных дорог общего пользования в Тульской области»</w:t>
      </w:r>
      <w:r w:rsidR="00E51F1C" w:rsidRPr="004032F4">
        <w:rPr>
          <w:rFonts w:ascii="Times New Roman" w:hAnsi="Times New Roman" w:cs="Times New Roman"/>
          <w:snapToGrid w:val="0"/>
          <w:color w:val="000000" w:themeColor="text1"/>
          <w:spacing w:val="-4"/>
          <w:sz w:val="28"/>
          <w:szCs w:val="28"/>
          <w:lang w:eastAsia="ru-RU"/>
        </w:rPr>
        <w:t>:</w:t>
      </w:r>
    </w:p>
    <w:p w14:paraId="194495F3" w14:textId="77777777" w:rsidR="00C321B3" w:rsidRPr="004032F4" w:rsidRDefault="00C321B3" w:rsidP="00C321B3">
      <w:pPr>
        <w:spacing w:after="0" w:line="240" w:lineRule="auto"/>
        <w:ind w:firstLine="765"/>
        <w:jc w:val="both"/>
        <w:rPr>
          <w:rFonts w:ascii="Times New Roman" w:hAnsi="Times New Roman" w:cs="Times New Roman"/>
          <w:snapToGrid w:val="0"/>
          <w:spacing w:val="-4"/>
          <w:lang w:eastAsia="ru-RU"/>
        </w:rPr>
      </w:pPr>
      <w:r w:rsidRPr="004032F4">
        <w:rPr>
          <w:rFonts w:ascii="Times New Roman" w:hAnsi="Times New Roman" w:cs="Times New Roman"/>
          <w:snapToGrid w:val="0"/>
          <w:spacing w:val="-4"/>
          <w:lang w:eastAsia="ru-RU"/>
        </w:rPr>
        <w:t>-</w:t>
      </w:r>
      <w:r w:rsidRPr="004032F4">
        <w:rPr>
          <w:rFonts w:ascii="Times New Roman" w:hAnsi="Times New Roman" w:cs="Times New Roman"/>
          <w:snapToGrid w:val="0"/>
          <w:spacing w:val="-4"/>
          <w:lang w:val="en-US" w:eastAsia="ru-RU"/>
        </w:rPr>
        <w:t> </w:t>
      </w:r>
      <w:r w:rsidRPr="004032F4">
        <w:rPr>
          <w:rFonts w:ascii="Times New Roman" w:hAnsi="Times New Roman" w:cs="Times New Roman"/>
          <w:snapToGrid w:val="0"/>
          <w:spacing w:val="-4"/>
          <w:lang w:eastAsia="ru-RU"/>
        </w:rPr>
        <w:t>в рамках ведомственного проекта «Предоставление межбюджетных трансфертов бюджетам муниципальных образований» на финансовое обеспечение дорожной деятельности в отношении автомобильных дорог общего пользования местного значения:</w:t>
      </w:r>
    </w:p>
    <w:p w14:paraId="77393F0D" w14:textId="77777777" w:rsidR="00C321B3" w:rsidRPr="004032F4" w:rsidRDefault="00C321B3" w:rsidP="00C321B3">
      <w:pPr>
        <w:spacing w:after="0" w:line="240" w:lineRule="auto"/>
        <w:ind w:firstLine="765"/>
        <w:jc w:val="both"/>
        <w:rPr>
          <w:rFonts w:ascii="Times New Roman" w:hAnsi="Times New Roman" w:cs="Times New Roman"/>
          <w:snapToGrid w:val="0"/>
          <w:spacing w:val="-4"/>
          <w:lang w:eastAsia="ru-RU"/>
        </w:rPr>
      </w:pPr>
      <w:r w:rsidRPr="004032F4">
        <w:rPr>
          <w:rFonts w:ascii="Times New Roman" w:hAnsi="Times New Roman" w:cs="Times New Roman"/>
          <w:snapToGrid w:val="0"/>
          <w:spacing w:val="-4"/>
          <w:lang w:eastAsia="ru-RU"/>
        </w:rPr>
        <w:t xml:space="preserve">субсидии муниципальному образованию Узловский муниципальный район в 2025 году в сумме 291,0 млн. рублей («Строительство путепровода через железную дорогу в районе улиц Заводская и Магистральная в городе Узловая </w:t>
      </w:r>
      <w:proofErr w:type="spellStart"/>
      <w:r w:rsidRPr="004032F4">
        <w:rPr>
          <w:rFonts w:ascii="Times New Roman" w:hAnsi="Times New Roman" w:cs="Times New Roman"/>
          <w:snapToGrid w:val="0"/>
          <w:spacing w:val="-4"/>
          <w:lang w:eastAsia="ru-RU"/>
        </w:rPr>
        <w:t>Узловского</w:t>
      </w:r>
      <w:proofErr w:type="spellEnd"/>
      <w:r w:rsidRPr="004032F4">
        <w:rPr>
          <w:rFonts w:ascii="Times New Roman" w:hAnsi="Times New Roman" w:cs="Times New Roman"/>
          <w:snapToGrid w:val="0"/>
          <w:spacing w:val="-4"/>
          <w:lang w:eastAsia="ru-RU"/>
        </w:rPr>
        <w:t xml:space="preserve"> района Тульской области»); на 2026 и 2027 годы ассигнования на указанные цели не предусмотрены;</w:t>
      </w:r>
    </w:p>
    <w:p w14:paraId="6A34DA45" w14:textId="77777777" w:rsidR="00C321B3" w:rsidRPr="004032F4" w:rsidRDefault="00C321B3" w:rsidP="00C321B3">
      <w:pPr>
        <w:spacing w:after="0" w:line="240" w:lineRule="auto"/>
        <w:ind w:firstLine="765"/>
        <w:jc w:val="both"/>
        <w:rPr>
          <w:rFonts w:ascii="Times New Roman" w:hAnsi="Times New Roman" w:cs="Times New Roman"/>
          <w:snapToGrid w:val="0"/>
          <w:spacing w:val="-4"/>
          <w:lang w:eastAsia="ru-RU"/>
        </w:rPr>
      </w:pPr>
      <w:r w:rsidRPr="004032F4">
        <w:rPr>
          <w:rFonts w:ascii="Times New Roman" w:hAnsi="Times New Roman" w:cs="Times New Roman"/>
          <w:snapToGrid w:val="0"/>
          <w:spacing w:val="-4"/>
          <w:lang w:eastAsia="ru-RU"/>
        </w:rPr>
        <w:t>субсидии муниципальному образованию городской округ город Тула в 2025 году в сумме 304,6 млн. рублей («Реконструкция Орловского путепровода по проспекту Ленина через улицу Рязанская в муниципальном образовании г. Тула»); на 2026 год - 251,2 млн. рублей; на 2027 год субсидии на указанные цели не предусмотрены;</w:t>
      </w:r>
    </w:p>
    <w:p w14:paraId="08A66F59" w14:textId="77777777" w:rsidR="00C321B3" w:rsidRPr="004032F4" w:rsidRDefault="00C321B3" w:rsidP="00C321B3">
      <w:pPr>
        <w:spacing w:after="0" w:line="240" w:lineRule="auto"/>
        <w:ind w:firstLine="765"/>
        <w:jc w:val="both"/>
        <w:rPr>
          <w:rFonts w:ascii="Times New Roman" w:hAnsi="Times New Roman" w:cs="Times New Roman"/>
          <w:snapToGrid w:val="0"/>
          <w:spacing w:val="-4"/>
          <w:lang w:eastAsia="ru-RU"/>
        </w:rPr>
      </w:pPr>
      <w:r w:rsidRPr="004032F4">
        <w:rPr>
          <w:rFonts w:ascii="Times New Roman" w:hAnsi="Times New Roman" w:cs="Times New Roman"/>
          <w:snapToGrid w:val="0"/>
          <w:spacing w:val="-4"/>
          <w:lang w:eastAsia="ru-RU"/>
        </w:rPr>
        <w:t>субсидии муниципальному образованию городской округ город Новомосковск в 2025 году в сумме 393,7 млн. рублей («Вынос коммуникаций с полосы отвода автомобильной дороги Тула-Рязань</w:t>
      </w:r>
      <w:r w:rsidRPr="004032F4">
        <w:t xml:space="preserve"> </w:t>
      </w:r>
      <w:r w:rsidRPr="004032F4">
        <w:rPr>
          <w:rFonts w:ascii="Times New Roman" w:hAnsi="Times New Roman" w:cs="Times New Roman"/>
          <w:snapToGrid w:val="0"/>
          <w:spacing w:val="-4"/>
          <w:lang w:eastAsia="ru-RU"/>
        </w:rPr>
        <w:t xml:space="preserve">(ул. Куйбышева, ул. Пашанина, ул. Рязанское шоссе г. Новомосковска)»); на 2026 год – 655,5 млн. рублей; на 2027 год – 582,1 млн. рублей; </w:t>
      </w:r>
    </w:p>
    <w:p w14:paraId="740A5A7B" w14:textId="77777777" w:rsidR="00C321B3" w:rsidRPr="004032F4" w:rsidRDefault="00C321B3" w:rsidP="00C321B3">
      <w:pPr>
        <w:spacing w:after="0" w:line="240" w:lineRule="auto"/>
        <w:ind w:firstLine="765"/>
        <w:jc w:val="both"/>
        <w:rPr>
          <w:rFonts w:ascii="Times New Roman" w:hAnsi="Times New Roman" w:cs="Times New Roman"/>
          <w:snapToGrid w:val="0"/>
          <w:spacing w:val="-4"/>
          <w:lang w:eastAsia="ru-RU"/>
        </w:rPr>
      </w:pPr>
      <w:r w:rsidRPr="004032F4">
        <w:rPr>
          <w:rFonts w:ascii="Times New Roman" w:hAnsi="Times New Roman" w:cs="Times New Roman"/>
          <w:snapToGrid w:val="0"/>
          <w:spacing w:val="-4"/>
          <w:lang w:eastAsia="ru-RU"/>
        </w:rPr>
        <w:t>иные межбюджетные трансферты муниципальному образованию Белевский район в 2025 году в сумме 369,5 млн. рублей («Капитальный ремонт ул. Советская в г. Белеве»); на 2026 и 2027 годы ассигнования на указанные цели не предусмотрены;</w:t>
      </w:r>
    </w:p>
    <w:p w14:paraId="49B81AD2" w14:textId="77777777" w:rsidR="00C321B3" w:rsidRPr="004032F4" w:rsidRDefault="007B19BD" w:rsidP="00C321B3">
      <w:pPr>
        <w:spacing w:before="60" w:after="0" w:line="240" w:lineRule="auto"/>
        <w:ind w:firstLine="765"/>
        <w:jc w:val="both"/>
        <w:rPr>
          <w:rFonts w:ascii="Times New Roman" w:hAnsi="Times New Roman" w:cs="Times New Roman"/>
          <w:snapToGrid w:val="0"/>
          <w:color w:val="000000" w:themeColor="text1"/>
          <w:spacing w:val="-4"/>
          <w:lang w:eastAsia="ru-RU"/>
        </w:rPr>
      </w:pPr>
      <w:r w:rsidRPr="004032F4">
        <w:rPr>
          <w:rFonts w:ascii="Times New Roman" w:hAnsi="Times New Roman" w:cs="Times New Roman"/>
          <w:snapToGrid w:val="0"/>
          <w:color w:val="000000"/>
          <w:spacing w:val="-4"/>
          <w:sz w:val="28"/>
          <w:szCs w:val="28"/>
          <w:lang w:eastAsia="ru-RU"/>
        </w:rPr>
        <w:t>«Обеспечение доступным и комфортным жильем населения Тульской области»:</w:t>
      </w:r>
      <w:r w:rsidR="00D52503" w:rsidRPr="004032F4">
        <w:rPr>
          <w:rFonts w:ascii="Times New Roman" w:hAnsi="Times New Roman" w:cs="Times New Roman"/>
          <w:snapToGrid w:val="0"/>
          <w:color w:val="000000"/>
          <w:spacing w:val="-4"/>
          <w:sz w:val="28"/>
          <w:szCs w:val="28"/>
          <w:lang w:eastAsia="ru-RU"/>
        </w:rPr>
        <w:t xml:space="preserve"> </w:t>
      </w:r>
      <w:r w:rsidR="00C321B3" w:rsidRPr="004032F4">
        <w:rPr>
          <w:rFonts w:ascii="Times New Roman" w:hAnsi="Times New Roman" w:cs="Times New Roman"/>
          <w:snapToGrid w:val="0"/>
          <w:spacing w:val="-4"/>
          <w:lang w:eastAsia="ru-RU"/>
        </w:rPr>
        <w:t>в рамках регионального проекта «Переселение граждан Тульской области из непригодного для проживания жилищного фонда и его ликвидация»: на обеспечение жилищных прав граждан, проживающих в аварийных домах, требующих первоочередного расселения</w:t>
      </w:r>
      <w:r w:rsidR="00C321B3" w:rsidRPr="004032F4">
        <w:rPr>
          <w:rFonts w:ascii="Times New Roman" w:hAnsi="Times New Roman" w:cs="Times New Roman"/>
          <w:snapToGrid w:val="0"/>
          <w:color w:val="000000" w:themeColor="text1"/>
          <w:spacing w:val="-4"/>
          <w:lang w:eastAsia="ru-RU"/>
        </w:rPr>
        <w:t xml:space="preserve"> в 2025 году предусмотрены субсидии трем муниципальным образованиям (городской округ город Донской, городской округ город Тула, Щекинский муниципальный район) на сумму 381,3 млн. рублей; в плановом периоде 2026 и 2027 годов в объеме 100,0 млн. рублей, ежегодно; </w:t>
      </w:r>
    </w:p>
    <w:p w14:paraId="5B09E85C" w14:textId="44ED05F4" w:rsidR="007B19BD" w:rsidRPr="004032F4" w:rsidRDefault="007B19BD" w:rsidP="00D83BD3">
      <w:pPr>
        <w:spacing w:before="120" w:after="0" w:line="240" w:lineRule="auto"/>
        <w:ind w:firstLine="720"/>
        <w:jc w:val="both"/>
        <w:rPr>
          <w:rFonts w:ascii="Times New Roman" w:hAnsi="Times New Roman" w:cs="Times New Roman"/>
          <w:snapToGrid w:val="0"/>
          <w:spacing w:val="-4"/>
          <w:sz w:val="28"/>
          <w:szCs w:val="28"/>
          <w:lang w:eastAsia="ru-RU"/>
        </w:rPr>
      </w:pPr>
      <w:r w:rsidRPr="004032F4">
        <w:rPr>
          <w:rFonts w:ascii="Times New Roman" w:hAnsi="Times New Roman" w:cs="Times New Roman"/>
          <w:snapToGrid w:val="0"/>
          <w:spacing w:val="-4"/>
          <w:sz w:val="28"/>
          <w:szCs w:val="28"/>
          <w:lang w:eastAsia="ru-RU"/>
        </w:rPr>
        <w:t>«Обеспечение качественными услугами жилищно-коммунального хозяйства населения Тульской области»:</w:t>
      </w:r>
    </w:p>
    <w:p w14:paraId="7BD24DDB" w14:textId="77777777" w:rsidR="00C321B3" w:rsidRPr="004032F4" w:rsidRDefault="00C321B3" w:rsidP="00C321B3">
      <w:pPr>
        <w:spacing w:after="0" w:line="240" w:lineRule="auto"/>
        <w:ind w:firstLine="765"/>
        <w:jc w:val="both"/>
        <w:rPr>
          <w:rFonts w:ascii="Times New Roman" w:hAnsi="Times New Roman" w:cs="Times New Roman"/>
          <w:snapToGrid w:val="0"/>
          <w:color w:val="000000" w:themeColor="text1"/>
          <w:spacing w:val="-4"/>
          <w:lang w:eastAsia="ru-RU"/>
        </w:rPr>
      </w:pPr>
      <w:r w:rsidRPr="004032F4">
        <w:rPr>
          <w:rFonts w:ascii="Times New Roman" w:hAnsi="Times New Roman" w:cs="Times New Roman"/>
          <w:snapToGrid w:val="0"/>
          <w:color w:val="000000" w:themeColor="text1"/>
          <w:spacing w:val="-4"/>
          <w:lang w:eastAsia="ru-RU"/>
        </w:rPr>
        <w:lastRenderedPageBreak/>
        <w:t>- в рамках регионального проекта «Реализация мероприятий в рамках инфраструктурных проектов Тульской области» бюджету муниципального образования городской округ город Тула на реализацию инфраструктурного проекта «Реконструкция очистных сооружений канализации города Тулы, в том числе I этап в части строительства цеха механического обезвоживания осадка (ЦМО) и вспомогательных сооружений», источником финансового обеспечения которого является бюджетный кредит из федерального бюджета на финансовое обеспечение реализации инфраструктурных проектов в 2025 году в сумме 1 007,8 млн. рублей; на 2026 и 2027 годы ассигнования на указанные цели не предусмотрены;</w:t>
      </w:r>
    </w:p>
    <w:p w14:paraId="4E01C1B2" w14:textId="77777777" w:rsidR="00C321B3" w:rsidRPr="004032F4" w:rsidRDefault="00C321B3" w:rsidP="00C321B3">
      <w:pPr>
        <w:spacing w:after="0" w:line="240" w:lineRule="auto"/>
        <w:ind w:firstLine="765"/>
        <w:jc w:val="both"/>
        <w:rPr>
          <w:rFonts w:ascii="Times New Roman" w:hAnsi="Times New Roman" w:cs="Times New Roman"/>
          <w:snapToGrid w:val="0"/>
          <w:color w:val="000000" w:themeColor="text1"/>
          <w:spacing w:val="-4"/>
          <w:lang w:eastAsia="ru-RU"/>
        </w:rPr>
      </w:pPr>
      <w:r w:rsidRPr="004032F4">
        <w:rPr>
          <w:rFonts w:ascii="Times New Roman" w:hAnsi="Times New Roman" w:cs="Times New Roman"/>
          <w:snapToGrid w:val="0"/>
          <w:color w:val="000000" w:themeColor="text1"/>
          <w:spacing w:val="-4"/>
          <w:lang w:eastAsia="ru-RU"/>
        </w:rPr>
        <w:t>- в рамках регионального проекта «Строительство и капитальный ремонт объектов коммунальной инфраструктуры Тульской области»:</w:t>
      </w:r>
    </w:p>
    <w:p w14:paraId="34709C50" w14:textId="77777777" w:rsidR="00C321B3" w:rsidRPr="004032F4" w:rsidRDefault="00C321B3" w:rsidP="00C321B3">
      <w:pPr>
        <w:spacing w:after="0" w:line="240" w:lineRule="auto"/>
        <w:ind w:firstLine="765"/>
        <w:jc w:val="both"/>
        <w:rPr>
          <w:rFonts w:ascii="Times New Roman" w:hAnsi="Times New Roman" w:cs="Times New Roman"/>
          <w:snapToGrid w:val="0"/>
          <w:color w:val="000000" w:themeColor="text1"/>
          <w:spacing w:val="-4"/>
          <w:lang w:eastAsia="ru-RU"/>
        </w:rPr>
      </w:pPr>
      <w:r w:rsidRPr="004032F4">
        <w:rPr>
          <w:rFonts w:ascii="Times New Roman" w:hAnsi="Times New Roman" w:cs="Times New Roman"/>
          <w:snapToGrid w:val="0"/>
          <w:color w:val="000000" w:themeColor="text1"/>
          <w:spacing w:val="-4"/>
          <w:lang w:eastAsia="ru-RU"/>
        </w:rPr>
        <w:t xml:space="preserve">на строительство (реконструкцию), модернизацию, капитальный ремонт и ремонт объектов коммунальной инфраструктуры Тульской области в 2025 году предусмотрены субсидии бюджетам двух муниципальных образований (Кимовский муниципальный район, </w:t>
      </w:r>
      <w:r w:rsidRPr="004032F4">
        <w:rPr>
          <w:rFonts w:ascii="Times New Roman" w:hAnsi="Times New Roman" w:cs="Times New Roman"/>
          <w:snapToGrid w:val="0"/>
          <w:spacing w:val="-4"/>
          <w:lang w:eastAsia="ru-RU"/>
        </w:rPr>
        <w:t>Плавский муниципальный район) в сумме 44,8 млн. рублей; на 2026 год - 64,0 млн. рублей, на 2027 год субсидии на указанные цели не предусмотрены;</w:t>
      </w:r>
    </w:p>
    <w:p w14:paraId="5F2969F3" w14:textId="77777777" w:rsidR="00C321B3" w:rsidRPr="004032F4" w:rsidRDefault="00C321B3" w:rsidP="00C321B3">
      <w:pPr>
        <w:spacing w:after="0" w:line="240" w:lineRule="auto"/>
        <w:ind w:firstLine="765"/>
        <w:jc w:val="both"/>
        <w:rPr>
          <w:rFonts w:ascii="Times New Roman" w:hAnsi="Times New Roman" w:cs="Times New Roman"/>
          <w:snapToGrid w:val="0"/>
          <w:spacing w:val="-4"/>
          <w:lang w:eastAsia="ru-RU"/>
        </w:rPr>
      </w:pPr>
      <w:r w:rsidRPr="004032F4">
        <w:rPr>
          <w:rFonts w:ascii="Times New Roman" w:hAnsi="Times New Roman" w:cs="Times New Roman"/>
          <w:snapToGrid w:val="0"/>
          <w:color w:val="000000" w:themeColor="text1"/>
          <w:spacing w:val="-4"/>
          <w:lang w:eastAsia="ru-RU"/>
        </w:rPr>
        <w:t>на строительство (реконструкцию), модернизацию, капитальный ремонт и ремонт объектов коммунальной инфраструктуры Тульской области (объекты теплоснабжения и тепловых сетей) в 2025 году предусмотрены субсидии бюджетам четырех муниципальных образований (</w:t>
      </w:r>
      <w:r w:rsidRPr="004032F4">
        <w:rPr>
          <w:rFonts w:ascii="Times New Roman" w:hAnsi="Times New Roman" w:cs="Times New Roman"/>
          <w:snapToGrid w:val="0"/>
          <w:spacing w:val="-4"/>
          <w:lang w:eastAsia="ru-RU"/>
        </w:rPr>
        <w:t>Арсеньевский муниципальный район, Каменский муниципальный район, Щекинский муниципальный район, городской округ рабочий поселок Новогуровский) в сумме 158,1 млн. рублей; на 2026 год - 96,6 млн. рублей, на 2027 год субсидии на указанные цели не предусмотрены;</w:t>
      </w:r>
    </w:p>
    <w:p w14:paraId="52D274A8" w14:textId="77777777" w:rsidR="00C321B3" w:rsidRPr="004032F4" w:rsidRDefault="00C321B3" w:rsidP="00C321B3">
      <w:pPr>
        <w:spacing w:after="0" w:line="240" w:lineRule="auto"/>
        <w:ind w:firstLine="765"/>
        <w:jc w:val="both"/>
        <w:rPr>
          <w:rFonts w:ascii="Times New Roman" w:hAnsi="Times New Roman" w:cs="Times New Roman"/>
          <w:snapToGrid w:val="0"/>
          <w:spacing w:val="-4"/>
          <w:lang w:eastAsia="ru-RU"/>
        </w:rPr>
      </w:pPr>
      <w:r w:rsidRPr="004032F4">
        <w:rPr>
          <w:rFonts w:ascii="Times New Roman" w:hAnsi="Times New Roman" w:cs="Times New Roman"/>
          <w:snapToGrid w:val="0"/>
          <w:spacing w:val="-4"/>
          <w:lang w:eastAsia="ru-RU"/>
        </w:rPr>
        <w:t>- в рамках регионального проекта «Чистая вода Тульской области»: на строительство (реконструкцию), модернизацию, капитальный ремонт и ремонт объектов водоснабжения Тульской области</w:t>
      </w:r>
      <w:r w:rsidRPr="004032F4">
        <w:t xml:space="preserve"> </w:t>
      </w:r>
      <w:r w:rsidRPr="004032F4">
        <w:rPr>
          <w:rFonts w:ascii="Times New Roman" w:hAnsi="Times New Roman" w:cs="Times New Roman"/>
          <w:snapToGrid w:val="0"/>
          <w:spacing w:val="-4"/>
          <w:lang w:eastAsia="ru-RU"/>
        </w:rPr>
        <w:t>в 2025 году бюджетам двух муниципальных образований (Богородицкий муниципальный район, городской округ город Донской) в сумме 79,2 млн. рублей; на 2026 год - 64,0 млн. рублей, на 2027 год субсидии на указанные цели не предусмотрены.</w:t>
      </w:r>
    </w:p>
    <w:p w14:paraId="65EBA0E2" w14:textId="3CF2D4AB" w:rsidR="00C321B3" w:rsidRPr="004032F4" w:rsidRDefault="00290FBC" w:rsidP="00C321B3">
      <w:pPr>
        <w:widowControl w:val="0"/>
        <w:spacing w:before="120" w:after="0" w:line="240" w:lineRule="auto"/>
        <w:ind w:firstLine="765"/>
        <w:jc w:val="both"/>
        <w:rPr>
          <w:rFonts w:ascii="Times New Roman" w:eastAsia="Times New Roman" w:hAnsi="Times New Roman" w:cs="Times New Roman"/>
          <w:sz w:val="28"/>
          <w:szCs w:val="28"/>
          <w:lang w:eastAsia="ru-RU"/>
        </w:rPr>
      </w:pPr>
      <w:r w:rsidRPr="004032F4">
        <w:rPr>
          <w:rFonts w:ascii="Times New Roman" w:eastAsia="Calibri" w:hAnsi="Times New Roman" w:cs="Times New Roman"/>
          <w:b/>
          <w:sz w:val="28"/>
          <w:szCs w:val="28"/>
        </w:rPr>
        <w:t>3.3.4</w:t>
      </w:r>
      <w:r w:rsidRPr="004032F4">
        <w:rPr>
          <w:rFonts w:ascii="Times New Roman" w:eastAsia="Calibri" w:hAnsi="Times New Roman" w:cs="Times New Roman"/>
          <w:sz w:val="28"/>
          <w:szCs w:val="28"/>
        </w:rPr>
        <w:t>.</w:t>
      </w:r>
      <w:r w:rsidR="00A65E4C" w:rsidRPr="004032F4">
        <w:rPr>
          <w:rFonts w:ascii="Times New Roman" w:eastAsia="Calibri" w:hAnsi="Times New Roman" w:cs="Times New Roman"/>
          <w:sz w:val="28"/>
          <w:szCs w:val="28"/>
        </w:rPr>
        <w:t> </w:t>
      </w:r>
      <w:r w:rsidR="007B19BD" w:rsidRPr="004032F4">
        <w:rPr>
          <w:rFonts w:ascii="Times New Roman" w:eastAsia="Calibri" w:hAnsi="Times New Roman" w:cs="Times New Roman"/>
          <w:sz w:val="28"/>
          <w:szCs w:val="28"/>
        </w:rPr>
        <w:t>В расходах бюджета области</w:t>
      </w:r>
      <w:r w:rsidR="007B19BD" w:rsidRPr="004032F4">
        <w:rPr>
          <w:rFonts w:ascii="Times New Roman" w:eastAsia="Times New Roman" w:hAnsi="Times New Roman" w:cs="Times New Roman"/>
          <w:sz w:val="28"/>
          <w:szCs w:val="28"/>
          <w:lang w:eastAsia="ru-RU"/>
        </w:rPr>
        <w:t xml:space="preserve"> в прогнозируемом периоде предусматриваются бюджетные ассигнования </w:t>
      </w:r>
      <w:r w:rsidR="007B19BD" w:rsidRPr="004032F4">
        <w:rPr>
          <w:rFonts w:ascii="Times New Roman" w:eastAsia="Times New Roman" w:hAnsi="Times New Roman" w:cs="Times New Roman"/>
          <w:i/>
          <w:sz w:val="28"/>
          <w:szCs w:val="28"/>
          <w:lang w:eastAsia="ru-RU"/>
        </w:rPr>
        <w:t>на предоставление субсидий в виде имущественных взносов</w:t>
      </w:r>
      <w:r w:rsidR="007B19BD" w:rsidRPr="004032F4">
        <w:rPr>
          <w:rFonts w:ascii="Times New Roman" w:eastAsia="Times New Roman" w:hAnsi="Times New Roman" w:cs="Times New Roman"/>
          <w:sz w:val="28"/>
          <w:szCs w:val="28"/>
          <w:lang w:eastAsia="ru-RU"/>
        </w:rPr>
        <w:t xml:space="preserve"> девяти организациям (фондам): </w:t>
      </w:r>
      <w:r w:rsidR="009E351D" w:rsidRPr="004032F4">
        <w:rPr>
          <w:rFonts w:ascii="Times New Roman" w:eastAsia="Times New Roman" w:hAnsi="Times New Roman" w:cs="Times New Roman"/>
          <w:sz w:val="28"/>
          <w:szCs w:val="28"/>
          <w:lang w:eastAsia="ru-RU"/>
        </w:rPr>
        <w:t xml:space="preserve">в </w:t>
      </w:r>
      <w:r w:rsidR="00933509" w:rsidRPr="004032F4">
        <w:rPr>
          <w:rFonts w:ascii="Times New Roman" w:eastAsia="Times New Roman" w:hAnsi="Times New Roman" w:cs="Times New Roman"/>
          <w:sz w:val="28"/>
          <w:szCs w:val="28"/>
          <w:lang w:eastAsia="ru-RU"/>
        </w:rPr>
        <w:t>2025</w:t>
      </w:r>
      <w:r w:rsidR="009E351D" w:rsidRPr="004032F4">
        <w:rPr>
          <w:rFonts w:ascii="Times New Roman" w:eastAsia="Times New Roman" w:hAnsi="Times New Roman" w:cs="Times New Roman"/>
          <w:sz w:val="28"/>
          <w:szCs w:val="28"/>
          <w:lang w:eastAsia="ru-RU"/>
        </w:rPr>
        <w:t xml:space="preserve"> году в объеме </w:t>
      </w:r>
      <w:r w:rsidR="00C321B3" w:rsidRPr="004032F4">
        <w:rPr>
          <w:rFonts w:ascii="Times New Roman" w:eastAsia="Times New Roman" w:hAnsi="Times New Roman" w:cs="Times New Roman"/>
          <w:sz w:val="28"/>
          <w:szCs w:val="28"/>
          <w:lang w:eastAsia="ru-RU"/>
        </w:rPr>
        <w:t xml:space="preserve">728,9 млн. рублей, в 2026 – 2027 годах – 548,1 млн. рублей, ежегодно (информация представлена в приложении №8 к </w:t>
      </w:r>
      <w:r w:rsidR="002D450F" w:rsidRPr="004032F4">
        <w:rPr>
          <w:rFonts w:ascii="Times New Roman" w:eastAsia="Times New Roman" w:hAnsi="Times New Roman" w:cs="Times New Roman"/>
          <w:sz w:val="28"/>
          <w:szCs w:val="28"/>
          <w:lang w:eastAsia="ru-RU"/>
        </w:rPr>
        <w:t xml:space="preserve">настоящему </w:t>
      </w:r>
      <w:r w:rsidR="00C321B3" w:rsidRPr="004032F4">
        <w:rPr>
          <w:rFonts w:ascii="Times New Roman" w:eastAsia="Times New Roman" w:hAnsi="Times New Roman" w:cs="Times New Roman"/>
          <w:sz w:val="28"/>
          <w:szCs w:val="28"/>
          <w:lang w:eastAsia="ru-RU"/>
        </w:rPr>
        <w:t xml:space="preserve">заключению). По сравнению с 2024 годом в 2025 году уменьшение расходов бюджета на указанные цели составляет 442,7 млн. рублей, или 37,8%. В плановом периоде 2026 и 2027 годов по сравнению с 2025 годом расходы бюджета области на эти цели уменьшатся на 24,8%. </w:t>
      </w:r>
    </w:p>
    <w:p w14:paraId="39AE7BD1" w14:textId="4FC3D79A" w:rsidR="00C321B3" w:rsidRPr="004032F4" w:rsidRDefault="00C321B3" w:rsidP="00C321B3">
      <w:pPr>
        <w:spacing w:after="0" w:line="240" w:lineRule="auto"/>
        <w:ind w:firstLine="765"/>
        <w:jc w:val="both"/>
        <w:rPr>
          <w:rFonts w:ascii="Times New Roman" w:hAnsi="Times New Roman" w:cs="Times New Roman"/>
          <w:i/>
        </w:rPr>
      </w:pPr>
      <w:r w:rsidRPr="004032F4">
        <w:rPr>
          <w:rFonts w:ascii="PT Astra Serif" w:hAnsi="PT Astra Serif"/>
          <w:sz w:val="28"/>
        </w:rPr>
        <w:t xml:space="preserve">В сравнении с 2024 годом в прогнозируемом периоде </w:t>
      </w:r>
      <w:r w:rsidRPr="004032F4">
        <w:rPr>
          <w:rFonts w:ascii="Times New Roman" w:hAnsi="Times New Roman" w:cs="Times New Roman"/>
          <w:i/>
          <w:sz w:val="28"/>
        </w:rPr>
        <w:t>не предусматриваются имущественные взносы на:</w:t>
      </w:r>
      <w:r w:rsidRPr="004032F4">
        <w:rPr>
          <w:rFonts w:ascii="Times New Roman" w:hAnsi="Times New Roman" w:cs="Times New Roman"/>
          <w:i/>
        </w:rPr>
        <w:t xml:space="preserve"> </w:t>
      </w:r>
    </w:p>
    <w:p w14:paraId="75D0C808" w14:textId="3AE34634" w:rsidR="00C321B3" w:rsidRPr="004032F4" w:rsidRDefault="00C321B3" w:rsidP="00C321B3">
      <w:pPr>
        <w:spacing w:after="0" w:line="240" w:lineRule="auto"/>
        <w:ind w:firstLine="765"/>
        <w:jc w:val="both"/>
        <w:rPr>
          <w:rFonts w:ascii="Times New Roman" w:hAnsi="Times New Roman" w:cs="Times New Roman"/>
        </w:rPr>
      </w:pPr>
      <w:r w:rsidRPr="004032F4">
        <w:rPr>
          <w:rFonts w:ascii="Times New Roman" w:hAnsi="Times New Roman" w:cs="Times New Roman"/>
        </w:rPr>
        <w:t xml:space="preserve">- оказание поддержки физическим лицам, применяющим специальный налоговый режим «Налог на профессиональный доход»; реализацию комплекса услуг, направленных на вовлечение в предпринимательскую деятельность; </w:t>
      </w:r>
    </w:p>
    <w:p w14:paraId="6596C334" w14:textId="77777777" w:rsidR="00C321B3" w:rsidRPr="004032F4" w:rsidRDefault="00C321B3" w:rsidP="00C321B3">
      <w:pPr>
        <w:spacing w:after="0" w:line="240" w:lineRule="auto"/>
        <w:ind w:firstLine="765"/>
        <w:jc w:val="both"/>
        <w:rPr>
          <w:rFonts w:ascii="Times New Roman" w:eastAsia="Times New Roman" w:hAnsi="Times New Roman" w:cs="Times New Roman"/>
          <w:spacing w:val="-4"/>
          <w:w w:val="97"/>
        </w:rPr>
      </w:pPr>
      <w:r w:rsidRPr="004032F4">
        <w:rPr>
          <w:rFonts w:ascii="Times New Roman" w:eastAsia="Times New Roman" w:hAnsi="Times New Roman" w:cs="Times New Roman"/>
          <w:spacing w:val="-4"/>
          <w:w w:val="97"/>
        </w:rPr>
        <w:t>- развитие деятельности Тульского областного гарантийного фонда;</w:t>
      </w:r>
    </w:p>
    <w:p w14:paraId="63CB9C19" w14:textId="77777777" w:rsidR="00C321B3" w:rsidRPr="004032F4" w:rsidRDefault="00C321B3" w:rsidP="00C321B3">
      <w:pPr>
        <w:spacing w:after="0" w:line="240" w:lineRule="auto"/>
        <w:ind w:firstLine="765"/>
        <w:jc w:val="both"/>
        <w:rPr>
          <w:rFonts w:ascii="Times New Roman" w:hAnsi="Times New Roman" w:cs="Times New Roman"/>
        </w:rPr>
      </w:pPr>
      <w:r w:rsidRPr="004032F4">
        <w:rPr>
          <w:rFonts w:ascii="Times New Roman" w:hAnsi="Times New Roman" w:cs="Times New Roman"/>
        </w:rPr>
        <w:t>- на организацию технологического присоединения объектов инфраструктуры а</w:t>
      </w:r>
      <w:r w:rsidRPr="004032F4">
        <w:rPr>
          <w:rFonts w:ascii="Times New Roman" w:eastAsia="Times New Roman" w:hAnsi="Times New Roman" w:cs="Times New Roman"/>
          <w:spacing w:val="-4"/>
          <w:w w:val="97"/>
        </w:rPr>
        <w:t xml:space="preserve">втономного некоммерческого объединения </w:t>
      </w:r>
      <w:r w:rsidRPr="004032F4">
        <w:rPr>
          <w:rFonts w:ascii="Times New Roman" w:hAnsi="Times New Roman" w:cs="Times New Roman"/>
        </w:rPr>
        <w:t>«Научно-производственного центра беспилотных авиационных систем Тульской области»;</w:t>
      </w:r>
    </w:p>
    <w:p w14:paraId="15304EBD" w14:textId="6B693E40" w:rsidR="00C321B3" w:rsidRPr="004032F4" w:rsidRDefault="00C321B3" w:rsidP="00C321B3">
      <w:pPr>
        <w:spacing w:after="0" w:line="240" w:lineRule="auto"/>
        <w:ind w:firstLine="765"/>
        <w:jc w:val="both"/>
        <w:rPr>
          <w:rFonts w:ascii="Times New Roman" w:hAnsi="Times New Roman" w:cs="Times New Roman"/>
          <w:i/>
          <w:sz w:val="28"/>
        </w:rPr>
      </w:pPr>
      <w:r w:rsidRPr="004032F4">
        <w:rPr>
          <w:rFonts w:ascii="Times New Roman" w:hAnsi="Times New Roman" w:cs="Times New Roman"/>
          <w:i/>
          <w:sz w:val="28"/>
        </w:rPr>
        <w:t>уменьшаются расходы на:</w:t>
      </w:r>
    </w:p>
    <w:p w14:paraId="79497276" w14:textId="5295373E" w:rsidR="00C321B3" w:rsidRPr="004032F4" w:rsidRDefault="00C321B3" w:rsidP="00C321B3">
      <w:pPr>
        <w:spacing w:after="0" w:line="240" w:lineRule="auto"/>
        <w:ind w:firstLine="765"/>
        <w:jc w:val="both"/>
        <w:rPr>
          <w:rFonts w:ascii="Times New Roman" w:hAnsi="Times New Roman" w:cs="Times New Roman"/>
        </w:rPr>
      </w:pPr>
      <w:r w:rsidRPr="004032F4">
        <w:rPr>
          <w:rFonts w:ascii="Times New Roman" w:hAnsi="Times New Roman" w:cs="Times New Roman"/>
        </w:rPr>
        <w:t>- имущественный взнос в Тульский региональный фонд «Центр поддержки предпринимательства» (на реа</w:t>
      </w:r>
      <w:r w:rsidR="008319DF" w:rsidRPr="004032F4">
        <w:rPr>
          <w:rFonts w:ascii="Times New Roman" w:hAnsi="Times New Roman" w:cs="Times New Roman"/>
        </w:rPr>
        <w:t>лизацию задач, предусмотренных У</w:t>
      </w:r>
      <w:r w:rsidRPr="004032F4">
        <w:rPr>
          <w:rFonts w:ascii="Times New Roman" w:hAnsi="Times New Roman" w:cs="Times New Roman"/>
        </w:rPr>
        <w:t>ставом Тульского регионального фонда «Центр поддержки предпринимательства» за исключением целей по поддержке малого и среднего предпринимательства и развития экспорта) с 262,1</w:t>
      </w:r>
      <w:r w:rsidRPr="004032F4">
        <w:rPr>
          <w:rFonts w:ascii="Times New Roman" w:eastAsia="Times New Roman" w:hAnsi="Times New Roman" w:cs="Times New Roman"/>
          <w:spacing w:val="-4"/>
          <w:lang w:eastAsia="ru-RU"/>
        </w:rPr>
        <w:t xml:space="preserve"> млн. рублей в 2024 году до 161,1 млн. рублей ежегодно в 2025-2027 годах</w:t>
      </w:r>
      <w:r w:rsidRPr="004032F4">
        <w:rPr>
          <w:rFonts w:ascii="Times New Roman" w:hAnsi="Times New Roman" w:cs="Times New Roman"/>
        </w:rPr>
        <w:t>;</w:t>
      </w:r>
    </w:p>
    <w:p w14:paraId="11B915DA" w14:textId="16FBD670" w:rsidR="00C321B3" w:rsidRPr="004032F4" w:rsidRDefault="00C321B3" w:rsidP="00C321B3">
      <w:pPr>
        <w:spacing w:after="0" w:line="240" w:lineRule="auto"/>
        <w:ind w:firstLine="765"/>
        <w:jc w:val="both"/>
        <w:rPr>
          <w:rFonts w:ascii="Times New Roman" w:hAnsi="Times New Roman" w:cs="Times New Roman"/>
        </w:rPr>
      </w:pPr>
      <w:r w:rsidRPr="004032F4">
        <w:rPr>
          <w:rFonts w:ascii="Times New Roman" w:hAnsi="Times New Roman" w:cs="Times New Roman"/>
        </w:rPr>
        <w:t>- предоставление имущественного взноса на осуществление финансовой поддержки субъектов деятельности в сфере промышленности</w:t>
      </w:r>
      <w:r w:rsidR="00503EA4" w:rsidRPr="004032F4">
        <w:t xml:space="preserve"> </w:t>
      </w:r>
      <w:r w:rsidR="00503EA4" w:rsidRPr="004032F4">
        <w:rPr>
          <w:rFonts w:ascii="Times New Roman" w:hAnsi="Times New Roman" w:cs="Times New Roman"/>
        </w:rPr>
        <w:t>Фонду развития промышленности Тульской области</w:t>
      </w:r>
      <w:r w:rsidRPr="004032F4">
        <w:rPr>
          <w:rFonts w:ascii="Times New Roman" w:hAnsi="Times New Roman" w:cs="Times New Roman"/>
        </w:rPr>
        <w:t>, с 250,0</w:t>
      </w:r>
      <w:r w:rsidRPr="004032F4">
        <w:rPr>
          <w:rFonts w:ascii="Times New Roman" w:eastAsia="Times New Roman" w:hAnsi="Times New Roman" w:cs="Times New Roman"/>
          <w:spacing w:val="-4"/>
          <w:lang w:eastAsia="ru-RU"/>
        </w:rPr>
        <w:t xml:space="preserve"> млн. рублей в 2024 году до 150,0 млн. рублей ежегодно в 2025-2027 годах</w:t>
      </w:r>
      <w:r w:rsidRPr="004032F4">
        <w:rPr>
          <w:rFonts w:ascii="Times New Roman" w:hAnsi="Times New Roman" w:cs="Times New Roman"/>
        </w:rPr>
        <w:t>.</w:t>
      </w:r>
    </w:p>
    <w:p w14:paraId="3080B3F4" w14:textId="77777777" w:rsidR="0041670C" w:rsidRDefault="0041670C" w:rsidP="00C321B3">
      <w:pPr>
        <w:widowControl w:val="0"/>
        <w:autoSpaceDE w:val="0"/>
        <w:autoSpaceDN w:val="0"/>
        <w:adjustRightInd w:val="0"/>
        <w:spacing w:before="120" w:after="0" w:line="240" w:lineRule="auto"/>
        <w:ind w:firstLine="709"/>
        <w:jc w:val="both"/>
        <w:rPr>
          <w:rFonts w:ascii="Times New Roman" w:eastAsia="Times New Roman" w:hAnsi="Times New Roman" w:cs="Times New Roman"/>
          <w:spacing w:val="-4"/>
          <w:sz w:val="28"/>
          <w:szCs w:val="28"/>
          <w:lang w:eastAsia="ru-RU"/>
        </w:rPr>
      </w:pPr>
    </w:p>
    <w:p w14:paraId="2CDA51BB" w14:textId="029FCF58" w:rsidR="00D83BD3" w:rsidRPr="004032F4" w:rsidRDefault="007B19BD" w:rsidP="00C321B3">
      <w:pPr>
        <w:widowControl w:val="0"/>
        <w:autoSpaceDE w:val="0"/>
        <w:autoSpaceDN w:val="0"/>
        <w:adjustRightInd w:val="0"/>
        <w:spacing w:before="120" w:after="0" w:line="240" w:lineRule="auto"/>
        <w:ind w:firstLine="709"/>
        <w:jc w:val="both"/>
        <w:rPr>
          <w:rFonts w:ascii="Times New Roman" w:eastAsia="Times New Roman" w:hAnsi="Times New Roman" w:cs="Times New Roman"/>
          <w:spacing w:val="-4"/>
          <w:sz w:val="28"/>
          <w:szCs w:val="28"/>
          <w:lang w:eastAsia="ru-RU"/>
        </w:rPr>
      </w:pPr>
      <w:r w:rsidRPr="004032F4">
        <w:rPr>
          <w:rFonts w:ascii="Times New Roman" w:eastAsia="Times New Roman" w:hAnsi="Times New Roman" w:cs="Times New Roman"/>
          <w:spacing w:val="-4"/>
          <w:sz w:val="28"/>
          <w:szCs w:val="28"/>
          <w:lang w:eastAsia="ru-RU"/>
        </w:rPr>
        <w:lastRenderedPageBreak/>
        <w:t xml:space="preserve">В прогнозируемом периоде планируется предоставление имущественных взносов на реализацию </w:t>
      </w:r>
      <w:r w:rsidR="00C321B3" w:rsidRPr="004032F4">
        <w:rPr>
          <w:rFonts w:ascii="Times New Roman" w:eastAsia="Times New Roman" w:hAnsi="Times New Roman" w:cs="Times New Roman"/>
          <w:spacing w:val="-4"/>
          <w:sz w:val="28"/>
          <w:szCs w:val="28"/>
          <w:lang w:eastAsia="ru-RU"/>
        </w:rPr>
        <w:t>двух</w:t>
      </w:r>
      <w:r w:rsidR="00D83BD3" w:rsidRPr="004032F4">
        <w:rPr>
          <w:rFonts w:ascii="Times New Roman" w:eastAsia="Times New Roman" w:hAnsi="Times New Roman" w:cs="Times New Roman"/>
          <w:spacing w:val="-4"/>
          <w:sz w:val="28"/>
          <w:szCs w:val="28"/>
          <w:lang w:eastAsia="ru-RU"/>
        </w:rPr>
        <w:t xml:space="preserve"> региональных проектов:</w:t>
      </w:r>
    </w:p>
    <w:p w14:paraId="7BFEC452" w14:textId="68B835EB" w:rsidR="009E1F25" w:rsidRPr="004032F4" w:rsidRDefault="00D83BD3" w:rsidP="009E1F25">
      <w:pPr>
        <w:widowControl w:val="0"/>
        <w:autoSpaceDE w:val="0"/>
        <w:autoSpaceDN w:val="0"/>
        <w:adjustRightInd w:val="0"/>
        <w:spacing w:before="60" w:after="0" w:line="240" w:lineRule="auto"/>
        <w:ind w:firstLine="709"/>
        <w:jc w:val="both"/>
        <w:rPr>
          <w:rFonts w:ascii="Times New Roman" w:eastAsia="Times New Roman" w:hAnsi="Times New Roman" w:cs="Times New Roman"/>
          <w:spacing w:val="-4"/>
          <w:sz w:val="28"/>
          <w:szCs w:val="28"/>
          <w:lang w:eastAsia="ru-RU"/>
        </w:rPr>
      </w:pPr>
      <w:r w:rsidRPr="004032F4">
        <w:rPr>
          <w:rFonts w:ascii="Times New Roman" w:eastAsia="Times New Roman" w:hAnsi="Times New Roman" w:cs="Times New Roman"/>
          <w:spacing w:val="-4"/>
          <w:sz w:val="28"/>
          <w:szCs w:val="28"/>
          <w:lang w:eastAsia="ru-RU"/>
        </w:rPr>
        <w:t>1) </w:t>
      </w:r>
      <w:r w:rsidR="009E1F25" w:rsidRPr="004032F4">
        <w:rPr>
          <w:rFonts w:ascii="Times New Roman" w:eastAsia="Times New Roman" w:hAnsi="Times New Roman" w:cs="Times New Roman"/>
          <w:spacing w:val="-4"/>
          <w:sz w:val="28"/>
          <w:szCs w:val="28"/>
          <w:lang w:eastAsia="ru-RU"/>
        </w:rPr>
        <w:t xml:space="preserve">«Формирование благоприятной инвестиционной среды» </w:t>
      </w:r>
      <w:r w:rsidR="009E1F25" w:rsidRPr="004032F4">
        <w:rPr>
          <w:rFonts w:ascii="Times New Roman" w:eastAsia="Times New Roman" w:hAnsi="Times New Roman" w:cs="Times New Roman"/>
          <w:spacing w:val="-4"/>
          <w:lang w:eastAsia="ru-RU"/>
        </w:rPr>
        <w:t xml:space="preserve">- на развитие экспорта, </w:t>
      </w:r>
      <w:r w:rsidR="00503EA4" w:rsidRPr="004032F4">
        <w:rPr>
          <w:rFonts w:ascii="Times New Roman" w:eastAsia="Times New Roman" w:hAnsi="Times New Roman" w:cs="Times New Roman"/>
          <w:spacing w:val="-4"/>
          <w:lang w:eastAsia="ru-RU"/>
        </w:rPr>
        <w:t xml:space="preserve">включая финансовое обеспечение затрат, связанных с организацией текущей деятельности Центра поддержки экспорта Тульского регионального фонда «Центр поддержки предпринимательства», </w:t>
      </w:r>
      <w:r w:rsidR="00C321B3" w:rsidRPr="004032F4">
        <w:rPr>
          <w:rFonts w:ascii="Times New Roman" w:eastAsia="Times New Roman" w:hAnsi="Times New Roman" w:cs="Times New Roman"/>
          <w:spacing w:val="-4"/>
          <w:lang w:eastAsia="ru-RU"/>
        </w:rPr>
        <w:t>на 2025 год - 29,8 млн. рублей, на 2026 - 2027 годы по 9,8 млн. рублей, ежегодно</w:t>
      </w:r>
      <w:r w:rsidR="009E1F25" w:rsidRPr="004032F4">
        <w:rPr>
          <w:rFonts w:ascii="Times New Roman" w:eastAsia="Times New Roman" w:hAnsi="Times New Roman" w:cs="Times New Roman"/>
          <w:spacing w:val="-4"/>
          <w:sz w:val="28"/>
          <w:szCs w:val="28"/>
          <w:lang w:eastAsia="ru-RU"/>
        </w:rPr>
        <w:t>;</w:t>
      </w:r>
    </w:p>
    <w:p w14:paraId="2316BB9F" w14:textId="77777777" w:rsidR="00C321B3" w:rsidRPr="004032F4" w:rsidRDefault="00C321B3" w:rsidP="00C321B3">
      <w:pPr>
        <w:widowControl w:val="0"/>
        <w:autoSpaceDE w:val="0"/>
        <w:autoSpaceDN w:val="0"/>
        <w:adjustRightInd w:val="0"/>
        <w:spacing w:after="0" w:line="240" w:lineRule="auto"/>
        <w:ind w:firstLine="765"/>
        <w:jc w:val="both"/>
        <w:rPr>
          <w:rFonts w:ascii="Times New Roman" w:eastAsia="Times New Roman" w:hAnsi="Times New Roman" w:cs="Times New Roman"/>
          <w:spacing w:val="-4"/>
          <w:sz w:val="28"/>
          <w:szCs w:val="28"/>
          <w:lang w:eastAsia="ru-RU"/>
        </w:rPr>
      </w:pPr>
      <w:r w:rsidRPr="004032F4">
        <w:rPr>
          <w:rFonts w:ascii="Times New Roman" w:eastAsia="Times New Roman" w:hAnsi="Times New Roman" w:cs="Times New Roman"/>
          <w:spacing w:val="-4"/>
          <w:sz w:val="28"/>
          <w:szCs w:val="28"/>
          <w:lang w:eastAsia="ru-RU"/>
        </w:rPr>
        <w:t>2) «Малое и среднее предпринимательство и поддержка индивидуальной предпринимательской инициативы»:</w:t>
      </w:r>
    </w:p>
    <w:p w14:paraId="3A288EE4" w14:textId="77777777" w:rsidR="00C321B3" w:rsidRPr="004032F4" w:rsidRDefault="00C321B3" w:rsidP="00C321B3">
      <w:pPr>
        <w:widowControl w:val="0"/>
        <w:autoSpaceDE w:val="0"/>
        <w:autoSpaceDN w:val="0"/>
        <w:adjustRightInd w:val="0"/>
        <w:spacing w:after="0" w:line="240" w:lineRule="auto"/>
        <w:ind w:firstLine="765"/>
        <w:contextualSpacing/>
        <w:jc w:val="both"/>
        <w:rPr>
          <w:rFonts w:ascii="Times New Roman" w:eastAsia="Times New Roman" w:hAnsi="Times New Roman" w:cs="Times New Roman"/>
          <w:spacing w:val="-4"/>
          <w:lang w:eastAsia="ru-RU"/>
        </w:rPr>
      </w:pPr>
      <w:r w:rsidRPr="004032F4">
        <w:rPr>
          <w:rFonts w:ascii="Times New Roman" w:eastAsia="Times New Roman" w:hAnsi="Times New Roman" w:cs="Times New Roman"/>
          <w:spacing w:val="-4"/>
          <w:lang w:eastAsia="ru-RU"/>
        </w:rPr>
        <w:t xml:space="preserve">- на создание и обеспечение деятельности центра «Мой бизнес» на 2025 год – 70,6 млн. рублей, 2026 и 2027 годы - 35,9 </w:t>
      </w:r>
      <w:r w:rsidRPr="004032F4">
        <w:rPr>
          <w:rFonts w:ascii="Times New Roman" w:hAnsi="Times New Roman" w:cs="Times New Roman"/>
        </w:rPr>
        <w:t>млн. рублей и</w:t>
      </w:r>
      <w:r w:rsidRPr="004032F4">
        <w:rPr>
          <w:rFonts w:ascii="Times New Roman" w:eastAsia="Times New Roman" w:hAnsi="Times New Roman" w:cs="Times New Roman"/>
          <w:spacing w:val="-4"/>
          <w:lang w:eastAsia="ru-RU"/>
        </w:rPr>
        <w:t xml:space="preserve"> 40,6 млн. рублей, соответственно;</w:t>
      </w:r>
      <w:r w:rsidRPr="004032F4">
        <w:rPr>
          <w:rFonts w:ascii="Times New Roman" w:hAnsi="Times New Roman" w:cs="Times New Roman"/>
        </w:rPr>
        <w:t xml:space="preserve"> </w:t>
      </w:r>
    </w:p>
    <w:p w14:paraId="40FE8949" w14:textId="77777777" w:rsidR="00C321B3" w:rsidRPr="004032F4" w:rsidRDefault="00C321B3" w:rsidP="00C321B3">
      <w:pPr>
        <w:widowControl w:val="0"/>
        <w:autoSpaceDE w:val="0"/>
        <w:autoSpaceDN w:val="0"/>
        <w:adjustRightInd w:val="0"/>
        <w:spacing w:after="0" w:line="240" w:lineRule="auto"/>
        <w:ind w:firstLine="765"/>
        <w:contextualSpacing/>
        <w:jc w:val="both"/>
        <w:rPr>
          <w:rFonts w:ascii="Times New Roman" w:eastAsia="Times New Roman" w:hAnsi="Times New Roman" w:cs="Times New Roman"/>
          <w:spacing w:val="-4"/>
          <w:lang w:eastAsia="ru-RU"/>
        </w:rPr>
      </w:pPr>
      <w:r w:rsidRPr="004032F4">
        <w:rPr>
          <w:rFonts w:ascii="Times New Roman" w:eastAsia="Times New Roman" w:hAnsi="Times New Roman" w:cs="Times New Roman"/>
          <w:spacing w:val="-4"/>
          <w:lang w:eastAsia="ru-RU"/>
        </w:rPr>
        <w:t>- на функционирование Центра поддержки экспорта на 2025 год – 17,9 млн. рублей, 2026 и 2027 годы – 10,5</w:t>
      </w:r>
      <w:r w:rsidRPr="004032F4">
        <w:rPr>
          <w:rFonts w:ascii="Times New Roman" w:hAnsi="Times New Roman" w:cs="Times New Roman"/>
        </w:rPr>
        <w:t xml:space="preserve"> </w:t>
      </w:r>
      <w:r w:rsidRPr="004032F4">
        <w:rPr>
          <w:rFonts w:ascii="Times New Roman" w:eastAsia="Times New Roman" w:hAnsi="Times New Roman" w:cs="Times New Roman"/>
          <w:spacing w:val="-4"/>
          <w:lang w:eastAsia="ru-RU"/>
        </w:rPr>
        <w:t>млн. рублей и 5,8 млн. рублей, соответственно.</w:t>
      </w:r>
    </w:p>
    <w:p w14:paraId="4A4FD83B" w14:textId="7A3DFE44" w:rsidR="00D83BD3" w:rsidRPr="004032F4" w:rsidRDefault="00D83BD3" w:rsidP="00D83BD3">
      <w:pPr>
        <w:widowControl w:val="0"/>
        <w:autoSpaceDE w:val="0"/>
        <w:autoSpaceDN w:val="0"/>
        <w:adjustRightInd w:val="0"/>
        <w:spacing w:before="120" w:after="0" w:line="240" w:lineRule="auto"/>
        <w:ind w:firstLine="709"/>
        <w:jc w:val="both"/>
        <w:rPr>
          <w:rFonts w:ascii="Times New Roman" w:eastAsia="Times New Roman" w:hAnsi="Times New Roman" w:cs="Times New Roman"/>
          <w:spacing w:val="-4"/>
          <w:sz w:val="28"/>
          <w:szCs w:val="28"/>
          <w:lang w:eastAsia="ru-RU"/>
        </w:rPr>
      </w:pPr>
      <w:r w:rsidRPr="004032F4">
        <w:rPr>
          <w:rFonts w:ascii="Times New Roman" w:eastAsia="Times New Roman" w:hAnsi="Times New Roman" w:cs="Times New Roman"/>
          <w:spacing w:val="-4"/>
          <w:sz w:val="28"/>
          <w:szCs w:val="28"/>
          <w:lang w:eastAsia="ru-RU"/>
        </w:rPr>
        <w:t xml:space="preserve">Кроме того, </w:t>
      </w:r>
      <w:r w:rsidR="00415F0C" w:rsidRPr="004032F4">
        <w:rPr>
          <w:rFonts w:ascii="Times New Roman" w:eastAsia="Times New Roman" w:hAnsi="Times New Roman" w:cs="Times New Roman"/>
          <w:spacing w:val="-4"/>
          <w:sz w:val="28"/>
          <w:szCs w:val="28"/>
          <w:lang w:eastAsia="ru-RU"/>
        </w:rPr>
        <w:t>З</w:t>
      </w:r>
      <w:r w:rsidRPr="004032F4">
        <w:rPr>
          <w:rFonts w:ascii="Times New Roman" w:eastAsia="Times New Roman" w:hAnsi="Times New Roman" w:cs="Times New Roman"/>
          <w:spacing w:val="-4"/>
          <w:sz w:val="28"/>
          <w:szCs w:val="28"/>
          <w:lang w:eastAsia="ru-RU"/>
        </w:rPr>
        <w:t xml:space="preserve">аконопроектом планируется предоставление имущественных взносов в рамках реализации </w:t>
      </w:r>
      <w:r w:rsidR="009E1F25" w:rsidRPr="004032F4">
        <w:rPr>
          <w:rFonts w:ascii="Times New Roman" w:eastAsia="Times New Roman" w:hAnsi="Times New Roman" w:cs="Times New Roman"/>
          <w:spacing w:val="-4"/>
          <w:sz w:val="28"/>
          <w:szCs w:val="28"/>
          <w:lang w:eastAsia="ru-RU"/>
        </w:rPr>
        <w:t>пяти</w:t>
      </w:r>
      <w:r w:rsidRPr="004032F4">
        <w:rPr>
          <w:rFonts w:ascii="Times New Roman" w:eastAsia="Times New Roman" w:hAnsi="Times New Roman" w:cs="Times New Roman"/>
          <w:spacing w:val="-4"/>
          <w:sz w:val="28"/>
          <w:szCs w:val="28"/>
          <w:lang w:eastAsia="ru-RU"/>
        </w:rPr>
        <w:t xml:space="preserve"> комплексов процессных мероприятий:</w:t>
      </w:r>
    </w:p>
    <w:p w14:paraId="0588C9C4" w14:textId="77777777" w:rsidR="00F36A7C" w:rsidRPr="004032F4" w:rsidRDefault="00F36A7C" w:rsidP="00F36A7C">
      <w:pPr>
        <w:widowControl w:val="0"/>
        <w:autoSpaceDE w:val="0"/>
        <w:autoSpaceDN w:val="0"/>
        <w:adjustRightInd w:val="0"/>
        <w:spacing w:after="0" w:line="240" w:lineRule="auto"/>
        <w:ind w:firstLine="765"/>
        <w:contextualSpacing/>
        <w:jc w:val="both"/>
        <w:rPr>
          <w:rFonts w:ascii="Times New Roman" w:eastAsia="Times New Roman" w:hAnsi="Times New Roman" w:cs="Times New Roman"/>
          <w:color w:val="000000" w:themeColor="text1"/>
          <w:spacing w:val="-4"/>
          <w:lang w:eastAsia="ru-RU"/>
        </w:rPr>
      </w:pPr>
      <w:r w:rsidRPr="004032F4">
        <w:rPr>
          <w:rFonts w:ascii="Times New Roman" w:eastAsia="Times New Roman" w:hAnsi="Times New Roman" w:cs="Times New Roman"/>
          <w:spacing w:val="-4"/>
          <w:lang w:eastAsia="ru-RU"/>
        </w:rPr>
        <w:t xml:space="preserve">- «Государственная поддержка промышленных предприятий Тульской области» на 2025 год – </w:t>
      </w:r>
      <w:r w:rsidRPr="004032F4">
        <w:rPr>
          <w:rFonts w:ascii="Times New Roman" w:eastAsia="Times New Roman" w:hAnsi="Times New Roman" w:cs="Times New Roman"/>
          <w:color w:val="000000" w:themeColor="text1"/>
          <w:spacing w:val="-4"/>
          <w:lang w:eastAsia="ru-RU"/>
        </w:rPr>
        <w:t xml:space="preserve">289,6 млн. рублей, 2026 - 2027 годы по 189,6 млн. рублей, ежегодно; </w:t>
      </w:r>
    </w:p>
    <w:p w14:paraId="6BB10F6F" w14:textId="77777777" w:rsidR="00F36A7C" w:rsidRPr="004032F4" w:rsidRDefault="00F36A7C" w:rsidP="00F36A7C">
      <w:pPr>
        <w:widowControl w:val="0"/>
        <w:autoSpaceDE w:val="0"/>
        <w:autoSpaceDN w:val="0"/>
        <w:adjustRightInd w:val="0"/>
        <w:spacing w:after="0" w:line="240" w:lineRule="auto"/>
        <w:ind w:firstLine="765"/>
        <w:contextualSpacing/>
        <w:jc w:val="both"/>
        <w:rPr>
          <w:rFonts w:ascii="Times New Roman" w:eastAsia="Times New Roman" w:hAnsi="Times New Roman" w:cs="Times New Roman"/>
          <w:spacing w:val="-4"/>
          <w:lang w:eastAsia="ru-RU"/>
        </w:rPr>
      </w:pPr>
      <w:r w:rsidRPr="004032F4">
        <w:rPr>
          <w:rFonts w:ascii="Times New Roman" w:eastAsia="Times New Roman" w:hAnsi="Times New Roman" w:cs="Times New Roman"/>
          <w:spacing w:val="-4"/>
          <w:lang w:eastAsia="ru-RU"/>
        </w:rPr>
        <w:t>- «Формирование положительного инвестиционного имиджа Тульской области» на 2025 - 2027 годы по 161,1 млн. рублей, ежегодно;</w:t>
      </w:r>
    </w:p>
    <w:p w14:paraId="02AA0E1D" w14:textId="77777777" w:rsidR="00F36A7C" w:rsidRPr="004032F4" w:rsidRDefault="00F36A7C" w:rsidP="00F36A7C">
      <w:pPr>
        <w:widowControl w:val="0"/>
        <w:autoSpaceDE w:val="0"/>
        <w:autoSpaceDN w:val="0"/>
        <w:adjustRightInd w:val="0"/>
        <w:spacing w:after="0" w:line="240" w:lineRule="auto"/>
        <w:ind w:firstLine="765"/>
        <w:contextualSpacing/>
        <w:jc w:val="both"/>
        <w:rPr>
          <w:rFonts w:ascii="Times New Roman" w:eastAsia="Times New Roman" w:hAnsi="Times New Roman" w:cs="Times New Roman"/>
          <w:spacing w:val="-4"/>
          <w:lang w:eastAsia="ru-RU"/>
        </w:rPr>
      </w:pPr>
      <w:r w:rsidRPr="004032F4">
        <w:rPr>
          <w:rFonts w:ascii="Times New Roman" w:eastAsia="Times New Roman" w:hAnsi="Times New Roman" w:cs="Times New Roman"/>
          <w:spacing w:val="-4"/>
          <w:lang w:eastAsia="ru-RU"/>
        </w:rPr>
        <w:t>- «Обеспечение деятельности автономной некоммерческой организации «Научно-образовательный центр мирового уровня «</w:t>
      </w:r>
      <w:proofErr w:type="spellStart"/>
      <w:r w:rsidRPr="004032F4">
        <w:rPr>
          <w:rFonts w:ascii="Times New Roman" w:eastAsia="Times New Roman" w:hAnsi="Times New Roman" w:cs="Times New Roman"/>
          <w:spacing w:val="-4"/>
          <w:lang w:eastAsia="ru-RU"/>
        </w:rPr>
        <w:t>ТулаТЕХ</w:t>
      </w:r>
      <w:proofErr w:type="spellEnd"/>
      <w:r w:rsidRPr="004032F4">
        <w:rPr>
          <w:rFonts w:ascii="Times New Roman" w:eastAsia="Times New Roman" w:hAnsi="Times New Roman" w:cs="Times New Roman"/>
          <w:spacing w:val="-4"/>
          <w:lang w:eastAsia="ru-RU"/>
        </w:rPr>
        <w:t>» на 2025 - 2027 годы по 30,2 млн. рублей, ежегодно;</w:t>
      </w:r>
    </w:p>
    <w:p w14:paraId="50EC1A84" w14:textId="77777777" w:rsidR="00F36A7C" w:rsidRPr="004032F4" w:rsidRDefault="00F36A7C" w:rsidP="00F36A7C">
      <w:pPr>
        <w:widowControl w:val="0"/>
        <w:autoSpaceDE w:val="0"/>
        <w:autoSpaceDN w:val="0"/>
        <w:adjustRightInd w:val="0"/>
        <w:spacing w:after="0" w:line="240" w:lineRule="auto"/>
        <w:ind w:firstLine="765"/>
        <w:contextualSpacing/>
        <w:jc w:val="both"/>
        <w:rPr>
          <w:rFonts w:ascii="Times New Roman" w:eastAsia="Times New Roman" w:hAnsi="Times New Roman" w:cs="Times New Roman"/>
          <w:spacing w:val="-4"/>
          <w:lang w:eastAsia="ru-RU"/>
        </w:rPr>
      </w:pPr>
      <w:r w:rsidRPr="004032F4">
        <w:rPr>
          <w:rFonts w:ascii="Times New Roman" w:eastAsia="Times New Roman" w:hAnsi="Times New Roman" w:cs="Times New Roman"/>
          <w:spacing w:val="-4"/>
          <w:lang w:eastAsia="ru-RU"/>
        </w:rPr>
        <w:t>- «Защита прав граждан - участников долевого строительства при несостоятельности (банкротстве) застройщиков» на 2025 - 2027 годы по 15,0 млн. рублей, ежегодно;</w:t>
      </w:r>
    </w:p>
    <w:p w14:paraId="0CC22BB3" w14:textId="77777777" w:rsidR="00F36A7C" w:rsidRPr="004032F4" w:rsidRDefault="00F36A7C" w:rsidP="00F36A7C">
      <w:pPr>
        <w:widowControl w:val="0"/>
        <w:autoSpaceDE w:val="0"/>
        <w:autoSpaceDN w:val="0"/>
        <w:adjustRightInd w:val="0"/>
        <w:spacing w:after="0" w:line="240" w:lineRule="auto"/>
        <w:ind w:firstLine="765"/>
        <w:contextualSpacing/>
        <w:jc w:val="both"/>
        <w:rPr>
          <w:rFonts w:ascii="Times New Roman" w:eastAsia="Times New Roman" w:hAnsi="Times New Roman" w:cs="Times New Roman"/>
          <w:spacing w:val="-4"/>
          <w:lang w:eastAsia="ru-RU"/>
        </w:rPr>
      </w:pPr>
      <w:r w:rsidRPr="004032F4">
        <w:rPr>
          <w:rFonts w:ascii="Times New Roman" w:eastAsia="Times New Roman" w:hAnsi="Times New Roman" w:cs="Times New Roman"/>
          <w:spacing w:val="-4"/>
          <w:lang w:eastAsia="ru-RU"/>
        </w:rPr>
        <w:t xml:space="preserve">- «Имущественный взнос Фонду капитального ремонта Тульской области» на 2025 год – 114,7 млн. рублей, 2026 - 2027 годы по 96,0 млн. рублей, ежегодно. </w:t>
      </w:r>
    </w:p>
    <w:p w14:paraId="5CBDAB97" w14:textId="31F68390" w:rsidR="00A65E4C" w:rsidRPr="004032F4" w:rsidRDefault="00D875D8" w:rsidP="00B82C6F">
      <w:pPr>
        <w:widowControl w:val="0"/>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r w:rsidRPr="004032F4">
        <w:rPr>
          <w:rFonts w:ascii="Times New Roman" w:eastAsia="Calibri" w:hAnsi="Times New Roman" w:cs="Times New Roman"/>
          <w:b/>
          <w:bCs/>
          <w:iCs/>
          <w:spacing w:val="-4"/>
          <w:sz w:val="28"/>
          <w:szCs w:val="28"/>
          <w:lang w:eastAsia="ru-RU"/>
        </w:rPr>
        <w:t>3.4.</w:t>
      </w:r>
      <w:r w:rsidRPr="004032F4">
        <w:rPr>
          <w:rFonts w:ascii="Times New Roman" w:eastAsia="Calibri" w:hAnsi="Times New Roman" w:cs="Times New Roman"/>
          <w:bCs/>
          <w:iCs/>
          <w:spacing w:val="-4"/>
          <w:sz w:val="28"/>
          <w:szCs w:val="28"/>
          <w:lang w:eastAsia="ru-RU"/>
        </w:rPr>
        <w:t> </w:t>
      </w:r>
      <w:r w:rsidR="00A65E4C" w:rsidRPr="004032F4">
        <w:rPr>
          <w:rFonts w:ascii="Times New Roman" w:eastAsia="Times New Roman" w:hAnsi="Times New Roman" w:cs="Times New Roman"/>
          <w:sz w:val="28"/>
          <w:szCs w:val="28"/>
          <w:lang w:eastAsia="ru-RU"/>
        </w:rPr>
        <w:t xml:space="preserve">Информация о </w:t>
      </w:r>
      <w:r w:rsidR="00A65E4C" w:rsidRPr="004032F4">
        <w:rPr>
          <w:rFonts w:ascii="Times New Roman" w:eastAsia="Times New Roman" w:hAnsi="Times New Roman" w:cs="Times New Roman"/>
          <w:i/>
          <w:sz w:val="28"/>
          <w:szCs w:val="28"/>
          <w:lang w:eastAsia="ru-RU"/>
        </w:rPr>
        <w:t>зарезервированных бюджетных ассигнованиях</w:t>
      </w:r>
      <w:r w:rsidR="00A65E4C" w:rsidRPr="004032F4">
        <w:rPr>
          <w:rFonts w:ascii="Times New Roman" w:eastAsia="Times New Roman" w:hAnsi="Times New Roman" w:cs="Times New Roman"/>
          <w:sz w:val="28"/>
          <w:szCs w:val="28"/>
          <w:lang w:eastAsia="ru-RU"/>
        </w:rPr>
        <w:t xml:space="preserve"> (КВР 870 «Резервные средства») представлена в таблице. </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1668"/>
        <w:gridCol w:w="1131"/>
        <w:gridCol w:w="1079"/>
        <w:gridCol w:w="1082"/>
      </w:tblGrid>
      <w:tr w:rsidR="00F36A7C" w:rsidRPr="004032F4" w14:paraId="6C079A7D" w14:textId="77777777" w:rsidTr="00B16D2C">
        <w:trPr>
          <w:trHeight w:val="342"/>
          <w:tblHeader/>
          <w:jc w:val="center"/>
        </w:trPr>
        <w:tc>
          <w:tcPr>
            <w:tcW w:w="4350" w:type="dxa"/>
            <w:vMerge w:val="restart"/>
            <w:vAlign w:val="center"/>
            <w:hideMark/>
          </w:tcPr>
          <w:p w14:paraId="179EA3E6"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4"/>
                <w:szCs w:val="24"/>
                <w:lang w:eastAsia="ru-RU"/>
              </w:rPr>
            </w:pPr>
            <w:r w:rsidRPr="004032F4">
              <w:rPr>
                <w:rFonts w:ascii="Times New Roman" w:eastAsia="Times New Roman" w:hAnsi="Times New Roman" w:cs="Times New Roman"/>
                <w:sz w:val="24"/>
                <w:szCs w:val="24"/>
                <w:lang w:eastAsia="ru-RU"/>
              </w:rPr>
              <w:t>Наименование</w:t>
            </w:r>
          </w:p>
        </w:tc>
        <w:tc>
          <w:tcPr>
            <w:tcW w:w="1668" w:type="dxa"/>
            <w:vMerge w:val="restart"/>
            <w:shd w:val="clear" w:color="auto" w:fill="auto"/>
            <w:vAlign w:val="center"/>
            <w:hideMark/>
          </w:tcPr>
          <w:p w14:paraId="3C027031"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Закон о бюджете области на 2024 год, млн. рублей</w:t>
            </w:r>
          </w:p>
        </w:tc>
        <w:tc>
          <w:tcPr>
            <w:tcW w:w="3292" w:type="dxa"/>
            <w:gridSpan w:val="3"/>
            <w:shd w:val="clear" w:color="auto" w:fill="auto"/>
            <w:vAlign w:val="center"/>
            <w:hideMark/>
          </w:tcPr>
          <w:p w14:paraId="4496E623" w14:textId="77777777" w:rsidR="00F36A7C" w:rsidRPr="004032F4" w:rsidRDefault="00F36A7C" w:rsidP="00F36A7C">
            <w:pPr>
              <w:spacing w:after="0" w:line="240" w:lineRule="auto"/>
              <w:ind w:left="-57" w:right="-57"/>
              <w:jc w:val="center"/>
              <w:rPr>
                <w:rFonts w:ascii="Times New Roman" w:eastAsia="Times New Roman" w:hAnsi="Times New Roman" w:cs="Times New Roman"/>
                <w:sz w:val="18"/>
                <w:szCs w:val="18"/>
                <w:lang w:eastAsia="ru-RU"/>
              </w:rPr>
            </w:pPr>
            <w:r w:rsidRPr="004032F4">
              <w:rPr>
                <w:rFonts w:ascii="Times New Roman" w:eastAsia="Times New Roman" w:hAnsi="Times New Roman" w:cs="Times New Roman"/>
                <w:sz w:val="18"/>
                <w:szCs w:val="18"/>
                <w:lang w:eastAsia="ru-RU"/>
              </w:rPr>
              <w:t>Законопроект, млн. рублей</w:t>
            </w:r>
          </w:p>
        </w:tc>
      </w:tr>
      <w:tr w:rsidR="00F36A7C" w:rsidRPr="004032F4" w14:paraId="2FD264B5" w14:textId="77777777" w:rsidTr="00B16D2C">
        <w:trPr>
          <w:trHeight w:val="316"/>
          <w:tblHeader/>
          <w:jc w:val="center"/>
        </w:trPr>
        <w:tc>
          <w:tcPr>
            <w:tcW w:w="4350" w:type="dxa"/>
            <w:vMerge/>
            <w:vAlign w:val="center"/>
            <w:hideMark/>
          </w:tcPr>
          <w:p w14:paraId="7ABE9C13" w14:textId="77777777" w:rsidR="00F36A7C" w:rsidRPr="004032F4" w:rsidRDefault="00F36A7C" w:rsidP="00F36A7C">
            <w:pPr>
              <w:spacing w:after="0" w:line="240" w:lineRule="auto"/>
              <w:ind w:left="-57" w:right="-57"/>
              <w:rPr>
                <w:rFonts w:ascii="Times New Roman" w:eastAsia="Times New Roman" w:hAnsi="Times New Roman" w:cs="Times New Roman"/>
                <w:sz w:val="24"/>
                <w:szCs w:val="24"/>
                <w:lang w:eastAsia="ru-RU"/>
              </w:rPr>
            </w:pPr>
          </w:p>
        </w:tc>
        <w:tc>
          <w:tcPr>
            <w:tcW w:w="1668" w:type="dxa"/>
            <w:vMerge/>
            <w:shd w:val="clear" w:color="auto" w:fill="auto"/>
            <w:vAlign w:val="center"/>
            <w:hideMark/>
          </w:tcPr>
          <w:p w14:paraId="7D76900A"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p>
        </w:tc>
        <w:tc>
          <w:tcPr>
            <w:tcW w:w="1131" w:type="dxa"/>
            <w:shd w:val="clear" w:color="auto" w:fill="auto"/>
            <w:vAlign w:val="center"/>
            <w:hideMark/>
          </w:tcPr>
          <w:p w14:paraId="4880DBAC" w14:textId="77777777" w:rsidR="00F36A7C" w:rsidRPr="004032F4" w:rsidRDefault="00F36A7C" w:rsidP="00F36A7C">
            <w:pPr>
              <w:spacing w:after="0" w:line="240" w:lineRule="auto"/>
              <w:ind w:left="-57" w:right="-57"/>
              <w:jc w:val="center"/>
              <w:rPr>
                <w:rFonts w:ascii="Times New Roman" w:eastAsia="Times New Roman" w:hAnsi="Times New Roman" w:cs="Times New Roman"/>
                <w:sz w:val="18"/>
                <w:szCs w:val="18"/>
                <w:lang w:eastAsia="ru-RU"/>
              </w:rPr>
            </w:pPr>
            <w:r w:rsidRPr="004032F4">
              <w:rPr>
                <w:rFonts w:ascii="Times New Roman" w:eastAsia="Times New Roman" w:hAnsi="Times New Roman" w:cs="Times New Roman"/>
                <w:sz w:val="18"/>
                <w:szCs w:val="18"/>
                <w:lang w:eastAsia="ru-RU"/>
              </w:rPr>
              <w:t>2025 год</w:t>
            </w:r>
          </w:p>
        </w:tc>
        <w:tc>
          <w:tcPr>
            <w:tcW w:w="1079" w:type="dxa"/>
            <w:shd w:val="clear" w:color="auto" w:fill="auto"/>
            <w:vAlign w:val="center"/>
            <w:hideMark/>
          </w:tcPr>
          <w:p w14:paraId="1278420F" w14:textId="77777777" w:rsidR="00F36A7C" w:rsidRPr="004032F4" w:rsidRDefault="00F36A7C" w:rsidP="00F36A7C">
            <w:pPr>
              <w:spacing w:after="0" w:line="240" w:lineRule="auto"/>
              <w:ind w:left="-57" w:right="-57"/>
              <w:jc w:val="center"/>
              <w:rPr>
                <w:rFonts w:ascii="Times New Roman" w:eastAsia="Times New Roman" w:hAnsi="Times New Roman" w:cs="Times New Roman"/>
                <w:sz w:val="18"/>
                <w:szCs w:val="18"/>
                <w:lang w:eastAsia="ru-RU"/>
              </w:rPr>
            </w:pPr>
            <w:r w:rsidRPr="004032F4">
              <w:rPr>
                <w:rFonts w:ascii="Times New Roman" w:eastAsia="Times New Roman" w:hAnsi="Times New Roman" w:cs="Times New Roman"/>
                <w:sz w:val="18"/>
                <w:szCs w:val="18"/>
                <w:lang w:eastAsia="ru-RU"/>
              </w:rPr>
              <w:t>2026 год</w:t>
            </w:r>
          </w:p>
        </w:tc>
        <w:tc>
          <w:tcPr>
            <w:tcW w:w="1082" w:type="dxa"/>
            <w:shd w:val="clear" w:color="auto" w:fill="auto"/>
            <w:vAlign w:val="center"/>
            <w:hideMark/>
          </w:tcPr>
          <w:p w14:paraId="2A8AF47F" w14:textId="77777777" w:rsidR="00F36A7C" w:rsidRPr="004032F4" w:rsidRDefault="00F36A7C" w:rsidP="00F36A7C">
            <w:pPr>
              <w:spacing w:after="0" w:line="240" w:lineRule="auto"/>
              <w:ind w:left="-57" w:right="-57"/>
              <w:jc w:val="center"/>
              <w:rPr>
                <w:rFonts w:ascii="Times New Roman" w:eastAsia="Times New Roman" w:hAnsi="Times New Roman" w:cs="Times New Roman"/>
                <w:sz w:val="18"/>
                <w:szCs w:val="18"/>
                <w:lang w:eastAsia="ru-RU"/>
              </w:rPr>
            </w:pPr>
            <w:r w:rsidRPr="004032F4">
              <w:rPr>
                <w:rFonts w:ascii="Times New Roman" w:eastAsia="Times New Roman" w:hAnsi="Times New Roman" w:cs="Times New Roman"/>
                <w:sz w:val="18"/>
                <w:szCs w:val="18"/>
                <w:lang w:eastAsia="ru-RU"/>
              </w:rPr>
              <w:t>2027 год</w:t>
            </w:r>
          </w:p>
        </w:tc>
      </w:tr>
      <w:tr w:rsidR="00F36A7C" w:rsidRPr="004032F4" w14:paraId="3F21F915" w14:textId="77777777" w:rsidTr="00B16D2C">
        <w:trPr>
          <w:trHeight w:val="316"/>
          <w:jc w:val="center"/>
        </w:trPr>
        <w:tc>
          <w:tcPr>
            <w:tcW w:w="4350" w:type="dxa"/>
            <w:shd w:val="clear" w:color="auto" w:fill="auto"/>
            <w:vAlign w:val="center"/>
            <w:hideMark/>
          </w:tcPr>
          <w:p w14:paraId="356E52EA" w14:textId="77777777" w:rsidR="00F36A7C" w:rsidRPr="004032F4" w:rsidRDefault="00F36A7C" w:rsidP="00F36A7C">
            <w:pPr>
              <w:spacing w:after="0" w:line="240" w:lineRule="auto"/>
              <w:ind w:left="-57" w:right="-57"/>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Резервный фонд Правительства области</w:t>
            </w:r>
          </w:p>
        </w:tc>
        <w:tc>
          <w:tcPr>
            <w:tcW w:w="1668" w:type="dxa"/>
            <w:shd w:val="clear" w:color="auto" w:fill="auto"/>
            <w:vAlign w:val="center"/>
          </w:tcPr>
          <w:p w14:paraId="646FA8B5"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5 996,0</w:t>
            </w:r>
          </w:p>
        </w:tc>
        <w:tc>
          <w:tcPr>
            <w:tcW w:w="1131" w:type="dxa"/>
            <w:shd w:val="clear" w:color="auto" w:fill="auto"/>
            <w:vAlign w:val="center"/>
          </w:tcPr>
          <w:p w14:paraId="2AA80F75"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6 338,3</w:t>
            </w:r>
          </w:p>
        </w:tc>
        <w:tc>
          <w:tcPr>
            <w:tcW w:w="1079" w:type="dxa"/>
            <w:shd w:val="clear" w:color="auto" w:fill="auto"/>
          </w:tcPr>
          <w:p w14:paraId="0C65BDF8"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3 871,9</w:t>
            </w:r>
          </w:p>
        </w:tc>
        <w:tc>
          <w:tcPr>
            <w:tcW w:w="1082" w:type="dxa"/>
            <w:shd w:val="clear" w:color="auto" w:fill="auto"/>
          </w:tcPr>
          <w:p w14:paraId="36358AFE"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3 523,0</w:t>
            </w:r>
          </w:p>
        </w:tc>
      </w:tr>
      <w:tr w:rsidR="0064575A" w:rsidRPr="004032F4" w14:paraId="01AD7698" w14:textId="77777777" w:rsidTr="00B16D2C">
        <w:trPr>
          <w:trHeight w:val="316"/>
          <w:jc w:val="center"/>
        </w:trPr>
        <w:tc>
          <w:tcPr>
            <w:tcW w:w="4350" w:type="dxa"/>
            <w:shd w:val="clear" w:color="auto" w:fill="auto"/>
            <w:vAlign w:val="center"/>
          </w:tcPr>
          <w:p w14:paraId="7DB19BA9" w14:textId="5CA997FE" w:rsidR="0064575A" w:rsidRPr="004032F4" w:rsidRDefault="0064575A" w:rsidP="0064575A">
            <w:pPr>
              <w:spacing w:after="0" w:line="240" w:lineRule="auto"/>
              <w:ind w:left="-57" w:right="-57"/>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 xml:space="preserve">Достижение целевых показателей оплаты труда отдельных категорий медицинских работников </w:t>
            </w:r>
          </w:p>
        </w:tc>
        <w:tc>
          <w:tcPr>
            <w:tcW w:w="1668" w:type="dxa"/>
            <w:shd w:val="clear" w:color="auto" w:fill="auto"/>
            <w:vAlign w:val="center"/>
          </w:tcPr>
          <w:p w14:paraId="21ADAFB6" w14:textId="7138C8EE" w:rsidR="0064575A" w:rsidRPr="004032F4" w:rsidRDefault="0064575A" w:rsidP="0064575A">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453,7</w:t>
            </w:r>
          </w:p>
        </w:tc>
        <w:tc>
          <w:tcPr>
            <w:tcW w:w="1131" w:type="dxa"/>
            <w:shd w:val="clear" w:color="auto" w:fill="auto"/>
            <w:vAlign w:val="center"/>
          </w:tcPr>
          <w:p w14:paraId="1F3AA2C6" w14:textId="77777777" w:rsidR="0064575A" w:rsidRPr="004032F4" w:rsidRDefault="0064575A" w:rsidP="0064575A">
            <w:pPr>
              <w:spacing w:after="0" w:line="240" w:lineRule="auto"/>
              <w:ind w:left="-57" w:right="-57"/>
              <w:jc w:val="center"/>
              <w:rPr>
                <w:rFonts w:ascii="Times New Roman" w:eastAsia="Times New Roman" w:hAnsi="Times New Roman" w:cs="Times New Roman"/>
                <w:sz w:val="20"/>
                <w:szCs w:val="20"/>
                <w:lang w:eastAsia="ru-RU"/>
              </w:rPr>
            </w:pPr>
          </w:p>
        </w:tc>
        <w:tc>
          <w:tcPr>
            <w:tcW w:w="1079" w:type="dxa"/>
            <w:shd w:val="clear" w:color="auto" w:fill="auto"/>
          </w:tcPr>
          <w:p w14:paraId="27834E9D" w14:textId="77777777" w:rsidR="0064575A" w:rsidRPr="004032F4" w:rsidRDefault="0064575A" w:rsidP="0064575A">
            <w:pPr>
              <w:spacing w:after="0" w:line="240" w:lineRule="auto"/>
              <w:ind w:left="-57" w:right="-57"/>
              <w:jc w:val="center"/>
              <w:rPr>
                <w:rFonts w:ascii="Times New Roman" w:eastAsia="Times New Roman" w:hAnsi="Times New Roman" w:cs="Times New Roman"/>
                <w:sz w:val="20"/>
                <w:szCs w:val="20"/>
                <w:lang w:eastAsia="ru-RU"/>
              </w:rPr>
            </w:pPr>
          </w:p>
        </w:tc>
        <w:tc>
          <w:tcPr>
            <w:tcW w:w="1082" w:type="dxa"/>
            <w:shd w:val="clear" w:color="auto" w:fill="auto"/>
          </w:tcPr>
          <w:p w14:paraId="736B97DA" w14:textId="77777777" w:rsidR="0064575A" w:rsidRPr="004032F4" w:rsidRDefault="0064575A" w:rsidP="0064575A">
            <w:pPr>
              <w:spacing w:after="0" w:line="240" w:lineRule="auto"/>
              <w:ind w:left="-57" w:right="-57"/>
              <w:jc w:val="center"/>
              <w:rPr>
                <w:rFonts w:ascii="Times New Roman" w:eastAsia="Times New Roman" w:hAnsi="Times New Roman" w:cs="Times New Roman"/>
                <w:sz w:val="20"/>
                <w:szCs w:val="20"/>
                <w:lang w:eastAsia="ru-RU"/>
              </w:rPr>
            </w:pPr>
          </w:p>
        </w:tc>
      </w:tr>
      <w:tr w:rsidR="00F36A7C" w:rsidRPr="004032F4" w14:paraId="0ADD74E8" w14:textId="77777777" w:rsidTr="00B16D2C">
        <w:trPr>
          <w:trHeight w:val="573"/>
          <w:jc w:val="center"/>
        </w:trPr>
        <w:tc>
          <w:tcPr>
            <w:tcW w:w="4350" w:type="dxa"/>
            <w:shd w:val="clear" w:color="auto" w:fill="auto"/>
            <w:vAlign w:val="center"/>
          </w:tcPr>
          <w:p w14:paraId="436A8C51" w14:textId="77777777" w:rsidR="00F36A7C" w:rsidRPr="004032F4" w:rsidRDefault="00F36A7C" w:rsidP="00F36A7C">
            <w:pPr>
              <w:spacing w:after="0" w:line="240" w:lineRule="auto"/>
              <w:ind w:left="-57" w:right="-57"/>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Обеспечение расходных обязательств Тульской области в целях софинансирования субсидий из федерального бюджета</w:t>
            </w:r>
          </w:p>
        </w:tc>
        <w:tc>
          <w:tcPr>
            <w:tcW w:w="1668" w:type="dxa"/>
            <w:shd w:val="clear" w:color="auto" w:fill="auto"/>
            <w:vAlign w:val="center"/>
          </w:tcPr>
          <w:p w14:paraId="6995DA03" w14:textId="77777777" w:rsidR="00F36A7C" w:rsidRPr="004032F4" w:rsidRDefault="00F36A7C" w:rsidP="00F36A7C">
            <w:pPr>
              <w:spacing w:after="0" w:line="240" w:lineRule="auto"/>
              <w:ind w:left="-57" w:right="-57"/>
              <w:jc w:val="center"/>
              <w:rPr>
                <w:rFonts w:ascii="Times New Roman" w:eastAsia="Times New Roman" w:hAnsi="Times New Roman" w:cs="Times New Roman"/>
                <w:strike/>
                <w:sz w:val="20"/>
                <w:szCs w:val="20"/>
                <w:lang w:eastAsia="ru-RU"/>
              </w:rPr>
            </w:pPr>
            <w:r w:rsidRPr="004032F4">
              <w:rPr>
                <w:rFonts w:ascii="Times New Roman" w:eastAsia="Times New Roman" w:hAnsi="Times New Roman" w:cs="Times New Roman"/>
                <w:strike/>
                <w:sz w:val="20"/>
                <w:szCs w:val="20"/>
                <w:lang w:eastAsia="ru-RU"/>
              </w:rPr>
              <w:t>-</w:t>
            </w:r>
          </w:p>
        </w:tc>
        <w:tc>
          <w:tcPr>
            <w:tcW w:w="1131" w:type="dxa"/>
            <w:shd w:val="clear" w:color="auto" w:fill="auto"/>
            <w:vAlign w:val="center"/>
          </w:tcPr>
          <w:p w14:paraId="34D99615"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1 115,9</w:t>
            </w:r>
          </w:p>
        </w:tc>
        <w:tc>
          <w:tcPr>
            <w:tcW w:w="1079" w:type="dxa"/>
            <w:shd w:val="clear" w:color="auto" w:fill="auto"/>
            <w:vAlign w:val="center"/>
          </w:tcPr>
          <w:p w14:paraId="1A5F7A2C"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840,8</w:t>
            </w:r>
          </w:p>
        </w:tc>
        <w:tc>
          <w:tcPr>
            <w:tcW w:w="1082" w:type="dxa"/>
            <w:shd w:val="clear" w:color="auto" w:fill="auto"/>
            <w:vAlign w:val="center"/>
          </w:tcPr>
          <w:p w14:paraId="5BDEBBF4"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944,8</w:t>
            </w:r>
          </w:p>
        </w:tc>
      </w:tr>
      <w:tr w:rsidR="00F36A7C" w:rsidRPr="004032F4" w14:paraId="1002BE12" w14:textId="77777777" w:rsidTr="00B16D2C">
        <w:trPr>
          <w:trHeight w:val="468"/>
          <w:jc w:val="center"/>
        </w:trPr>
        <w:tc>
          <w:tcPr>
            <w:tcW w:w="4350" w:type="dxa"/>
            <w:shd w:val="clear" w:color="auto" w:fill="auto"/>
            <w:vAlign w:val="center"/>
          </w:tcPr>
          <w:p w14:paraId="6CDAA605" w14:textId="747F752F" w:rsidR="00F36A7C" w:rsidRPr="004032F4" w:rsidRDefault="00F36A7C" w:rsidP="006F1556">
            <w:pPr>
              <w:spacing w:after="0" w:line="240" w:lineRule="auto"/>
              <w:ind w:left="-57" w:right="-57"/>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Обеспечение расходных обязательств Тульской области в целях софинансирования субсидий из федерального бюджета на реализацию региональных проектов, направленных на реализацию Федеральных проектов, входящи</w:t>
            </w:r>
            <w:r w:rsidR="00821059" w:rsidRPr="004032F4">
              <w:rPr>
                <w:rFonts w:ascii="Times New Roman" w:eastAsia="Times New Roman" w:hAnsi="Times New Roman" w:cs="Times New Roman"/>
                <w:sz w:val="20"/>
                <w:szCs w:val="20"/>
                <w:lang w:eastAsia="ru-RU"/>
              </w:rPr>
              <w:t>х</w:t>
            </w:r>
            <w:r w:rsidRPr="004032F4">
              <w:rPr>
                <w:rFonts w:ascii="Times New Roman" w:eastAsia="Times New Roman" w:hAnsi="Times New Roman" w:cs="Times New Roman"/>
                <w:sz w:val="20"/>
                <w:szCs w:val="20"/>
                <w:lang w:eastAsia="ru-RU"/>
              </w:rPr>
              <w:t xml:space="preserve"> в состав соответствующих национальных проектов, определенных указом Президента Российской Федерации от 7 мая 2024 года №309 </w:t>
            </w:r>
            <w:r w:rsidR="006F1556" w:rsidRPr="004032F4">
              <w:rPr>
                <w:rFonts w:ascii="Times New Roman" w:eastAsia="Times New Roman" w:hAnsi="Times New Roman" w:cs="Times New Roman"/>
                <w:sz w:val="20"/>
                <w:szCs w:val="20"/>
                <w:lang w:eastAsia="ru-RU"/>
              </w:rPr>
              <w:t>«</w:t>
            </w:r>
            <w:r w:rsidRPr="004032F4">
              <w:rPr>
                <w:rFonts w:ascii="Times New Roman" w:eastAsia="Times New Roman" w:hAnsi="Times New Roman" w:cs="Times New Roman"/>
                <w:sz w:val="20"/>
                <w:szCs w:val="20"/>
                <w:lang w:eastAsia="ru-RU"/>
              </w:rPr>
              <w:t>О национальных целях развития Российской Федерации на период до 2030 года и на перспективу до 2036 года</w:t>
            </w:r>
            <w:r w:rsidR="006F1556" w:rsidRPr="004032F4">
              <w:rPr>
                <w:rFonts w:ascii="Times New Roman" w:eastAsia="Times New Roman" w:hAnsi="Times New Roman" w:cs="Times New Roman"/>
                <w:sz w:val="20"/>
                <w:szCs w:val="20"/>
                <w:lang w:eastAsia="ru-RU"/>
              </w:rPr>
              <w:t>»</w:t>
            </w:r>
          </w:p>
        </w:tc>
        <w:tc>
          <w:tcPr>
            <w:tcW w:w="1668" w:type="dxa"/>
            <w:shd w:val="clear" w:color="auto" w:fill="auto"/>
            <w:vAlign w:val="center"/>
          </w:tcPr>
          <w:p w14:paraId="1B20016F" w14:textId="77777777" w:rsidR="00F36A7C" w:rsidRPr="004032F4" w:rsidRDefault="00F36A7C" w:rsidP="00F36A7C">
            <w:pPr>
              <w:spacing w:after="0" w:line="240" w:lineRule="auto"/>
              <w:ind w:left="-57" w:right="-57"/>
              <w:jc w:val="center"/>
              <w:rPr>
                <w:rFonts w:ascii="Times New Roman" w:eastAsia="Times New Roman" w:hAnsi="Times New Roman" w:cs="Times New Roman"/>
                <w:strike/>
                <w:sz w:val="20"/>
                <w:szCs w:val="20"/>
                <w:lang w:eastAsia="ru-RU"/>
              </w:rPr>
            </w:pPr>
            <w:r w:rsidRPr="004032F4">
              <w:rPr>
                <w:rFonts w:ascii="Times New Roman" w:eastAsia="Times New Roman" w:hAnsi="Times New Roman" w:cs="Times New Roman"/>
                <w:strike/>
                <w:sz w:val="20"/>
                <w:szCs w:val="20"/>
                <w:lang w:eastAsia="ru-RU"/>
              </w:rPr>
              <w:t>-</w:t>
            </w:r>
          </w:p>
        </w:tc>
        <w:tc>
          <w:tcPr>
            <w:tcW w:w="1131" w:type="dxa"/>
            <w:shd w:val="clear" w:color="auto" w:fill="auto"/>
            <w:vAlign w:val="center"/>
          </w:tcPr>
          <w:p w14:paraId="35E3BD4A"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2 817,9</w:t>
            </w:r>
          </w:p>
        </w:tc>
        <w:tc>
          <w:tcPr>
            <w:tcW w:w="1079" w:type="dxa"/>
            <w:shd w:val="clear" w:color="auto" w:fill="auto"/>
            <w:vAlign w:val="center"/>
          </w:tcPr>
          <w:p w14:paraId="7CE1A209"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2 042,4</w:t>
            </w:r>
          </w:p>
        </w:tc>
        <w:tc>
          <w:tcPr>
            <w:tcW w:w="1082" w:type="dxa"/>
            <w:shd w:val="clear" w:color="auto" w:fill="auto"/>
            <w:vAlign w:val="center"/>
          </w:tcPr>
          <w:p w14:paraId="77123185"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1 656,8</w:t>
            </w:r>
          </w:p>
        </w:tc>
      </w:tr>
      <w:tr w:rsidR="00F36A7C" w:rsidRPr="004032F4" w14:paraId="7DB9F021" w14:textId="77777777" w:rsidTr="00B16D2C">
        <w:trPr>
          <w:trHeight w:val="316"/>
          <w:jc w:val="center"/>
        </w:trPr>
        <w:tc>
          <w:tcPr>
            <w:tcW w:w="4350" w:type="dxa"/>
            <w:shd w:val="clear" w:color="auto" w:fill="auto"/>
            <w:vAlign w:val="center"/>
          </w:tcPr>
          <w:p w14:paraId="54426AAA" w14:textId="77777777" w:rsidR="00F36A7C" w:rsidRPr="004032F4" w:rsidRDefault="00F36A7C" w:rsidP="00F36A7C">
            <w:pPr>
              <w:spacing w:after="0" w:line="240" w:lineRule="auto"/>
              <w:ind w:left="-57" w:right="-57"/>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Дополнительная выплата молодым семьям при рождении (усыновлении) одного ребенка</w:t>
            </w:r>
          </w:p>
        </w:tc>
        <w:tc>
          <w:tcPr>
            <w:tcW w:w="1668" w:type="dxa"/>
            <w:shd w:val="clear" w:color="auto" w:fill="auto"/>
            <w:vAlign w:val="center"/>
          </w:tcPr>
          <w:p w14:paraId="1302E975" w14:textId="77777777" w:rsidR="00F36A7C" w:rsidRPr="004032F4" w:rsidRDefault="00F36A7C" w:rsidP="00F36A7C">
            <w:pPr>
              <w:spacing w:after="0" w:line="240" w:lineRule="auto"/>
              <w:ind w:left="-57" w:right="-57"/>
              <w:jc w:val="center"/>
              <w:rPr>
                <w:rFonts w:ascii="Times New Roman" w:eastAsia="Times New Roman" w:hAnsi="Times New Roman" w:cs="Times New Roman"/>
                <w:b/>
                <w:strike/>
                <w:sz w:val="20"/>
                <w:szCs w:val="20"/>
                <w:lang w:eastAsia="ru-RU"/>
              </w:rPr>
            </w:pPr>
            <w:r w:rsidRPr="004032F4">
              <w:rPr>
                <w:rFonts w:ascii="Times New Roman" w:eastAsia="Times New Roman" w:hAnsi="Times New Roman" w:cs="Times New Roman"/>
                <w:b/>
                <w:strike/>
                <w:sz w:val="20"/>
                <w:szCs w:val="20"/>
                <w:lang w:eastAsia="ru-RU"/>
              </w:rPr>
              <w:t>-</w:t>
            </w:r>
          </w:p>
        </w:tc>
        <w:tc>
          <w:tcPr>
            <w:tcW w:w="1131" w:type="dxa"/>
            <w:shd w:val="clear" w:color="auto" w:fill="auto"/>
            <w:vAlign w:val="center"/>
          </w:tcPr>
          <w:p w14:paraId="71C2DDFB"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5,0</w:t>
            </w:r>
          </w:p>
        </w:tc>
        <w:tc>
          <w:tcPr>
            <w:tcW w:w="1079" w:type="dxa"/>
            <w:shd w:val="clear" w:color="auto" w:fill="auto"/>
            <w:vAlign w:val="center"/>
          </w:tcPr>
          <w:p w14:paraId="5BCAD407"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5,0</w:t>
            </w:r>
          </w:p>
        </w:tc>
        <w:tc>
          <w:tcPr>
            <w:tcW w:w="1082" w:type="dxa"/>
            <w:shd w:val="clear" w:color="auto" w:fill="auto"/>
            <w:vAlign w:val="center"/>
          </w:tcPr>
          <w:p w14:paraId="0F34F57A" w14:textId="77777777" w:rsidR="00F36A7C" w:rsidRPr="004032F4" w:rsidRDefault="00F36A7C" w:rsidP="00F36A7C">
            <w:pPr>
              <w:spacing w:after="0" w:line="240" w:lineRule="auto"/>
              <w:ind w:left="-57" w:right="-57"/>
              <w:jc w:val="center"/>
              <w:rPr>
                <w:rFonts w:ascii="Times New Roman" w:eastAsia="Times New Roman" w:hAnsi="Times New Roman" w:cs="Times New Roman"/>
                <w:sz w:val="20"/>
                <w:szCs w:val="20"/>
                <w:lang w:eastAsia="ru-RU"/>
              </w:rPr>
            </w:pPr>
            <w:r w:rsidRPr="004032F4">
              <w:rPr>
                <w:rFonts w:ascii="Times New Roman" w:eastAsia="Times New Roman" w:hAnsi="Times New Roman" w:cs="Times New Roman"/>
                <w:sz w:val="20"/>
                <w:szCs w:val="20"/>
                <w:lang w:eastAsia="ru-RU"/>
              </w:rPr>
              <w:t>5,0</w:t>
            </w:r>
          </w:p>
        </w:tc>
      </w:tr>
      <w:tr w:rsidR="00F36A7C" w:rsidRPr="004032F4" w14:paraId="3C4C756F" w14:textId="77777777" w:rsidTr="00B16D2C">
        <w:trPr>
          <w:trHeight w:val="316"/>
          <w:jc w:val="center"/>
        </w:trPr>
        <w:tc>
          <w:tcPr>
            <w:tcW w:w="4350" w:type="dxa"/>
            <w:shd w:val="clear" w:color="auto" w:fill="auto"/>
            <w:vAlign w:val="center"/>
            <w:hideMark/>
          </w:tcPr>
          <w:p w14:paraId="613E25A3" w14:textId="77777777" w:rsidR="00F36A7C" w:rsidRPr="004032F4" w:rsidRDefault="00F36A7C" w:rsidP="00F36A7C">
            <w:pPr>
              <w:spacing w:after="0" w:line="240" w:lineRule="auto"/>
              <w:ind w:left="-57" w:right="-57"/>
              <w:rPr>
                <w:rFonts w:ascii="Times New Roman" w:eastAsia="Times New Roman" w:hAnsi="Times New Roman" w:cs="Times New Roman"/>
                <w:b/>
                <w:sz w:val="20"/>
                <w:szCs w:val="20"/>
                <w:lang w:eastAsia="ru-RU"/>
              </w:rPr>
            </w:pPr>
            <w:r w:rsidRPr="004032F4">
              <w:rPr>
                <w:rFonts w:ascii="Times New Roman" w:eastAsia="Times New Roman" w:hAnsi="Times New Roman" w:cs="Times New Roman"/>
                <w:b/>
                <w:sz w:val="20"/>
                <w:szCs w:val="20"/>
                <w:lang w:eastAsia="ru-RU"/>
              </w:rPr>
              <w:t>ИТОГО</w:t>
            </w:r>
          </w:p>
        </w:tc>
        <w:tc>
          <w:tcPr>
            <w:tcW w:w="1668" w:type="dxa"/>
            <w:shd w:val="clear" w:color="auto" w:fill="auto"/>
            <w:vAlign w:val="center"/>
          </w:tcPr>
          <w:p w14:paraId="2836BD9A" w14:textId="61659760" w:rsidR="00F36A7C" w:rsidRPr="004032F4" w:rsidRDefault="0064575A" w:rsidP="00F36A7C">
            <w:pPr>
              <w:spacing w:after="0" w:line="240" w:lineRule="auto"/>
              <w:ind w:left="-57" w:right="-57"/>
              <w:jc w:val="center"/>
              <w:rPr>
                <w:rFonts w:ascii="Times New Roman" w:eastAsia="Times New Roman" w:hAnsi="Times New Roman" w:cs="Times New Roman"/>
                <w:b/>
                <w:sz w:val="20"/>
                <w:szCs w:val="20"/>
                <w:lang w:eastAsia="ru-RU"/>
              </w:rPr>
            </w:pPr>
            <w:r w:rsidRPr="004032F4">
              <w:rPr>
                <w:rFonts w:ascii="Times New Roman" w:eastAsia="Times New Roman" w:hAnsi="Times New Roman" w:cs="Times New Roman"/>
                <w:b/>
                <w:sz w:val="20"/>
                <w:szCs w:val="20"/>
                <w:lang w:eastAsia="ru-RU"/>
              </w:rPr>
              <w:t>6 449,7</w:t>
            </w:r>
          </w:p>
        </w:tc>
        <w:tc>
          <w:tcPr>
            <w:tcW w:w="1131" w:type="dxa"/>
            <w:shd w:val="clear" w:color="auto" w:fill="auto"/>
            <w:vAlign w:val="center"/>
          </w:tcPr>
          <w:p w14:paraId="57147930" w14:textId="77777777" w:rsidR="00F36A7C" w:rsidRPr="004032F4" w:rsidRDefault="00F36A7C" w:rsidP="00F36A7C">
            <w:pPr>
              <w:spacing w:after="0" w:line="240" w:lineRule="auto"/>
              <w:ind w:left="-57" w:right="-57"/>
              <w:jc w:val="center"/>
              <w:rPr>
                <w:rFonts w:ascii="Times New Roman" w:eastAsia="Times New Roman" w:hAnsi="Times New Roman" w:cs="Times New Roman"/>
                <w:b/>
                <w:sz w:val="20"/>
                <w:szCs w:val="20"/>
                <w:lang w:eastAsia="ru-RU"/>
              </w:rPr>
            </w:pPr>
            <w:r w:rsidRPr="004032F4">
              <w:rPr>
                <w:rFonts w:ascii="Times New Roman" w:eastAsia="Times New Roman" w:hAnsi="Times New Roman" w:cs="Times New Roman"/>
                <w:b/>
                <w:sz w:val="20"/>
                <w:szCs w:val="20"/>
                <w:lang w:eastAsia="ru-RU"/>
              </w:rPr>
              <w:t>10 277,1</w:t>
            </w:r>
          </w:p>
        </w:tc>
        <w:tc>
          <w:tcPr>
            <w:tcW w:w="1079" w:type="dxa"/>
            <w:shd w:val="clear" w:color="auto" w:fill="auto"/>
            <w:vAlign w:val="center"/>
          </w:tcPr>
          <w:p w14:paraId="477A01C6" w14:textId="77777777" w:rsidR="00F36A7C" w:rsidRPr="004032F4" w:rsidRDefault="00F36A7C" w:rsidP="00F36A7C">
            <w:pPr>
              <w:spacing w:after="0" w:line="240" w:lineRule="auto"/>
              <w:ind w:left="-57" w:right="-57"/>
              <w:jc w:val="center"/>
              <w:rPr>
                <w:rFonts w:ascii="Times New Roman" w:eastAsia="Times New Roman" w:hAnsi="Times New Roman" w:cs="Times New Roman"/>
                <w:b/>
                <w:sz w:val="20"/>
                <w:szCs w:val="20"/>
                <w:lang w:eastAsia="ru-RU"/>
              </w:rPr>
            </w:pPr>
            <w:r w:rsidRPr="004032F4">
              <w:rPr>
                <w:rFonts w:ascii="Times New Roman" w:eastAsia="Times New Roman" w:hAnsi="Times New Roman" w:cs="Times New Roman"/>
                <w:b/>
                <w:sz w:val="20"/>
                <w:szCs w:val="20"/>
                <w:lang w:eastAsia="ru-RU"/>
              </w:rPr>
              <w:t>6 760,1</w:t>
            </w:r>
          </w:p>
        </w:tc>
        <w:tc>
          <w:tcPr>
            <w:tcW w:w="1082" w:type="dxa"/>
            <w:shd w:val="clear" w:color="auto" w:fill="auto"/>
            <w:vAlign w:val="center"/>
          </w:tcPr>
          <w:p w14:paraId="2EA2F2E1" w14:textId="77777777" w:rsidR="00F36A7C" w:rsidRPr="004032F4" w:rsidRDefault="00F36A7C" w:rsidP="00F36A7C">
            <w:pPr>
              <w:spacing w:after="0" w:line="240" w:lineRule="auto"/>
              <w:ind w:left="-57" w:right="-57"/>
              <w:jc w:val="center"/>
              <w:rPr>
                <w:rFonts w:ascii="Times New Roman" w:eastAsia="Times New Roman" w:hAnsi="Times New Roman" w:cs="Times New Roman"/>
                <w:b/>
                <w:sz w:val="20"/>
                <w:szCs w:val="20"/>
                <w:lang w:eastAsia="ru-RU"/>
              </w:rPr>
            </w:pPr>
            <w:r w:rsidRPr="004032F4">
              <w:rPr>
                <w:rFonts w:ascii="Times New Roman" w:eastAsia="Times New Roman" w:hAnsi="Times New Roman" w:cs="Times New Roman"/>
                <w:b/>
                <w:sz w:val="20"/>
                <w:szCs w:val="20"/>
                <w:lang w:eastAsia="ru-RU"/>
              </w:rPr>
              <w:t>6 129,6</w:t>
            </w:r>
          </w:p>
        </w:tc>
      </w:tr>
    </w:tbl>
    <w:p w14:paraId="2BF813F9" w14:textId="19AA19AF" w:rsidR="007B2026" w:rsidRPr="004032F4" w:rsidRDefault="00585A97" w:rsidP="00091BE2">
      <w:pPr>
        <w:tabs>
          <w:tab w:val="left" w:pos="993"/>
        </w:tabs>
        <w:spacing w:before="120"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Как видно из представленной таблицы, объем зарезервированных средств на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 xml:space="preserve"> год</w:t>
      </w:r>
      <w:r w:rsidR="00C86D6F" w:rsidRPr="004032F4">
        <w:rPr>
          <w:rFonts w:ascii="Times New Roman" w:eastAsia="Times New Roman" w:hAnsi="Times New Roman" w:cs="Times New Roman"/>
          <w:sz w:val="28"/>
          <w:szCs w:val="28"/>
          <w:lang w:eastAsia="ru-RU"/>
        </w:rPr>
        <w:t>,</w:t>
      </w:r>
      <w:r w:rsidRPr="004032F4">
        <w:rPr>
          <w:rFonts w:ascii="Times New Roman" w:eastAsia="Times New Roman" w:hAnsi="Times New Roman" w:cs="Times New Roman"/>
          <w:sz w:val="28"/>
          <w:szCs w:val="28"/>
          <w:lang w:eastAsia="ru-RU"/>
        </w:rPr>
        <w:t xml:space="preserve"> согласно Законопроект</w:t>
      </w:r>
      <w:r w:rsidR="00C86D6F" w:rsidRPr="004032F4">
        <w:rPr>
          <w:rFonts w:ascii="Times New Roman" w:eastAsia="Times New Roman" w:hAnsi="Times New Roman" w:cs="Times New Roman"/>
          <w:sz w:val="28"/>
          <w:szCs w:val="28"/>
          <w:lang w:eastAsia="ru-RU"/>
        </w:rPr>
        <w:t>у,</w:t>
      </w:r>
      <w:r w:rsidRPr="004032F4">
        <w:rPr>
          <w:rFonts w:ascii="Times New Roman" w:eastAsia="Times New Roman" w:hAnsi="Times New Roman" w:cs="Times New Roman"/>
          <w:sz w:val="28"/>
          <w:szCs w:val="28"/>
          <w:lang w:eastAsia="ru-RU"/>
        </w:rPr>
        <w:t xml:space="preserve"> планируется в сумме </w:t>
      </w:r>
      <w:r w:rsidR="00091BE2" w:rsidRPr="004032F4">
        <w:rPr>
          <w:rFonts w:ascii="Times New Roman" w:eastAsia="Times New Roman" w:hAnsi="Times New Roman" w:cs="Times New Roman"/>
          <w:sz w:val="28"/>
          <w:szCs w:val="28"/>
          <w:lang w:eastAsia="ru-RU"/>
        </w:rPr>
        <w:t>10 277,1 млн. рублей, в том числе</w:t>
      </w:r>
      <w:r w:rsidR="007B2026" w:rsidRPr="004032F4">
        <w:rPr>
          <w:rFonts w:ascii="Times New Roman" w:eastAsia="Times New Roman" w:hAnsi="Times New Roman" w:cs="Times New Roman"/>
          <w:sz w:val="28"/>
          <w:szCs w:val="28"/>
          <w:lang w:eastAsia="ru-RU"/>
        </w:rPr>
        <w:t xml:space="preserve">: </w:t>
      </w:r>
      <w:r w:rsidR="00091BE2" w:rsidRPr="004032F4">
        <w:rPr>
          <w:rFonts w:ascii="Times New Roman" w:eastAsia="Times New Roman" w:hAnsi="Times New Roman" w:cs="Times New Roman"/>
          <w:sz w:val="28"/>
          <w:szCs w:val="28"/>
          <w:lang w:eastAsia="ru-RU"/>
        </w:rPr>
        <w:t xml:space="preserve">6 338,3 </w:t>
      </w:r>
      <w:r w:rsidRPr="004032F4">
        <w:rPr>
          <w:rFonts w:ascii="Times New Roman" w:eastAsia="Times New Roman" w:hAnsi="Times New Roman" w:cs="Times New Roman"/>
          <w:sz w:val="28"/>
          <w:szCs w:val="28"/>
          <w:lang w:eastAsia="ru-RU"/>
        </w:rPr>
        <w:t xml:space="preserve">млн. рублей </w:t>
      </w:r>
      <w:r w:rsidR="00B71485" w:rsidRPr="004032F4">
        <w:rPr>
          <w:rFonts w:ascii="Times New Roman" w:eastAsia="Times New Roman" w:hAnsi="Times New Roman" w:cs="Times New Roman"/>
          <w:sz w:val="28"/>
          <w:szCs w:val="28"/>
          <w:lang w:eastAsia="ru-RU"/>
        </w:rPr>
        <w:t xml:space="preserve">– </w:t>
      </w:r>
      <w:r w:rsidRPr="004032F4">
        <w:rPr>
          <w:rFonts w:ascii="Times New Roman" w:eastAsia="Times New Roman" w:hAnsi="Times New Roman" w:cs="Times New Roman"/>
          <w:sz w:val="28"/>
          <w:szCs w:val="28"/>
          <w:lang w:eastAsia="ru-RU"/>
        </w:rPr>
        <w:t xml:space="preserve">средства резервного фонда Правительства Тульской области, что составляет </w:t>
      </w:r>
      <w:r w:rsidR="00091BE2" w:rsidRPr="004032F4">
        <w:rPr>
          <w:rFonts w:ascii="Times New Roman" w:eastAsia="Times New Roman" w:hAnsi="Times New Roman" w:cs="Times New Roman"/>
          <w:sz w:val="28"/>
          <w:szCs w:val="28"/>
          <w:lang w:eastAsia="ru-RU"/>
        </w:rPr>
        <w:t>большую часть зарезервированных средств на 2025 год (61,7%)</w:t>
      </w:r>
      <w:r w:rsidR="007B2026" w:rsidRPr="004032F4">
        <w:rPr>
          <w:rFonts w:ascii="Times New Roman" w:eastAsia="Times New Roman" w:hAnsi="Times New Roman" w:cs="Times New Roman"/>
          <w:sz w:val="28"/>
          <w:szCs w:val="28"/>
          <w:lang w:eastAsia="ru-RU"/>
        </w:rPr>
        <w:t xml:space="preserve">; 3 938,3 млн. рублей – </w:t>
      </w:r>
      <w:r w:rsidR="007B2026" w:rsidRPr="004032F4">
        <w:rPr>
          <w:rFonts w:ascii="Times New Roman" w:eastAsia="Times New Roman" w:hAnsi="Times New Roman" w:cs="Times New Roman"/>
          <w:sz w:val="28"/>
          <w:szCs w:val="28"/>
          <w:lang w:eastAsia="ru-RU"/>
        </w:rPr>
        <w:lastRenderedPageBreak/>
        <w:t>зарезервированные средства в целях софинансирования субсидий из федерального бюджета, в том числе в рамках финансирования региональных проектов</w:t>
      </w:r>
      <w:r w:rsidR="00D3594F">
        <w:rPr>
          <w:rFonts w:ascii="Times New Roman" w:eastAsia="Times New Roman" w:hAnsi="Times New Roman" w:cs="Times New Roman"/>
          <w:sz w:val="28"/>
          <w:szCs w:val="28"/>
          <w:lang w:eastAsia="ru-RU"/>
        </w:rPr>
        <w:t>, дополнительные выплаты молодым семьям</w:t>
      </w:r>
      <w:r w:rsidR="002B01AF" w:rsidRPr="004032F4">
        <w:rPr>
          <w:rFonts w:ascii="Times New Roman" w:eastAsia="Times New Roman" w:hAnsi="Times New Roman" w:cs="Times New Roman"/>
          <w:sz w:val="28"/>
          <w:szCs w:val="28"/>
          <w:lang w:eastAsia="ru-RU"/>
        </w:rPr>
        <w:t xml:space="preserve"> (в соответствии со статьей 23 Законопроекта распределение зарезервированных средств предусматривается путем внесения изменений в сводную бюджетную роспись без внесения изменений в Закон о бюджете области)</w:t>
      </w:r>
      <w:r w:rsidR="007B2026" w:rsidRPr="004032F4">
        <w:rPr>
          <w:rFonts w:ascii="Times New Roman" w:eastAsia="Times New Roman" w:hAnsi="Times New Roman" w:cs="Times New Roman"/>
          <w:sz w:val="28"/>
          <w:szCs w:val="28"/>
          <w:lang w:eastAsia="ru-RU"/>
        </w:rPr>
        <w:t>.</w:t>
      </w:r>
    </w:p>
    <w:p w14:paraId="214BCB1A" w14:textId="34E25D4C" w:rsidR="00091BE2" w:rsidRPr="004032F4" w:rsidRDefault="008F1FF2" w:rsidP="00091BE2">
      <w:pPr>
        <w:autoSpaceDE w:val="0"/>
        <w:autoSpaceDN w:val="0"/>
        <w:spacing w:before="120" w:after="0" w:line="240" w:lineRule="auto"/>
        <w:ind w:firstLine="709"/>
        <w:jc w:val="both"/>
        <w:rPr>
          <w:rFonts w:ascii="Times New Roman" w:eastAsia="Calibri" w:hAnsi="Times New Roman" w:cs="Times New Roman"/>
          <w:spacing w:val="-4"/>
          <w:sz w:val="28"/>
          <w:szCs w:val="28"/>
          <w:lang w:eastAsia="ru-RU"/>
        </w:rPr>
      </w:pPr>
      <w:r w:rsidRPr="004032F4">
        <w:rPr>
          <w:rFonts w:ascii="Times New Roman" w:eastAsia="Calibri" w:hAnsi="Times New Roman" w:cs="Times New Roman"/>
          <w:bCs/>
          <w:iCs/>
          <w:spacing w:val="-4"/>
          <w:sz w:val="28"/>
          <w:szCs w:val="28"/>
          <w:lang w:eastAsia="ru-RU"/>
        </w:rPr>
        <w:t>Резервный фонд Правительства области</w:t>
      </w:r>
      <w:r w:rsidRPr="004032F4">
        <w:rPr>
          <w:rFonts w:ascii="Times New Roman" w:eastAsia="Calibri" w:hAnsi="Times New Roman" w:cs="Times New Roman"/>
          <w:spacing w:val="-4"/>
          <w:sz w:val="28"/>
          <w:szCs w:val="28"/>
          <w:lang w:eastAsia="ru-RU"/>
        </w:rPr>
        <w:t xml:space="preserve"> на </w:t>
      </w:r>
      <w:r w:rsidR="00933509" w:rsidRPr="004032F4">
        <w:rPr>
          <w:rFonts w:ascii="Times New Roman" w:eastAsia="Calibri" w:hAnsi="Times New Roman" w:cs="Times New Roman"/>
          <w:spacing w:val="-4"/>
          <w:sz w:val="28"/>
          <w:szCs w:val="28"/>
          <w:lang w:eastAsia="ru-RU"/>
        </w:rPr>
        <w:t>2025</w:t>
      </w:r>
      <w:r w:rsidRPr="004032F4">
        <w:rPr>
          <w:rFonts w:ascii="Times New Roman" w:eastAsia="Calibri" w:hAnsi="Times New Roman" w:cs="Times New Roman"/>
          <w:spacing w:val="-4"/>
          <w:sz w:val="28"/>
          <w:szCs w:val="28"/>
          <w:lang w:eastAsia="ru-RU"/>
        </w:rPr>
        <w:t>-</w:t>
      </w:r>
      <w:r w:rsidR="00933509" w:rsidRPr="004032F4">
        <w:rPr>
          <w:rFonts w:ascii="Times New Roman" w:eastAsia="Calibri" w:hAnsi="Times New Roman" w:cs="Times New Roman"/>
          <w:spacing w:val="-4"/>
          <w:sz w:val="28"/>
          <w:szCs w:val="28"/>
          <w:lang w:eastAsia="ru-RU"/>
        </w:rPr>
        <w:t>2027</w:t>
      </w:r>
      <w:r w:rsidRPr="004032F4">
        <w:rPr>
          <w:rFonts w:ascii="Times New Roman" w:eastAsia="Calibri" w:hAnsi="Times New Roman" w:cs="Times New Roman"/>
          <w:spacing w:val="-4"/>
          <w:sz w:val="28"/>
          <w:szCs w:val="28"/>
          <w:lang w:eastAsia="ru-RU"/>
        </w:rPr>
        <w:t xml:space="preserve"> годы утверждается в статье </w:t>
      </w:r>
      <w:r w:rsidR="00091BE2" w:rsidRPr="004032F4">
        <w:rPr>
          <w:rFonts w:ascii="Times New Roman" w:eastAsia="Calibri" w:hAnsi="Times New Roman" w:cs="Times New Roman"/>
          <w:spacing w:val="-4"/>
          <w:sz w:val="28"/>
          <w:szCs w:val="28"/>
          <w:lang w:eastAsia="ru-RU"/>
        </w:rPr>
        <w:t xml:space="preserve">9 Законопроекта в объеме 6 338,3 млн. рублей в 2025 году, 3 871,9 млн. руб. в 2026 году, 3 523,0 млн. рублей в 2027 году. </w:t>
      </w:r>
    </w:p>
    <w:p w14:paraId="447EC986" w14:textId="7E49B001" w:rsidR="00F040E7" w:rsidRPr="004032F4" w:rsidRDefault="008F1FF2" w:rsidP="00091BE2">
      <w:pPr>
        <w:tabs>
          <w:tab w:val="left" w:pos="993"/>
        </w:tabs>
        <w:spacing w:before="120" w:after="0" w:line="240" w:lineRule="auto"/>
        <w:ind w:firstLine="709"/>
        <w:jc w:val="both"/>
        <w:rPr>
          <w:rFonts w:ascii="Times New Roman" w:eastAsia="Calibri" w:hAnsi="Times New Roman" w:cs="Times New Roman"/>
          <w:spacing w:val="-4"/>
          <w:lang w:eastAsia="ru-RU"/>
        </w:rPr>
      </w:pPr>
      <w:r w:rsidRPr="004032F4">
        <w:rPr>
          <w:rFonts w:ascii="Times New Roman" w:eastAsia="Calibri" w:hAnsi="Times New Roman" w:cs="Times New Roman"/>
          <w:spacing w:val="-4"/>
          <w:lang w:eastAsia="ru-RU"/>
        </w:rPr>
        <w:t>Справочно: объем средств Резервного фонда Правительства области на 202</w:t>
      </w:r>
      <w:r w:rsidR="00091BE2" w:rsidRPr="004032F4">
        <w:rPr>
          <w:rFonts w:ascii="Times New Roman" w:eastAsia="Calibri" w:hAnsi="Times New Roman" w:cs="Times New Roman"/>
          <w:spacing w:val="-4"/>
          <w:lang w:eastAsia="ru-RU"/>
        </w:rPr>
        <w:t>4</w:t>
      </w:r>
      <w:r w:rsidRPr="004032F4">
        <w:rPr>
          <w:rFonts w:ascii="Times New Roman" w:eastAsia="Calibri" w:hAnsi="Times New Roman" w:cs="Times New Roman"/>
          <w:spacing w:val="-4"/>
          <w:lang w:eastAsia="ru-RU"/>
        </w:rPr>
        <w:t xml:space="preserve"> год </w:t>
      </w:r>
      <w:r w:rsidR="00091BE2" w:rsidRPr="004032F4">
        <w:rPr>
          <w:rFonts w:ascii="Times New Roman" w:eastAsia="Calibri" w:hAnsi="Times New Roman" w:cs="Times New Roman"/>
          <w:spacing w:val="-4"/>
          <w:lang w:eastAsia="ru-RU"/>
        </w:rPr>
        <w:t>предусмотрен в объеме 5 996,0</w:t>
      </w:r>
      <w:r w:rsidRPr="004032F4">
        <w:rPr>
          <w:rFonts w:ascii="Times New Roman" w:eastAsia="Calibri" w:hAnsi="Times New Roman" w:cs="Times New Roman"/>
          <w:spacing w:val="-4"/>
          <w:lang w:eastAsia="ru-RU"/>
        </w:rPr>
        <w:t xml:space="preserve"> млн. рублей</w:t>
      </w:r>
      <w:r w:rsidR="00F84904" w:rsidRPr="004032F4">
        <w:rPr>
          <w:rFonts w:ascii="Times New Roman" w:eastAsia="Calibri" w:hAnsi="Times New Roman" w:cs="Times New Roman"/>
          <w:spacing w:val="-4"/>
          <w:lang w:eastAsia="ru-RU"/>
        </w:rPr>
        <w:t>.</w:t>
      </w:r>
      <w:r w:rsidRPr="004032F4">
        <w:rPr>
          <w:rFonts w:ascii="Times New Roman" w:eastAsia="Calibri" w:hAnsi="Times New Roman" w:cs="Times New Roman"/>
          <w:spacing w:val="-4"/>
          <w:lang w:eastAsia="ru-RU"/>
        </w:rPr>
        <w:t xml:space="preserve"> </w:t>
      </w:r>
    </w:p>
    <w:p w14:paraId="5F05B4D8" w14:textId="3496F69C" w:rsidR="008F1FF2" w:rsidRPr="004032F4" w:rsidRDefault="008F1FF2" w:rsidP="008F1FF2">
      <w:pPr>
        <w:autoSpaceDE w:val="0"/>
        <w:autoSpaceDN w:val="0"/>
        <w:spacing w:before="120" w:after="0" w:line="240" w:lineRule="auto"/>
        <w:ind w:firstLine="709"/>
        <w:jc w:val="both"/>
        <w:rPr>
          <w:rFonts w:ascii="Times New Roman" w:eastAsia="Calibri" w:hAnsi="Times New Roman" w:cs="Times New Roman"/>
          <w:spacing w:val="-4"/>
          <w:sz w:val="28"/>
          <w:szCs w:val="28"/>
          <w:lang w:eastAsia="ru-RU"/>
        </w:rPr>
      </w:pPr>
      <w:r w:rsidRPr="004032F4">
        <w:rPr>
          <w:rFonts w:ascii="Times New Roman" w:eastAsia="Calibri" w:hAnsi="Times New Roman" w:cs="Times New Roman"/>
          <w:spacing w:val="-4"/>
          <w:sz w:val="28"/>
          <w:szCs w:val="28"/>
          <w:lang w:eastAsia="ru-RU"/>
        </w:rPr>
        <w:t xml:space="preserve">Доля средств Резервного фонда Правительства Тульской области на </w:t>
      </w:r>
      <w:r w:rsidR="00933509" w:rsidRPr="004032F4">
        <w:rPr>
          <w:rFonts w:ascii="Times New Roman" w:eastAsia="Calibri" w:hAnsi="Times New Roman" w:cs="Times New Roman"/>
          <w:spacing w:val="-4"/>
          <w:sz w:val="28"/>
          <w:szCs w:val="28"/>
          <w:lang w:eastAsia="ru-RU"/>
        </w:rPr>
        <w:t>2025</w:t>
      </w:r>
      <w:r w:rsidRPr="004032F4">
        <w:rPr>
          <w:rFonts w:ascii="Times New Roman" w:eastAsia="Calibri" w:hAnsi="Times New Roman" w:cs="Times New Roman"/>
          <w:spacing w:val="-4"/>
          <w:sz w:val="28"/>
          <w:szCs w:val="28"/>
          <w:lang w:eastAsia="ru-RU"/>
        </w:rPr>
        <w:t>-</w:t>
      </w:r>
      <w:r w:rsidR="00933509" w:rsidRPr="004032F4">
        <w:rPr>
          <w:rFonts w:ascii="Times New Roman" w:eastAsia="Calibri" w:hAnsi="Times New Roman" w:cs="Times New Roman"/>
          <w:spacing w:val="-4"/>
          <w:sz w:val="28"/>
          <w:szCs w:val="28"/>
          <w:lang w:eastAsia="ru-RU"/>
        </w:rPr>
        <w:t>2027</w:t>
      </w:r>
      <w:r w:rsidRPr="004032F4">
        <w:rPr>
          <w:rFonts w:ascii="Times New Roman" w:eastAsia="Calibri" w:hAnsi="Times New Roman" w:cs="Times New Roman"/>
          <w:spacing w:val="-4"/>
          <w:sz w:val="28"/>
          <w:szCs w:val="28"/>
          <w:lang w:eastAsia="ru-RU"/>
        </w:rPr>
        <w:t xml:space="preserve"> годы от общего объема расходов (без учета</w:t>
      </w:r>
      <w:r w:rsidR="00C86D6F" w:rsidRPr="004032F4">
        <w:rPr>
          <w:rFonts w:ascii="Times New Roman" w:eastAsia="Calibri" w:hAnsi="Times New Roman" w:cs="Times New Roman"/>
          <w:spacing w:val="-4"/>
          <w:sz w:val="28"/>
          <w:szCs w:val="28"/>
          <w:lang w:eastAsia="ru-RU"/>
        </w:rPr>
        <w:t xml:space="preserve"> условно утверждаемых расходов)</w:t>
      </w:r>
      <w:r w:rsidRPr="004032F4">
        <w:rPr>
          <w:rFonts w:ascii="Times New Roman" w:eastAsia="Calibri" w:hAnsi="Times New Roman" w:cs="Times New Roman"/>
          <w:spacing w:val="-4"/>
          <w:sz w:val="28"/>
          <w:szCs w:val="28"/>
          <w:lang w:eastAsia="ru-RU"/>
        </w:rPr>
        <w:t xml:space="preserve"> составит </w:t>
      </w:r>
      <w:r w:rsidR="00F84904" w:rsidRPr="004032F4">
        <w:rPr>
          <w:rFonts w:ascii="Times New Roman" w:eastAsia="Calibri" w:hAnsi="Times New Roman" w:cs="Times New Roman"/>
          <w:spacing w:val="-4"/>
          <w:sz w:val="28"/>
          <w:szCs w:val="28"/>
          <w:lang w:eastAsia="ru-RU"/>
        </w:rPr>
        <w:t>4,8</w:t>
      </w:r>
      <w:r w:rsidRPr="004032F4">
        <w:rPr>
          <w:rFonts w:ascii="Times New Roman" w:eastAsia="Calibri" w:hAnsi="Times New Roman" w:cs="Times New Roman"/>
          <w:spacing w:val="-4"/>
          <w:sz w:val="28"/>
          <w:szCs w:val="28"/>
          <w:lang w:eastAsia="ru-RU"/>
        </w:rPr>
        <w:t>%</w:t>
      </w:r>
      <w:r w:rsidR="00F84904" w:rsidRPr="004032F4">
        <w:rPr>
          <w:rFonts w:ascii="Times New Roman" w:eastAsia="Calibri" w:hAnsi="Times New Roman" w:cs="Times New Roman"/>
          <w:spacing w:val="-4"/>
          <w:sz w:val="28"/>
          <w:szCs w:val="28"/>
          <w:vertAlign w:val="superscript"/>
          <w:lang w:eastAsia="ru-RU"/>
        </w:rPr>
        <w:footnoteReference w:id="22"/>
      </w:r>
      <w:r w:rsidRPr="004032F4">
        <w:rPr>
          <w:rFonts w:ascii="Times New Roman" w:eastAsia="Calibri" w:hAnsi="Times New Roman" w:cs="Times New Roman"/>
          <w:spacing w:val="-4"/>
          <w:sz w:val="28"/>
          <w:szCs w:val="28"/>
          <w:lang w:eastAsia="ru-RU"/>
        </w:rPr>
        <w:t xml:space="preserve">, </w:t>
      </w:r>
      <w:r w:rsidR="00F84904" w:rsidRPr="004032F4">
        <w:rPr>
          <w:rFonts w:ascii="Times New Roman" w:eastAsia="Calibri" w:hAnsi="Times New Roman" w:cs="Times New Roman"/>
          <w:spacing w:val="-4"/>
          <w:sz w:val="28"/>
          <w:szCs w:val="28"/>
          <w:lang w:eastAsia="ru-RU"/>
        </w:rPr>
        <w:t>3</w:t>
      </w:r>
      <w:r w:rsidRPr="004032F4">
        <w:rPr>
          <w:rFonts w:ascii="Times New Roman" w:eastAsia="Calibri" w:hAnsi="Times New Roman" w:cs="Times New Roman"/>
          <w:spacing w:val="-4"/>
          <w:sz w:val="28"/>
          <w:szCs w:val="28"/>
          <w:lang w:eastAsia="ru-RU"/>
        </w:rPr>
        <w:t>%, 2,</w:t>
      </w:r>
      <w:r w:rsidR="00F84904" w:rsidRPr="004032F4">
        <w:rPr>
          <w:rFonts w:ascii="Times New Roman" w:eastAsia="Calibri" w:hAnsi="Times New Roman" w:cs="Times New Roman"/>
          <w:spacing w:val="-4"/>
          <w:sz w:val="28"/>
          <w:szCs w:val="28"/>
          <w:lang w:eastAsia="ru-RU"/>
        </w:rPr>
        <w:t>6</w:t>
      </w:r>
      <w:r w:rsidRPr="004032F4">
        <w:rPr>
          <w:rFonts w:ascii="Times New Roman" w:eastAsia="Calibri" w:hAnsi="Times New Roman" w:cs="Times New Roman"/>
          <w:spacing w:val="-4"/>
          <w:sz w:val="28"/>
          <w:szCs w:val="28"/>
          <w:lang w:eastAsia="ru-RU"/>
        </w:rPr>
        <w:t xml:space="preserve">% соответственно в </w:t>
      </w:r>
      <w:r w:rsidR="00933509" w:rsidRPr="004032F4">
        <w:rPr>
          <w:rFonts w:ascii="Times New Roman" w:eastAsia="Calibri" w:hAnsi="Times New Roman" w:cs="Times New Roman"/>
          <w:spacing w:val="-4"/>
          <w:sz w:val="28"/>
          <w:szCs w:val="28"/>
          <w:lang w:eastAsia="ru-RU"/>
        </w:rPr>
        <w:t>2025</w:t>
      </w:r>
      <w:r w:rsidRPr="004032F4">
        <w:rPr>
          <w:rFonts w:ascii="Times New Roman" w:eastAsia="Calibri" w:hAnsi="Times New Roman" w:cs="Times New Roman"/>
          <w:spacing w:val="-4"/>
          <w:sz w:val="28"/>
          <w:szCs w:val="28"/>
          <w:lang w:eastAsia="ru-RU"/>
        </w:rPr>
        <w:t xml:space="preserve">, </w:t>
      </w:r>
      <w:r w:rsidR="00933509" w:rsidRPr="004032F4">
        <w:rPr>
          <w:rFonts w:ascii="Times New Roman" w:eastAsia="Calibri" w:hAnsi="Times New Roman" w:cs="Times New Roman"/>
          <w:spacing w:val="-4"/>
          <w:sz w:val="28"/>
          <w:szCs w:val="28"/>
          <w:lang w:eastAsia="ru-RU"/>
        </w:rPr>
        <w:t>2026</w:t>
      </w:r>
      <w:r w:rsidRPr="004032F4">
        <w:rPr>
          <w:rFonts w:ascii="Times New Roman" w:eastAsia="Calibri" w:hAnsi="Times New Roman" w:cs="Times New Roman"/>
          <w:spacing w:val="-4"/>
          <w:sz w:val="28"/>
          <w:szCs w:val="28"/>
          <w:lang w:eastAsia="ru-RU"/>
        </w:rPr>
        <w:t xml:space="preserve">, </w:t>
      </w:r>
      <w:r w:rsidR="00933509" w:rsidRPr="004032F4">
        <w:rPr>
          <w:rFonts w:ascii="Times New Roman" w:eastAsia="Calibri" w:hAnsi="Times New Roman" w:cs="Times New Roman"/>
          <w:spacing w:val="-4"/>
          <w:sz w:val="28"/>
          <w:szCs w:val="28"/>
          <w:lang w:eastAsia="ru-RU"/>
        </w:rPr>
        <w:t>2027</w:t>
      </w:r>
      <w:r w:rsidRPr="004032F4">
        <w:rPr>
          <w:rFonts w:ascii="Times New Roman" w:eastAsia="Calibri" w:hAnsi="Times New Roman" w:cs="Times New Roman"/>
          <w:spacing w:val="-4"/>
          <w:sz w:val="28"/>
          <w:szCs w:val="28"/>
          <w:lang w:eastAsia="ru-RU"/>
        </w:rPr>
        <w:t xml:space="preserve"> годах.</w:t>
      </w:r>
    </w:p>
    <w:p w14:paraId="58D0949E" w14:textId="3884C944" w:rsidR="00F36A7C" w:rsidRPr="004032F4" w:rsidRDefault="00D875D8" w:rsidP="00F36A7C">
      <w:pPr>
        <w:widowControl w:val="0"/>
        <w:spacing w:before="240" w:after="0" w:line="240" w:lineRule="auto"/>
        <w:ind w:firstLine="709"/>
        <w:jc w:val="both"/>
        <w:rPr>
          <w:rFonts w:ascii="Times New Roman" w:eastAsia="Calibri" w:hAnsi="Times New Roman" w:cs="Times New Roman"/>
          <w:color w:val="000000" w:themeColor="text1"/>
          <w:sz w:val="28"/>
          <w:szCs w:val="28"/>
        </w:rPr>
      </w:pPr>
      <w:r w:rsidRPr="004032F4">
        <w:rPr>
          <w:rFonts w:ascii="Times New Roman" w:hAnsi="Times New Roman" w:cs="Times New Roman"/>
          <w:b/>
          <w:spacing w:val="-4"/>
          <w:kern w:val="28"/>
          <w:sz w:val="28"/>
          <w:lang w:eastAsia="ru-RU"/>
        </w:rPr>
        <w:t xml:space="preserve">3.5. </w:t>
      </w:r>
      <w:r w:rsidR="00000DB0" w:rsidRPr="004032F4">
        <w:rPr>
          <w:rFonts w:ascii="Times New Roman" w:hAnsi="Times New Roman" w:cs="Times New Roman"/>
          <w:spacing w:val="-4"/>
          <w:kern w:val="28"/>
          <w:sz w:val="28"/>
          <w:lang w:eastAsia="ru-RU"/>
        </w:rPr>
        <w:t> </w:t>
      </w:r>
      <w:r w:rsidR="00000DB0" w:rsidRPr="004032F4">
        <w:rPr>
          <w:rFonts w:ascii="Times New Roman" w:eastAsia="Times New Roman" w:hAnsi="Times New Roman" w:cs="Times New Roman"/>
          <w:i/>
          <w:spacing w:val="-6"/>
          <w:sz w:val="28"/>
          <w:szCs w:val="28"/>
          <w:lang w:eastAsia="ru-RU"/>
        </w:rPr>
        <w:t>Дорожный фонд Тульской области</w:t>
      </w:r>
      <w:r w:rsidR="00000DB0" w:rsidRPr="004032F4">
        <w:rPr>
          <w:rFonts w:ascii="Times New Roman" w:eastAsia="Times New Roman" w:hAnsi="Times New Roman" w:cs="Times New Roman"/>
          <w:spacing w:val="-6"/>
          <w:sz w:val="28"/>
          <w:szCs w:val="28"/>
          <w:lang w:eastAsia="ru-RU"/>
        </w:rPr>
        <w:t xml:space="preserve"> </w:t>
      </w:r>
      <w:r w:rsidR="00000DB0" w:rsidRPr="004032F4">
        <w:rPr>
          <w:rFonts w:ascii="Times New Roman" w:eastAsia="Calibri" w:hAnsi="Times New Roman" w:cs="Times New Roman"/>
          <w:color w:val="000000" w:themeColor="text1"/>
          <w:sz w:val="28"/>
          <w:szCs w:val="28"/>
        </w:rPr>
        <w:t xml:space="preserve">(статья </w:t>
      </w:r>
      <w:r w:rsidR="00F36A7C" w:rsidRPr="004032F4">
        <w:rPr>
          <w:rFonts w:ascii="Times New Roman" w:eastAsia="Calibri" w:hAnsi="Times New Roman" w:cs="Times New Roman"/>
          <w:color w:val="000000" w:themeColor="text1"/>
          <w:sz w:val="28"/>
          <w:szCs w:val="28"/>
        </w:rPr>
        <w:t>7</w:t>
      </w:r>
      <w:r w:rsidR="00000DB0" w:rsidRPr="004032F4">
        <w:rPr>
          <w:rFonts w:ascii="Times New Roman" w:eastAsia="Calibri" w:hAnsi="Times New Roman" w:cs="Times New Roman"/>
          <w:color w:val="000000" w:themeColor="text1"/>
          <w:sz w:val="28"/>
          <w:szCs w:val="28"/>
        </w:rPr>
        <w:t xml:space="preserve"> Законопроекта) на </w:t>
      </w:r>
      <w:r w:rsidR="00933509" w:rsidRPr="004032F4">
        <w:rPr>
          <w:rFonts w:ascii="Times New Roman" w:eastAsia="Calibri" w:hAnsi="Times New Roman" w:cs="Times New Roman"/>
          <w:color w:val="000000" w:themeColor="text1"/>
          <w:sz w:val="28"/>
          <w:szCs w:val="28"/>
        </w:rPr>
        <w:t>2025</w:t>
      </w:r>
      <w:r w:rsidR="00000DB0" w:rsidRPr="004032F4">
        <w:rPr>
          <w:rFonts w:ascii="Times New Roman" w:eastAsia="Calibri" w:hAnsi="Times New Roman" w:cs="Times New Roman"/>
          <w:color w:val="000000" w:themeColor="text1"/>
          <w:sz w:val="28"/>
          <w:szCs w:val="28"/>
        </w:rPr>
        <w:noBreakHyphen/>
      </w:r>
      <w:r w:rsidR="00933509" w:rsidRPr="004032F4">
        <w:rPr>
          <w:rFonts w:ascii="Times New Roman" w:eastAsia="Calibri" w:hAnsi="Times New Roman" w:cs="Times New Roman"/>
          <w:color w:val="000000" w:themeColor="text1"/>
          <w:sz w:val="28"/>
          <w:szCs w:val="28"/>
        </w:rPr>
        <w:t>2027</w:t>
      </w:r>
      <w:r w:rsidR="00000DB0" w:rsidRPr="004032F4">
        <w:rPr>
          <w:rFonts w:ascii="Times New Roman" w:eastAsia="Calibri" w:hAnsi="Times New Roman" w:cs="Times New Roman"/>
          <w:color w:val="000000" w:themeColor="text1"/>
          <w:sz w:val="28"/>
          <w:szCs w:val="28"/>
        </w:rPr>
        <w:t xml:space="preserve"> годы сформирован с учетом требований пункта 4 статьи 179.4 БК РФ, в соответствии со статьей 2 Закона Тульской области от 20.07.2011 №1613–ЗТО «О дорожном фонде Тульской области». Объем бюджетных ассигнований дорожного фонда Тульской области на </w:t>
      </w:r>
      <w:r w:rsidR="00933509" w:rsidRPr="004032F4">
        <w:rPr>
          <w:rFonts w:ascii="Times New Roman" w:eastAsia="Calibri" w:hAnsi="Times New Roman" w:cs="Times New Roman"/>
          <w:color w:val="000000" w:themeColor="text1"/>
          <w:sz w:val="28"/>
          <w:szCs w:val="28"/>
        </w:rPr>
        <w:t>2025</w:t>
      </w:r>
      <w:r w:rsidR="002341BE" w:rsidRPr="004032F4">
        <w:rPr>
          <w:rFonts w:ascii="Times New Roman" w:eastAsia="Calibri" w:hAnsi="Times New Roman" w:cs="Times New Roman"/>
          <w:color w:val="000000" w:themeColor="text1"/>
          <w:sz w:val="28"/>
          <w:szCs w:val="28"/>
        </w:rPr>
        <w:t xml:space="preserve">, </w:t>
      </w:r>
      <w:r w:rsidR="00933509" w:rsidRPr="004032F4">
        <w:rPr>
          <w:rFonts w:ascii="Times New Roman" w:eastAsia="Calibri" w:hAnsi="Times New Roman" w:cs="Times New Roman"/>
          <w:color w:val="000000" w:themeColor="text1"/>
          <w:sz w:val="28"/>
          <w:szCs w:val="28"/>
        </w:rPr>
        <w:t>2026</w:t>
      </w:r>
      <w:r w:rsidR="002341BE" w:rsidRPr="004032F4">
        <w:rPr>
          <w:rFonts w:ascii="Times New Roman" w:eastAsia="Calibri" w:hAnsi="Times New Roman" w:cs="Times New Roman"/>
          <w:color w:val="000000" w:themeColor="text1"/>
          <w:sz w:val="28"/>
          <w:szCs w:val="28"/>
        </w:rPr>
        <w:t xml:space="preserve">, </w:t>
      </w:r>
      <w:r w:rsidR="00933509" w:rsidRPr="004032F4">
        <w:rPr>
          <w:rFonts w:ascii="Times New Roman" w:eastAsia="Calibri" w:hAnsi="Times New Roman" w:cs="Times New Roman"/>
          <w:color w:val="000000" w:themeColor="text1"/>
          <w:sz w:val="28"/>
          <w:szCs w:val="28"/>
        </w:rPr>
        <w:t>2027</w:t>
      </w:r>
      <w:r w:rsidR="00000DB0" w:rsidRPr="004032F4">
        <w:rPr>
          <w:rFonts w:ascii="Times New Roman" w:eastAsia="Calibri" w:hAnsi="Times New Roman" w:cs="Times New Roman"/>
          <w:color w:val="000000" w:themeColor="text1"/>
          <w:sz w:val="28"/>
          <w:szCs w:val="28"/>
        </w:rPr>
        <w:t xml:space="preserve"> годы составит </w:t>
      </w:r>
      <w:r w:rsidR="00F36A7C" w:rsidRPr="004032F4">
        <w:rPr>
          <w:rFonts w:ascii="Times New Roman" w:eastAsia="Calibri" w:hAnsi="Times New Roman" w:cs="Times New Roman"/>
          <w:color w:val="000000" w:themeColor="text1"/>
          <w:sz w:val="28"/>
          <w:szCs w:val="28"/>
        </w:rPr>
        <w:t>10 540,0 млн. рублей, 10 844,3 млн. рублей, 12 038,0 млн. рублей соответственно (на 2025 год с уменьшением на 24,9% по отношению к 2024 году</w:t>
      </w:r>
      <w:r w:rsidR="00C52AAF" w:rsidRPr="004032F4">
        <w:rPr>
          <w:rFonts w:ascii="Times New Roman" w:eastAsia="Calibri" w:hAnsi="Times New Roman" w:cs="Times New Roman"/>
          <w:color w:val="000000" w:themeColor="text1"/>
          <w:sz w:val="28"/>
          <w:szCs w:val="28"/>
        </w:rPr>
        <w:t xml:space="preserve"> </w:t>
      </w:r>
      <w:r w:rsidR="00C52AAF" w:rsidRPr="004032F4">
        <w:rPr>
          <w:rFonts w:ascii="Times New Roman" w:eastAsia="Calibri" w:hAnsi="Times New Roman" w:cs="Times New Roman"/>
          <w:color w:val="000000" w:themeColor="text1"/>
          <w:sz w:val="24"/>
          <w:szCs w:val="24"/>
        </w:rPr>
        <w:t>(14 041,9 млн. рублей)</w:t>
      </w:r>
      <w:r w:rsidR="00F36A7C" w:rsidRPr="004032F4">
        <w:rPr>
          <w:rFonts w:ascii="Times New Roman" w:eastAsia="Calibri" w:hAnsi="Times New Roman" w:cs="Times New Roman"/>
          <w:color w:val="000000" w:themeColor="text1"/>
          <w:sz w:val="28"/>
          <w:szCs w:val="28"/>
        </w:rPr>
        <w:t>; на 2026 год с увеличением к 2025 году на 2,9%; на 2027 год с увеличением к 2026 году на 11%).</w:t>
      </w:r>
    </w:p>
    <w:p w14:paraId="02D1F0B5" w14:textId="54E25BF2" w:rsidR="00000DB0" w:rsidRPr="004032F4" w:rsidRDefault="00000DB0" w:rsidP="00F36A7C">
      <w:pPr>
        <w:widowControl w:val="0"/>
        <w:spacing w:after="0" w:line="240" w:lineRule="auto"/>
        <w:ind w:firstLine="709"/>
        <w:jc w:val="both"/>
        <w:rPr>
          <w:rFonts w:ascii="Times New Roman" w:eastAsia="Calibri" w:hAnsi="Times New Roman" w:cs="Times New Roman"/>
          <w:color w:val="000000" w:themeColor="text1"/>
          <w:sz w:val="28"/>
          <w:szCs w:val="28"/>
        </w:rPr>
      </w:pPr>
      <w:r w:rsidRPr="004032F4">
        <w:rPr>
          <w:rFonts w:ascii="Times New Roman" w:eastAsia="Calibri" w:hAnsi="Times New Roman" w:cs="Times New Roman"/>
          <w:color w:val="000000" w:themeColor="text1"/>
          <w:sz w:val="28"/>
          <w:szCs w:val="28"/>
        </w:rPr>
        <w:t xml:space="preserve">Изменения объема бюджетных ассигнований обусловлены прогнозируемыми объемами доходов бюджета Тульской области, в размере которых формируется объем дорожного фонда на </w:t>
      </w:r>
      <w:r w:rsidR="00933509" w:rsidRPr="004032F4">
        <w:rPr>
          <w:rFonts w:ascii="Times New Roman" w:eastAsia="Calibri" w:hAnsi="Times New Roman" w:cs="Times New Roman"/>
          <w:color w:val="000000" w:themeColor="text1"/>
          <w:sz w:val="28"/>
          <w:szCs w:val="28"/>
        </w:rPr>
        <w:t>2025</w:t>
      </w:r>
      <w:r w:rsidRPr="004032F4">
        <w:rPr>
          <w:rFonts w:ascii="Times New Roman" w:eastAsia="Calibri" w:hAnsi="Times New Roman" w:cs="Times New Roman"/>
          <w:color w:val="000000" w:themeColor="text1"/>
          <w:sz w:val="28"/>
          <w:szCs w:val="28"/>
        </w:rPr>
        <w:t xml:space="preserve"> год и на плановый период </w:t>
      </w:r>
      <w:r w:rsidR="00933509" w:rsidRPr="004032F4">
        <w:rPr>
          <w:rFonts w:ascii="Times New Roman" w:eastAsia="Calibri" w:hAnsi="Times New Roman" w:cs="Times New Roman"/>
          <w:color w:val="000000" w:themeColor="text1"/>
          <w:sz w:val="28"/>
          <w:szCs w:val="28"/>
        </w:rPr>
        <w:t>2026</w:t>
      </w:r>
      <w:r w:rsidRPr="004032F4">
        <w:rPr>
          <w:rFonts w:ascii="Times New Roman" w:eastAsia="Calibri" w:hAnsi="Times New Roman" w:cs="Times New Roman"/>
          <w:color w:val="000000" w:themeColor="text1"/>
          <w:sz w:val="28"/>
          <w:szCs w:val="28"/>
        </w:rPr>
        <w:t xml:space="preserve"> и </w:t>
      </w:r>
      <w:r w:rsidR="00933509" w:rsidRPr="004032F4">
        <w:rPr>
          <w:rFonts w:ascii="Times New Roman" w:eastAsia="Calibri" w:hAnsi="Times New Roman" w:cs="Times New Roman"/>
          <w:color w:val="000000" w:themeColor="text1"/>
          <w:sz w:val="28"/>
          <w:szCs w:val="28"/>
        </w:rPr>
        <w:t>2027</w:t>
      </w:r>
      <w:r w:rsidRPr="004032F4">
        <w:rPr>
          <w:rFonts w:ascii="Times New Roman" w:eastAsia="Calibri" w:hAnsi="Times New Roman" w:cs="Times New Roman"/>
          <w:color w:val="000000" w:themeColor="text1"/>
          <w:sz w:val="28"/>
          <w:szCs w:val="28"/>
        </w:rPr>
        <w:t xml:space="preserve"> годов.</w:t>
      </w:r>
    </w:p>
    <w:p w14:paraId="430B26CA" w14:textId="687E1A04" w:rsidR="00F36A7C" w:rsidRPr="004032F4" w:rsidRDefault="00000DB0" w:rsidP="00F36A7C">
      <w:pPr>
        <w:widowControl w:val="0"/>
        <w:spacing w:after="0" w:line="240" w:lineRule="auto"/>
        <w:ind w:firstLine="765"/>
        <w:jc w:val="both"/>
        <w:rPr>
          <w:rFonts w:ascii="Times New Roman" w:eastAsia="Calibri" w:hAnsi="Times New Roman" w:cs="Times New Roman"/>
          <w:color w:val="000000" w:themeColor="text1"/>
          <w:sz w:val="28"/>
          <w:szCs w:val="28"/>
        </w:rPr>
      </w:pPr>
      <w:r w:rsidRPr="004032F4">
        <w:rPr>
          <w:rFonts w:ascii="Times New Roman" w:eastAsia="Calibri" w:hAnsi="Times New Roman" w:cs="Times New Roman"/>
          <w:sz w:val="28"/>
          <w:szCs w:val="28"/>
        </w:rPr>
        <w:t xml:space="preserve">Межбюджетные трансферты из федерального бюджета на </w:t>
      </w:r>
      <w:r w:rsidR="00933509" w:rsidRPr="004032F4">
        <w:rPr>
          <w:rFonts w:ascii="Times New Roman" w:eastAsia="Calibri" w:hAnsi="Times New Roman" w:cs="Times New Roman"/>
          <w:sz w:val="28"/>
          <w:szCs w:val="28"/>
        </w:rPr>
        <w:t>2025</w:t>
      </w:r>
      <w:r w:rsidRPr="004032F4">
        <w:rPr>
          <w:rFonts w:ascii="Times New Roman" w:eastAsia="Calibri" w:hAnsi="Times New Roman" w:cs="Times New Roman"/>
          <w:sz w:val="28"/>
          <w:szCs w:val="28"/>
        </w:rPr>
        <w:t xml:space="preserve">, </w:t>
      </w:r>
      <w:r w:rsidR="00933509" w:rsidRPr="004032F4">
        <w:rPr>
          <w:rFonts w:ascii="Times New Roman" w:eastAsia="Calibri" w:hAnsi="Times New Roman" w:cs="Times New Roman"/>
          <w:sz w:val="28"/>
          <w:szCs w:val="28"/>
        </w:rPr>
        <w:t>2026</w:t>
      </w:r>
      <w:r w:rsidR="00265CD6" w:rsidRPr="004032F4">
        <w:rPr>
          <w:rFonts w:ascii="Times New Roman" w:eastAsia="Calibri" w:hAnsi="Times New Roman" w:cs="Times New Roman"/>
          <w:sz w:val="28"/>
          <w:szCs w:val="28"/>
        </w:rPr>
        <w:t xml:space="preserve">, </w:t>
      </w:r>
      <w:r w:rsidR="00933509" w:rsidRPr="004032F4">
        <w:rPr>
          <w:rFonts w:ascii="Times New Roman" w:eastAsia="Calibri" w:hAnsi="Times New Roman" w:cs="Times New Roman"/>
          <w:sz w:val="28"/>
          <w:szCs w:val="28"/>
        </w:rPr>
        <w:t>2027</w:t>
      </w:r>
      <w:r w:rsidRPr="004032F4">
        <w:rPr>
          <w:rFonts w:ascii="Times New Roman" w:eastAsia="Calibri" w:hAnsi="Times New Roman" w:cs="Times New Roman"/>
          <w:sz w:val="28"/>
          <w:szCs w:val="28"/>
        </w:rPr>
        <w:t xml:space="preserve"> годы </w:t>
      </w:r>
      <w:r w:rsidR="00C86D6F" w:rsidRPr="004032F4">
        <w:rPr>
          <w:rFonts w:ascii="Times New Roman" w:eastAsia="Calibri" w:hAnsi="Times New Roman" w:cs="Times New Roman"/>
          <w:sz w:val="28"/>
          <w:szCs w:val="28"/>
        </w:rPr>
        <w:t xml:space="preserve">в составе доходов, формирующих бюджетные ассигнования дорожного фонда Тульской области, </w:t>
      </w:r>
      <w:r w:rsidR="00F36A7C" w:rsidRPr="004032F4">
        <w:rPr>
          <w:rFonts w:ascii="Times New Roman" w:eastAsia="Calibri" w:hAnsi="Times New Roman" w:cs="Times New Roman"/>
          <w:color w:val="000000" w:themeColor="text1"/>
          <w:sz w:val="28"/>
          <w:szCs w:val="28"/>
        </w:rPr>
        <w:t xml:space="preserve">не предусмотрены ввиду отсутствия распределения федеральных средств в проекте федерального </w:t>
      </w:r>
      <w:r w:rsidR="00B71485" w:rsidRPr="004032F4">
        <w:rPr>
          <w:rFonts w:ascii="Times New Roman" w:eastAsia="Calibri" w:hAnsi="Times New Roman" w:cs="Times New Roman"/>
          <w:color w:val="000000" w:themeColor="text1"/>
          <w:sz w:val="28"/>
          <w:szCs w:val="28"/>
        </w:rPr>
        <w:t>бюджета</w:t>
      </w:r>
      <w:r w:rsidR="00F36A7C" w:rsidRPr="004032F4">
        <w:rPr>
          <w:rFonts w:ascii="Times New Roman" w:eastAsia="Calibri" w:hAnsi="Times New Roman" w:cs="Times New Roman"/>
          <w:color w:val="000000" w:themeColor="text1"/>
          <w:sz w:val="28"/>
          <w:szCs w:val="28"/>
        </w:rPr>
        <w:t>.</w:t>
      </w:r>
    </w:p>
    <w:p w14:paraId="259ADC75" w14:textId="013E0324" w:rsidR="005135A5" w:rsidRPr="004032F4" w:rsidRDefault="00D875D8" w:rsidP="00F36A7C">
      <w:pPr>
        <w:tabs>
          <w:tab w:val="left" w:pos="993"/>
        </w:tabs>
        <w:spacing w:before="120" w:after="0" w:line="240" w:lineRule="auto"/>
        <w:ind w:firstLine="709"/>
        <w:jc w:val="both"/>
        <w:rPr>
          <w:rFonts w:ascii="Times New Roman" w:eastAsia="Calibri" w:hAnsi="Times New Roman" w:cs="Times New Roman"/>
          <w:kern w:val="28"/>
          <w:sz w:val="28"/>
          <w:szCs w:val="28"/>
        </w:rPr>
      </w:pPr>
      <w:r w:rsidRPr="004032F4">
        <w:rPr>
          <w:rFonts w:ascii="Times New Roman" w:eastAsia="Calibri" w:hAnsi="Times New Roman" w:cs="Times New Roman"/>
          <w:b/>
          <w:kern w:val="28"/>
          <w:sz w:val="28"/>
          <w:szCs w:val="28"/>
        </w:rPr>
        <w:t>3.6</w:t>
      </w:r>
      <w:r w:rsidRPr="004032F4">
        <w:rPr>
          <w:rFonts w:ascii="Times New Roman" w:eastAsia="Calibri" w:hAnsi="Times New Roman" w:cs="Times New Roman"/>
          <w:kern w:val="28"/>
          <w:sz w:val="28"/>
          <w:szCs w:val="28"/>
        </w:rPr>
        <w:t> </w:t>
      </w:r>
      <w:r w:rsidR="005135A5" w:rsidRPr="004032F4">
        <w:rPr>
          <w:rFonts w:ascii="Times New Roman" w:eastAsia="Calibri" w:hAnsi="Times New Roman" w:cs="Times New Roman"/>
          <w:kern w:val="28"/>
          <w:sz w:val="28"/>
          <w:szCs w:val="28"/>
        </w:rPr>
        <w:t xml:space="preserve">Структура расходов бюджета области в разрезе </w:t>
      </w:r>
      <w:r w:rsidR="005135A5" w:rsidRPr="004032F4">
        <w:rPr>
          <w:rFonts w:ascii="Times New Roman" w:eastAsia="Calibri" w:hAnsi="Times New Roman" w:cs="Times New Roman"/>
          <w:i/>
          <w:kern w:val="28"/>
          <w:sz w:val="28"/>
          <w:szCs w:val="28"/>
        </w:rPr>
        <w:t>программных и непрограммных направлений расходов бюджета области</w:t>
      </w:r>
      <w:r w:rsidR="005135A5" w:rsidRPr="004032F4">
        <w:rPr>
          <w:rFonts w:ascii="Times New Roman" w:eastAsia="Calibri" w:hAnsi="Times New Roman" w:cs="Times New Roman"/>
          <w:kern w:val="28"/>
          <w:sz w:val="28"/>
          <w:szCs w:val="28"/>
        </w:rPr>
        <w:t xml:space="preserve"> представлена </w:t>
      </w:r>
      <w:r w:rsidR="00022335" w:rsidRPr="004032F4">
        <w:rPr>
          <w:rFonts w:ascii="Times New Roman" w:eastAsia="Calibri" w:hAnsi="Times New Roman" w:cs="Times New Roman"/>
          <w:kern w:val="28"/>
          <w:sz w:val="28"/>
          <w:szCs w:val="28"/>
        </w:rPr>
        <w:t>на</w:t>
      </w:r>
      <w:r w:rsidR="005135A5" w:rsidRPr="004032F4">
        <w:rPr>
          <w:rFonts w:ascii="Times New Roman" w:eastAsia="Calibri" w:hAnsi="Times New Roman" w:cs="Times New Roman"/>
          <w:kern w:val="28"/>
          <w:sz w:val="28"/>
          <w:szCs w:val="28"/>
        </w:rPr>
        <w:t xml:space="preserve"> следующей диаграмме.</w:t>
      </w:r>
    </w:p>
    <w:p w14:paraId="263EBE9C" w14:textId="031C980D" w:rsidR="000A067D" w:rsidRPr="004032F4" w:rsidRDefault="000A067D" w:rsidP="000A067D">
      <w:pPr>
        <w:tabs>
          <w:tab w:val="left" w:pos="993"/>
        </w:tabs>
        <w:spacing w:before="120" w:after="0" w:line="240" w:lineRule="auto"/>
        <w:jc w:val="both"/>
        <w:rPr>
          <w:rFonts w:ascii="Times New Roman" w:eastAsia="Calibri" w:hAnsi="Times New Roman" w:cs="Times New Roman"/>
          <w:kern w:val="28"/>
          <w:sz w:val="28"/>
          <w:szCs w:val="28"/>
        </w:rPr>
      </w:pPr>
      <w:r w:rsidRPr="004032F4">
        <w:rPr>
          <w:rFonts w:ascii="Times New Roman" w:eastAsia="Calibri" w:hAnsi="Times New Roman" w:cs="Times New Roman"/>
          <w:noProof/>
          <w:kern w:val="28"/>
          <w:sz w:val="28"/>
          <w:szCs w:val="28"/>
          <w:lang w:eastAsia="ru-RU"/>
        </w:rPr>
        <w:lastRenderedPageBreak/>
        <w:drawing>
          <wp:inline distT="0" distB="0" distL="0" distR="0" wp14:anchorId="7B01EEFB" wp14:editId="48DE59BD">
            <wp:extent cx="5934075" cy="25336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9B1F5A" w14:textId="77777777" w:rsidR="000A067D" w:rsidRPr="004032F4" w:rsidRDefault="000A067D" w:rsidP="002B2848">
      <w:pPr>
        <w:widowControl w:val="0"/>
        <w:spacing w:after="0" w:line="240" w:lineRule="auto"/>
        <w:ind w:firstLine="709"/>
        <w:jc w:val="both"/>
        <w:outlineLvl w:val="1"/>
        <w:rPr>
          <w:rFonts w:ascii="Times New Roman" w:eastAsia="Calibri" w:hAnsi="Times New Roman" w:cs="Times New Roman"/>
          <w:spacing w:val="-4"/>
          <w:kern w:val="28"/>
          <w:sz w:val="28"/>
          <w:szCs w:val="28"/>
        </w:rPr>
      </w:pPr>
      <w:r w:rsidRPr="004032F4">
        <w:rPr>
          <w:rFonts w:ascii="Times New Roman" w:eastAsia="Calibri" w:hAnsi="Times New Roman" w:cs="Times New Roman"/>
          <w:spacing w:val="-4"/>
          <w:kern w:val="28"/>
          <w:sz w:val="28"/>
          <w:szCs w:val="28"/>
        </w:rPr>
        <w:t>Как видно из диаграммы, Законопроектом доля программных расходов бюджета области в 2025 году предусматривается ниже аналогичного показателя 2024 года, а в плановом периоде нового бюджетного цикла превышает уровень 2024 года (при этом показатель рассчитывался без учета условно утверждаемых расходов).</w:t>
      </w:r>
    </w:p>
    <w:p w14:paraId="340E7545" w14:textId="77777777" w:rsidR="000A067D" w:rsidRPr="004032F4" w:rsidRDefault="000A067D" w:rsidP="002B2848">
      <w:pPr>
        <w:widowControl w:val="0"/>
        <w:spacing w:after="0" w:line="240" w:lineRule="auto"/>
        <w:ind w:firstLine="709"/>
        <w:jc w:val="both"/>
        <w:outlineLvl w:val="1"/>
        <w:rPr>
          <w:rFonts w:ascii="Times New Roman" w:eastAsia="Times New Roman" w:hAnsi="Times New Roman" w:cs="Times New Roman"/>
          <w:spacing w:val="-6"/>
          <w:sz w:val="28"/>
          <w:szCs w:val="28"/>
          <w:lang w:eastAsia="ru-RU"/>
        </w:rPr>
      </w:pPr>
      <w:r w:rsidRPr="004032F4">
        <w:rPr>
          <w:rFonts w:ascii="Times New Roman" w:eastAsia="Times New Roman" w:hAnsi="Times New Roman" w:cs="Times New Roman"/>
          <w:spacing w:val="-6"/>
          <w:sz w:val="28"/>
          <w:szCs w:val="28"/>
          <w:lang w:eastAsia="ru-RU"/>
        </w:rPr>
        <w:t xml:space="preserve">Аналогично 2024 году Законопроектом на все годы бюджетного цикла учтены бюджетные ассигнования на реализацию 34 госпрограмм (в соответствии с </w:t>
      </w:r>
      <w:r w:rsidRPr="004032F4">
        <w:rPr>
          <w:rFonts w:ascii="Times New Roman" w:eastAsia="Times New Roman" w:hAnsi="Times New Roman" w:cs="Times New Roman"/>
          <w:sz w:val="28"/>
          <w:szCs w:val="28"/>
          <w:lang w:eastAsia="ru-RU"/>
        </w:rPr>
        <w:t>Постановлением Правительства Тульской области от 10.07.2012 №377 «Об утверждении перечня государственных программ Тульской области» в редакции от 18.08.2023)</w:t>
      </w:r>
      <w:r w:rsidRPr="004032F4">
        <w:rPr>
          <w:rFonts w:ascii="Times New Roman" w:eastAsia="Times New Roman" w:hAnsi="Times New Roman" w:cs="Times New Roman"/>
          <w:spacing w:val="-6"/>
          <w:sz w:val="28"/>
          <w:szCs w:val="28"/>
          <w:lang w:eastAsia="ru-RU"/>
        </w:rPr>
        <w:t>.</w:t>
      </w:r>
    </w:p>
    <w:p w14:paraId="2BDC6F73" w14:textId="77777777" w:rsidR="00B71238" w:rsidRPr="004032F4" w:rsidRDefault="00B71238" w:rsidP="002B2848">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В соответствии со статьей 16 Закона области о бюджетном процессе паспорта (проекты изменений паспортов) госпрограмм представлены одновременно с Законопроектом (приложение 20 к письму Губернатора).</w:t>
      </w:r>
    </w:p>
    <w:p w14:paraId="680FC5A3" w14:textId="77777777" w:rsidR="000A067D" w:rsidRPr="002B2848" w:rsidRDefault="000A067D" w:rsidP="002B2848">
      <w:pPr>
        <w:widowControl w:val="0"/>
        <w:tabs>
          <w:tab w:val="left" w:pos="993"/>
        </w:tabs>
        <w:spacing w:after="0" w:line="240" w:lineRule="auto"/>
        <w:ind w:firstLine="709"/>
        <w:jc w:val="both"/>
        <w:rPr>
          <w:rFonts w:ascii="Times New Roman" w:eastAsia="Times New Roman" w:hAnsi="Times New Roman" w:cs="Times New Roman"/>
          <w:spacing w:val="-4"/>
          <w:sz w:val="28"/>
          <w:szCs w:val="28"/>
          <w:lang w:eastAsia="ru-RU"/>
        </w:rPr>
      </w:pPr>
      <w:r w:rsidRPr="002B2848">
        <w:rPr>
          <w:rFonts w:ascii="Times New Roman" w:eastAsia="Times New Roman" w:hAnsi="Times New Roman" w:cs="Times New Roman"/>
          <w:spacing w:val="-4"/>
          <w:sz w:val="28"/>
          <w:szCs w:val="28"/>
          <w:lang w:eastAsia="ru-RU"/>
        </w:rPr>
        <w:t>Анализом соответствия ресурсного обеспечения госпрограмм, указанного в паспортах (проектах изменений паспортов), и объемов бюджетных ассигнований Законопроекта по отдельным госпрограммам установлены незначительные расхождения (в пределах 0,68 тыс. рублей), вероятной причиной которых может являться округление значений до тысяч рублей в паспортах.</w:t>
      </w:r>
    </w:p>
    <w:p w14:paraId="20BFEC07" w14:textId="50996370" w:rsidR="006473A2" w:rsidRPr="004032F4" w:rsidRDefault="00CF40A3" w:rsidP="002B2848">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Объемы бюджетных ассигнований и их доли в общем объеме бюджетных ассигнований, предусматриваемых на исполнение госпрограмм в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 xml:space="preserve"> году</w:t>
      </w:r>
      <w:r w:rsidR="00E143F4" w:rsidRPr="004032F4">
        <w:rPr>
          <w:rFonts w:ascii="Times New Roman" w:eastAsia="Times New Roman" w:hAnsi="Times New Roman" w:cs="Times New Roman"/>
          <w:sz w:val="28"/>
          <w:szCs w:val="28"/>
          <w:lang w:eastAsia="ru-RU"/>
        </w:rPr>
        <w:t>,</w:t>
      </w:r>
      <w:r w:rsidRPr="004032F4">
        <w:rPr>
          <w:rFonts w:ascii="Times New Roman" w:eastAsia="Times New Roman" w:hAnsi="Times New Roman" w:cs="Times New Roman"/>
          <w:sz w:val="28"/>
          <w:szCs w:val="28"/>
          <w:lang w:eastAsia="ru-RU"/>
        </w:rPr>
        <w:t xml:space="preserve"> </w:t>
      </w:r>
      <w:r w:rsidR="00FB6889" w:rsidRPr="004032F4">
        <w:rPr>
          <w:rFonts w:ascii="Times New Roman" w:eastAsia="Times New Roman" w:hAnsi="Times New Roman" w:cs="Times New Roman"/>
          <w:sz w:val="28"/>
          <w:szCs w:val="28"/>
          <w:lang w:eastAsia="ru-RU"/>
        </w:rPr>
        <w:t>представлен</w:t>
      </w:r>
      <w:r w:rsidRPr="004032F4">
        <w:rPr>
          <w:rFonts w:ascii="Times New Roman" w:eastAsia="Times New Roman" w:hAnsi="Times New Roman" w:cs="Times New Roman"/>
          <w:sz w:val="28"/>
          <w:szCs w:val="28"/>
          <w:lang w:eastAsia="ru-RU"/>
        </w:rPr>
        <w:t>ы</w:t>
      </w:r>
      <w:r w:rsidR="00FB6889" w:rsidRPr="004032F4">
        <w:rPr>
          <w:rFonts w:ascii="Times New Roman" w:eastAsia="Times New Roman" w:hAnsi="Times New Roman" w:cs="Times New Roman"/>
          <w:sz w:val="28"/>
          <w:szCs w:val="28"/>
          <w:lang w:eastAsia="ru-RU"/>
        </w:rPr>
        <w:t xml:space="preserve"> на следующей диаграмме</w:t>
      </w:r>
      <w:r w:rsidRPr="004032F4">
        <w:rPr>
          <w:rFonts w:ascii="Times New Roman" w:eastAsia="Times New Roman" w:hAnsi="Times New Roman" w:cs="Times New Roman"/>
          <w:sz w:val="28"/>
          <w:szCs w:val="28"/>
          <w:lang w:eastAsia="ru-RU"/>
        </w:rPr>
        <w:t>.</w:t>
      </w:r>
    </w:p>
    <w:p w14:paraId="401DE5D7" w14:textId="3CD46E46" w:rsidR="000A067D" w:rsidRPr="004032F4" w:rsidRDefault="000A067D" w:rsidP="000A067D">
      <w:pPr>
        <w:widowControl w:val="0"/>
        <w:spacing w:before="120" w:after="80" w:line="240" w:lineRule="auto"/>
        <w:jc w:val="both"/>
        <w:outlineLvl w:val="1"/>
        <w:rPr>
          <w:rFonts w:ascii="Times New Roman" w:eastAsia="Times New Roman" w:hAnsi="Times New Roman" w:cs="Times New Roman"/>
          <w:sz w:val="28"/>
          <w:szCs w:val="28"/>
          <w:lang w:eastAsia="ru-RU"/>
        </w:rPr>
      </w:pPr>
      <w:r w:rsidRPr="004032F4">
        <w:rPr>
          <w:rFonts w:ascii="Times New Roman" w:eastAsia="Times New Roman" w:hAnsi="Times New Roman" w:cs="Times New Roman"/>
          <w:noProof/>
          <w:sz w:val="28"/>
          <w:szCs w:val="28"/>
          <w:lang w:eastAsia="ru-RU"/>
        </w:rPr>
        <w:drawing>
          <wp:inline distT="0" distB="0" distL="0" distR="0" wp14:anchorId="3C975270" wp14:editId="22DC20FA">
            <wp:extent cx="5791200" cy="22574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3A82BC" w14:textId="77777777" w:rsidR="00E37734" w:rsidRPr="004032F4" w:rsidRDefault="0000702B" w:rsidP="00E37734">
      <w:pPr>
        <w:widowControl w:val="0"/>
        <w:tabs>
          <w:tab w:val="left" w:pos="993"/>
        </w:tabs>
        <w:spacing w:before="120" w:after="0" w:line="240" w:lineRule="auto"/>
        <w:ind w:firstLine="709"/>
        <w:jc w:val="both"/>
        <w:rPr>
          <w:rFonts w:ascii="Times New Roman" w:eastAsia="Times New Roman" w:hAnsi="Times New Roman" w:cs="Times New Roman"/>
          <w:spacing w:val="-4"/>
          <w:sz w:val="28"/>
          <w:szCs w:val="28"/>
          <w:lang w:eastAsia="ru-RU"/>
        </w:rPr>
      </w:pPr>
      <w:r w:rsidRPr="004032F4">
        <w:rPr>
          <w:rFonts w:ascii="Times New Roman" w:eastAsia="Times New Roman" w:hAnsi="Times New Roman" w:cs="Times New Roman"/>
          <w:spacing w:val="-4"/>
          <w:sz w:val="28"/>
          <w:szCs w:val="28"/>
          <w:lang w:eastAsia="ru-RU"/>
        </w:rPr>
        <w:t xml:space="preserve">Как видно из диаграммы, </w:t>
      </w:r>
      <w:r w:rsidR="00B71238" w:rsidRPr="004032F4">
        <w:rPr>
          <w:rFonts w:ascii="Times New Roman" w:eastAsia="Times New Roman" w:hAnsi="Times New Roman" w:cs="Times New Roman"/>
          <w:spacing w:val="-4"/>
          <w:sz w:val="28"/>
          <w:szCs w:val="28"/>
          <w:lang w:eastAsia="ru-RU"/>
        </w:rPr>
        <w:t xml:space="preserve">более </w:t>
      </w:r>
      <w:r w:rsidR="00E37734" w:rsidRPr="004032F4">
        <w:rPr>
          <w:rFonts w:ascii="Times New Roman" w:eastAsia="Times New Roman" w:hAnsi="Times New Roman" w:cs="Times New Roman"/>
          <w:spacing w:val="-4"/>
          <w:sz w:val="28"/>
          <w:szCs w:val="28"/>
          <w:lang w:eastAsia="ru-RU"/>
        </w:rPr>
        <w:t xml:space="preserve">67% общего объема бюджетных </w:t>
      </w:r>
      <w:r w:rsidR="00E37734" w:rsidRPr="004032F4">
        <w:rPr>
          <w:rFonts w:ascii="Times New Roman" w:eastAsia="Times New Roman" w:hAnsi="Times New Roman" w:cs="Times New Roman"/>
          <w:spacing w:val="-4"/>
          <w:sz w:val="28"/>
          <w:szCs w:val="28"/>
          <w:lang w:eastAsia="ru-RU"/>
        </w:rPr>
        <w:lastRenderedPageBreak/>
        <w:t>ассигнований составляют расходы, предусматриваемые в рамках четырех госпрограмм социального характера: «Развитие образования Тульской области» (31,5% в объеме программных расходов); «Развитие здравоохранения Тульской области» (17,7%); «Социальная поддержка и социальное обслуживание населения Тульской области» (11,5%); «Улучшение демографической ситуации и поддержка семей, воспитывающих детей, в Тульской области» (6,7%)». Таким образом, в 2025 году бюджет области сохраняет социальную направленность.</w:t>
      </w:r>
    </w:p>
    <w:p w14:paraId="727FFF21" w14:textId="2B8D0A0B" w:rsidR="00B71238" w:rsidRPr="004032F4" w:rsidRDefault="00B71238" w:rsidP="00E3773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Непрограммные расходы бюджета области на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 xml:space="preserve"> год предусматриваются по </w:t>
      </w:r>
      <w:r w:rsidR="00E37734" w:rsidRPr="004032F4">
        <w:rPr>
          <w:rFonts w:ascii="Times New Roman" w:eastAsia="Times New Roman" w:hAnsi="Times New Roman" w:cs="Times New Roman"/>
          <w:sz w:val="28"/>
          <w:szCs w:val="28"/>
          <w:lang w:eastAsia="ru-RU"/>
        </w:rPr>
        <w:t>31</w:t>
      </w:r>
      <w:r w:rsidRPr="004032F4">
        <w:rPr>
          <w:rFonts w:ascii="Times New Roman" w:eastAsia="Times New Roman" w:hAnsi="Times New Roman" w:cs="Times New Roman"/>
          <w:sz w:val="28"/>
          <w:szCs w:val="28"/>
          <w:lang w:eastAsia="ru-RU"/>
        </w:rPr>
        <w:t xml:space="preserve"> из 3</w:t>
      </w:r>
      <w:r w:rsidR="00E37734" w:rsidRPr="004032F4">
        <w:rPr>
          <w:rFonts w:ascii="Times New Roman" w:eastAsia="Times New Roman" w:hAnsi="Times New Roman" w:cs="Times New Roman"/>
          <w:sz w:val="28"/>
          <w:szCs w:val="28"/>
          <w:lang w:eastAsia="ru-RU"/>
        </w:rPr>
        <w:t>3</w:t>
      </w:r>
      <w:r w:rsidRPr="004032F4">
        <w:rPr>
          <w:rFonts w:ascii="Times New Roman" w:eastAsia="Times New Roman" w:hAnsi="Times New Roman" w:cs="Times New Roman"/>
          <w:sz w:val="28"/>
          <w:szCs w:val="28"/>
          <w:lang w:eastAsia="ru-RU"/>
        </w:rPr>
        <w:t xml:space="preserve"> ГРБС в следующих объемах:</w:t>
      </w: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6248"/>
        <w:gridCol w:w="1561"/>
        <w:gridCol w:w="1278"/>
      </w:tblGrid>
      <w:tr w:rsidR="00E37734" w:rsidRPr="004032F4" w14:paraId="2CE8BEEC" w14:textId="77777777" w:rsidTr="00B16D2C">
        <w:trPr>
          <w:cantSplit/>
          <w:tblHeader/>
          <w:jc w:val="center"/>
        </w:trPr>
        <w:tc>
          <w:tcPr>
            <w:tcW w:w="3507" w:type="pct"/>
            <w:gridSpan w:val="2"/>
            <w:shd w:val="clear" w:color="auto" w:fill="auto"/>
            <w:noWrap/>
            <w:vAlign w:val="center"/>
          </w:tcPr>
          <w:p w14:paraId="1CA2688B" w14:textId="77777777" w:rsidR="00E37734" w:rsidRPr="004032F4" w:rsidRDefault="00E37734" w:rsidP="00E37734">
            <w:pPr>
              <w:spacing w:after="0" w:line="240" w:lineRule="auto"/>
              <w:jc w:val="center"/>
              <w:rPr>
                <w:rFonts w:ascii="Times New Roman" w:eastAsia="Times New Roman" w:hAnsi="Times New Roman" w:cs="Times New Roman"/>
                <w:bCs/>
                <w:color w:val="000000"/>
                <w:sz w:val="20"/>
                <w:szCs w:val="20"/>
                <w:lang w:eastAsia="ru-RU"/>
              </w:rPr>
            </w:pPr>
            <w:r w:rsidRPr="004032F4">
              <w:rPr>
                <w:rFonts w:ascii="Times New Roman" w:eastAsia="Times New Roman" w:hAnsi="Times New Roman" w:cs="Times New Roman"/>
                <w:bCs/>
                <w:color w:val="000000"/>
                <w:sz w:val="20"/>
                <w:szCs w:val="20"/>
                <w:lang w:eastAsia="ru-RU"/>
              </w:rPr>
              <w:t>Код и наименование ГРБС</w:t>
            </w:r>
          </w:p>
        </w:tc>
        <w:tc>
          <w:tcPr>
            <w:tcW w:w="821" w:type="pct"/>
            <w:shd w:val="clear" w:color="auto" w:fill="auto"/>
            <w:noWrap/>
            <w:vAlign w:val="center"/>
          </w:tcPr>
          <w:p w14:paraId="1D9166E7" w14:textId="77777777" w:rsidR="00E37734" w:rsidRPr="004032F4" w:rsidRDefault="00E37734" w:rsidP="00E37734">
            <w:pPr>
              <w:spacing w:after="0" w:line="240" w:lineRule="auto"/>
              <w:jc w:val="center"/>
              <w:rPr>
                <w:rFonts w:ascii="Times New Roman" w:eastAsia="Times New Roman" w:hAnsi="Times New Roman" w:cs="Times New Roman"/>
                <w:bCs/>
                <w:color w:val="000000"/>
                <w:spacing w:val="-4"/>
                <w:sz w:val="19"/>
                <w:szCs w:val="19"/>
                <w:lang w:eastAsia="ru-RU"/>
              </w:rPr>
            </w:pPr>
            <w:r w:rsidRPr="004032F4">
              <w:rPr>
                <w:rFonts w:ascii="Times New Roman" w:eastAsia="Times New Roman" w:hAnsi="Times New Roman" w:cs="Times New Roman"/>
                <w:bCs/>
                <w:color w:val="000000"/>
                <w:spacing w:val="-4"/>
                <w:sz w:val="19"/>
                <w:szCs w:val="19"/>
                <w:lang w:eastAsia="ru-RU"/>
              </w:rPr>
              <w:t xml:space="preserve">Объем бюджетных ассигнований по Законопроекту, </w:t>
            </w:r>
            <w:r w:rsidRPr="004032F4">
              <w:rPr>
                <w:rFonts w:ascii="Times New Roman" w:eastAsia="Times New Roman" w:hAnsi="Times New Roman" w:cs="Times New Roman"/>
                <w:bCs/>
                <w:color w:val="000000"/>
                <w:spacing w:val="-4"/>
                <w:sz w:val="19"/>
                <w:szCs w:val="19"/>
                <w:lang w:eastAsia="ru-RU"/>
              </w:rPr>
              <w:br/>
              <w:t>млн. рублей</w:t>
            </w:r>
          </w:p>
        </w:tc>
        <w:tc>
          <w:tcPr>
            <w:tcW w:w="672" w:type="pct"/>
            <w:shd w:val="clear" w:color="auto" w:fill="auto"/>
            <w:noWrap/>
            <w:vAlign w:val="center"/>
          </w:tcPr>
          <w:p w14:paraId="6E256D8D" w14:textId="77777777" w:rsidR="00E37734" w:rsidRPr="004032F4" w:rsidRDefault="00E37734" w:rsidP="00E37734">
            <w:pPr>
              <w:spacing w:after="0" w:line="240" w:lineRule="auto"/>
              <w:ind w:left="-113" w:right="-113"/>
              <w:jc w:val="center"/>
              <w:rPr>
                <w:rFonts w:ascii="Times New Roman" w:eastAsia="Times New Roman" w:hAnsi="Times New Roman" w:cs="Times New Roman"/>
                <w:bCs/>
                <w:color w:val="000000"/>
                <w:spacing w:val="-4"/>
                <w:sz w:val="19"/>
                <w:szCs w:val="19"/>
                <w:lang w:eastAsia="ru-RU"/>
              </w:rPr>
            </w:pPr>
            <w:r w:rsidRPr="004032F4">
              <w:rPr>
                <w:rFonts w:ascii="Times New Roman" w:eastAsia="Times New Roman" w:hAnsi="Times New Roman" w:cs="Times New Roman"/>
                <w:bCs/>
                <w:color w:val="000000"/>
                <w:spacing w:val="-4"/>
                <w:sz w:val="19"/>
                <w:szCs w:val="19"/>
                <w:lang w:eastAsia="ru-RU"/>
              </w:rPr>
              <w:t>Доля в общем объеме непрог</w:t>
            </w:r>
            <w:r w:rsidRPr="004032F4">
              <w:rPr>
                <w:rFonts w:ascii="Times New Roman" w:eastAsia="Times New Roman" w:hAnsi="Times New Roman" w:cs="Times New Roman"/>
                <w:bCs/>
                <w:color w:val="000000"/>
                <w:spacing w:val="-4"/>
                <w:sz w:val="19"/>
                <w:szCs w:val="19"/>
                <w:lang w:eastAsia="ru-RU"/>
              </w:rPr>
              <w:softHyphen/>
              <w:t>раммных расходов</w:t>
            </w:r>
          </w:p>
        </w:tc>
      </w:tr>
      <w:tr w:rsidR="00E37734" w:rsidRPr="004032F4" w14:paraId="17F6D154" w14:textId="77777777" w:rsidTr="00B16D2C">
        <w:trPr>
          <w:cantSplit/>
          <w:jc w:val="center"/>
        </w:trPr>
        <w:tc>
          <w:tcPr>
            <w:tcW w:w="221" w:type="pct"/>
            <w:shd w:val="clear" w:color="auto" w:fill="auto"/>
            <w:noWrap/>
            <w:hideMark/>
          </w:tcPr>
          <w:p w14:paraId="77F13195"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801</w:t>
            </w:r>
          </w:p>
        </w:tc>
        <w:tc>
          <w:tcPr>
            <w:tcW w:w="3286" w:type="pct"/>
            <w:shd w:val="clear" w:color="auto" w:fill="auto"/>
          </w:tcPr>
          <w:p w14:paraId="7B0816C3"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Тульская областная Дума</w:t>
            </w:r>
          </w:p>
        </w:tc>
        <w:tc>
          <w:tcPr>
            <w:tcW w:w="821" w:type="pct"/>
            <w:shd w:val="clear" w:color="auto" w:fill="auto"/>
            <w:noWrap/>
            <w:hideMark/>
          </w:tcPr>
          <w:p w14:paraId="005E3DF1"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261,0</w:t>
            </w:r>
          </w:p>
        </w:tc>
        <w:tc>
          <w:tcPr>
            <w:tcW w:w="672" w:type="pct"/>
            <w:shd w:val="clear" w:color="auto" w:fill="auto"/>
            <w:noWrap/>
            <w:hideMark/>
          </w:tcPr>
          <w:p w14:paraId="3A7AE6D8"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1,5%</w:t>
            </w:r>
          </w:p>
        </w:tc>
      </w:tr>
      <w:tr w:rsidR="00E37734" w:rsidRPr="004032F4" w14:paraId="2A7F823D" w14:textId="77777777" w:rsidTr="00B16D2C">
        <w:trPr>
          <w:cantSplit/>
          <w:jc w:val="center"/>
        </w:trPr>
        <w:tc>
          <w:tcPr>
            <w:tcW w:w="221" w:type="pct"/>
            <w:shd w:val="clear" w:color="auto" w:fill="auto"/>
            <w:noWrap/>
            <w:hideMark/>
          </w:tcPr>
          <w:p w14:paraId="72C931BE"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802</w:t>
            </w:r>
          </w:p>
        </w:tc>
        <w:tc>
          <w:tcPr>
            <w:tcW w:w="3286" w:type="pct"/>
            <w:shd w:val="clear" w:color="auto" w:fill="auto"/>
          </w:tcPr>
          <w:p w14:paraId="2B864900"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Правительство Тульской области</w:t>
            </w:r>
          </w:p>
        </w:tc>
        <w:tc>
          <w:tcPr>
            <w:tcW w:w="821" w:type="pct"/>
            <w:shd w:val="clear" w:color="auto" w:fill="auto"/>
            <w:noWrap/>
            <w:hideMark/>
          </w:tcPr>
          <w:p w14:paraId="59AB4BF5"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1 692,6</w:t>
            </w:r>
          </w:p>
        </w:tc>
        <w:tc>
          <w:tcPr>
            <w:tcW w:w="672" w:type="pct"/>
            <w:shd w:val="clear" w:color="auto" w:fill="auto"/>
            <w:noWrap/>
            <w:hideMark/>
          </w:tcPr>
          <w:p w14:paraId="1B8DD05F"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9,8%</w:t>
            </w:r>
          </w:p>
        </w:tc>
      </w:tr>
      <w:tr w:rsidR="00E37734" w:rsidRPr="004032F4" w14:paraId="7C9B7F4F" w14:textId="77777777" w:rsidTr="00B16D2C">
        <w:trPr>
          <w:cantSplit/>
          <w:jc w:val="center"/>
        </w:trPr>
        <w:tc>
          <w:tcPr>
            <w:tcW w:w="221" w:type="pct"/>
            <w:shd w:val="clear" w:color="auto" w:fill="auto"/>
            <w:noWrap/>
            <w:hideMark/>
          </w:tcPr>
          <w:p w14:paraId="78B41AB3"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804</w:t>
            </w:r>
          </w:p>
        </w:tc>
        <w:tc>
          <w:tcPr>
            <w:tcW w:w="3286" w:type="pct"/>
            <w:shd w:val="clear" w:color="auto" w:fill="auto"/>
          </w:tcPr>
          <w:p w14:paraId="30713C3D"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здравоохранения Тульской области</w:t>
            </w:r>
          </w:p>
        </w:tc>
        <w:tc>
          <w:tcPr>
            <w:tcW w:w="821" w:type="pct"/>
            <w:shd w:val="clear" w:color="auto" w:fill="auto"/>
            <w:noWrap/>
            <w:hideMark/>
          </w:tcPr>
          <w:p w14:paraId="0320C9B4"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917,3</w:t>
            </w:r>
          </w:p>
        </w:tc>
        <w:tc>
          <w:tcPr>
            <w:tcW w:w="672" w:type="pct"/>
            <w:shd w:val="clear" w:color="auto" w:fill="auto"/>
            <w:noWrap/>
            <w:hideMark/>
          </w:tcPr>
          <w:p w14:paraId="1BE6B431"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5,3%</w:t>
            </w:r>
          </w:p>
        </w:tc>
      </w:tr>
      <w:tr w:rsidR="00E37734" w:rsidRPr="004032F4" w14:paraId="722D0C16" w14:textId="77777777" w:rsidTr="00B16D2C">
        <w:trPr>
          <w:cantSplit/>
          <w:jc w:val="center"/>
        </w:trPr>
        <w:tc>
          <w:tcPr>
            <w:tcW w:w="221" w:type="pct"/>
            <w:shd w:val="clear" w:color="auto" w:fill="auto"/>
            <w:noWrap/>
            <w:hideMark/>
          </w:tcPr>
          <w:p w14:paraId="747003CA"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806</w:t>
            </w:r>
          </w:p>
        </w:tc>
        <w:tc>
          <w:tcPr>
            <w:tcW w:w="3286" w:type="pct"/>
            <w:shd w:val="clear" w:color="auto" w:fill="auto"/>
          </w:tcPr>
          <w:p w14:paraId="084E5399"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культуры и туризма Тульской области</w:t>
            </w:r>
          </w:p>
        </w:tc>
        <w:tc>
          <w:tcPr>
            <w:tcW w:w="821" w:type="pct"/>
            <w:shd w:val="clear" w:color="auto" w:fill="auto"/>
            <w:noWrap/>
            <w:hideMark/>
          </w:tcPr>
          <w:p w14:paraId="3FE9C7C2"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63,9</w:t>
            </w:r>
          </w:p>
        </w:tc>
        <w:tc>
          <w:tcPr>
            <w:tcW w:w="672" w:type="pct"/>
            <w:shd w:val="clear" w:color="auto" w:fill="auto"/>
            <w:noWrap/>
            <w:hideMark/>
          </w:tcPr>
          <w:p w14:paraId="06A139A4"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0,4%</w:t>
            </w:r>
          </w:p>
        </w:tc>
      </w:tr>
      <w:tr w:rsidR="00E37734" w:rsidRPr="004032F4" w14:paraId="7F1B83F1" w14:textId="77777777" w:rsidTr="00B16D2C">
        <w:trPr>
          <w:cantSplit/>
          <w:jc w:val="center"/>
        </w:trPr>
        <w:tc>
          <w:tcPr>
            <w:tcW w:w="221" w:type="pct"/>
            <w:shd w:val="clear" w:color="auto" w:fill="auto"/>
            <w:noWrap/>
            <w:hideMark/>
          </w:tcPr>
          <w:p w14:paraId="45359B15"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807</w:t>
            </w:r>
          </w:p>
        </w:tc>
        <w:tc>
          <w:tcPr>
            <w:tcW w:w="3286" w:type="pct"/>
            <w:shd w:val="clear" w:color="auto" w:fill="auto"/>
          </w:tcPr>
          <w:p w14:paraId="348B4E78"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экономического развития Тульской области</w:t>
            </w:r>
          </w:p>
        </w:tc>
        <w:tc>
          <w:tcPr>
            <w:tcW w:w="821" w:type="pct"/>
            <w:shd w:val="clear" w:color="auto" w:fill="auto"/>
            <w:noWrap/>
            <w:hideMark/>
          </w:tcPr>
          <w:p w14:paraId="5F4E2344"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151,1</w:t>
            </w:r>
          </w:p>
        </w:tc>
        <w:tc>
          <w:tcPr>
            <w:tcW w:w="672" w:type="pct"/>
            <w:shd w:val="clear" w:color="auto" w:fill="auto"/>
            <w:noWrap/>
            <w:hideMark/>
          </w:tcPr>
          <w:p w14:paraId="53ABC117"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0,9%</w:t>
            </w:r>
          </w:p>
        </w:tc>
      </w:tr>
      <w:tr w:rsidR="00E37734" w:rsidRPr="004032F4" w14:paraId="56E0AE18" w14:textId="77777777" w:rsidTr="00B16D2C">
        <w:trPr>
          <w:cantSplit/>
          <w:jc w:val="center"/>
        </w:trPr>
        <w:tc>
          <w:tcPr>
            <w:tcW w:w="221" w:type="pct"/>
            <w:shd w:val="clear" w:color="auto" w:fill="auto"/>
            <w:noWrap/>
            <w:hideMark/>
          </w:tcPr>
          <w:p w14:paraId="5DA1A6AA"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808</w:t>
            </w:r>
          </w:p>
        </w:tc>
        <w:tc>
          <w:tcPr>
            <w:tcW w:w="3286" w:type="pct"/>
            <w:shd w:val="clear" w:color="auto" w:fill="auto"/>
          </w:tcPr>
          <w:p w14:paraId="1D83BA2D"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образования Тульской области</w:t>
            </w:r>
          </w:p>
        </w:tc>
        <w:tc>
          <w:tcPr>
            <w:tcW w:w="821" w:type="pct"/>
            <w:shd w:val="clear" w:color="auto" w:fill="auto"/>
            <w:noWrap/>
            <w:hideMark/>
          </w:tcPr>
          <w:p w14:paraId="618A11D5"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2 232,2</w:t>
            </w:r>
          </w:p>
        </w:tc>
        <w:tc>
          <w:tcPr>
            <w:tcW w:w="672" w:type="pct"/>
            <w:shd w:val="clear" w:color="auto" w:fill="auto"/>
            <w:noWrap/>
            <w:hideMark/>
          </w:tcPr>
          <w:p w14:paraId="08DB0F25"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12,9%</w:t>
            </w:r>
          </w:p>
        </w:tc>
      </w:tr>
      <w:tr w:rsidR="00E37734" w:rsidRPr="004032F4" w14:paraId="7A63EB55" w14:textId="77777777" w:rsidTr="00B16D2C">
        <w:trPr>
          <w:cantSplit/>
          <w:jc w:val="center"/>
        </w:trPr>
        <w:tc>
          <w:tcPr>
            <w:tcW w:w="221" w:type="pct"/>
            <w:shd w:val="clear" w:color="auto" w:fill="auto"/>
            <w:noWrap/>
            <w:hideMark/>
          </w:tcPr>
          <w:p w14:paraId="0483BCA4"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809</w:t>
            </w:r>
          </w:p>
        </w:tc>
        <w:tc>
          <w:tcPr>
            <w:tcW w:w="3286" w:type="pct"/>
            <w:shd w:val="clear" w:color="auto" w:fill="auto"/>
          </w:tcPr>
          <w:p w14:paraId="4CE8A4F6"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сельского хозяйства, природных ресурсов и экологии Тульской области</w:t>
            </w:r>
          </w:p>
        </w:tc>
        <w:tc>
          <w:tcPr>
            <w:tcW w:w="821" w:type="pct"/>
            <w:shd w:val="clear" w:color="auto" w:fill="auto"/>
            <w:noWrap/>
            <w:hideMark/>
          </w:tcPr>
          <w:p w14:paraId="140D52DA"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7,5</w:t>
            </w:r>
          </w:p>
        </w:tc>
        <w:tc>
          <w:tcPr>
            <w:tcW w:w="672" w:type="pct"/>
            <w:shd w:val="clear" w:color="auto" w:fill="auto"/>
            <w:noWrap/>
            <w:hideMark/>
          </w:tcPr>
          <w:p w14:paraId="5E3034BC"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менее 0,1%</w:t>
            </w:r>
          </w:p>
        </w:tc>
      </w:tr>
      <w:tr w:rsidR="00E37734" w:rsidRPr="004032F4" w14:paraId="1F99FA0F" w14:textId="77777777" w:rsidTr="00B16D2C">
        <w:trPr>
          <w:cantSplit/>
          <w:jc w:val="center"/>
        </w:trPr>
        <w:tc>
          <w:tcPr>
            <w:tcW w:w="221" w:type="pct"/>
            <w:shd w:val="clear" w:color="auto" w:fill="auto"/>
            <w:noWrap/>
            <w:hideMark/>
          </w:tcPr>
          <w:p w14:paraId="66481051"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810</w:t>
            </w:r>
          </w:p>
        </w:tc>
        <w:tc>
          <w:tcPr>
            <w:tcW w:w="3286" w:type="pct"/>
            <w:shd w:val="clear" w:color="auto" w:fill="auto"/>
          </w:tcPr>
          <w:p w14:paraId="75A6D7C0"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финансов Тульской области</w:t>
            </w:r>
          </w:p>
        </w:tc>
        <w:tc>
          <w:tcPr>
            <w:tcW w:w="821" w:type="pct"/>
            <w:shd w:val="clear" w:color="auto" w:fill="auto"/>
            <w:noWrap/>
            <w:hideMark/>
          </w:tcPr>
          <w:p w14:paraId="1CAFE946"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6 837,3</w:t>
            </w:r>
          </w:p>
        </w:tc>
        <w:tc>
          <w:tcPr>
            <w:tcW w:w="672" w:type="pct"/>
            <w:shd w:val="clear" w:color="auto" w:fill="auto"/>
            <w:noWrap/>
            <w:hideMark/>
          </w:tcPr>
          <w:p w14:paraId="2394D41C"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39,5%</w:t>
            </w:r>
          </w:p>
        </w:tc>
      </w:tr>
      <w:tr w:rsidR="00E37734" w:rsidRPr="004032F4" w14:paraId="0ABE6833" w14:textId="77777777" w:rsidTr="00B16D2C">
        <w:trPr>
          <w:cantSplit/>
          <w:jc w:val="center"/>
        </w:trPr>
        <w:tc>
          <w:tcPr>
            <w:tcW w:w="221" w:type="pct"/>
            <w:shd w:val="clear" w:color="auto" w:fill="auto"/>
            <w:noWrap/>
            <w:hideMark/>
          </w:tcPr>
          <w:p w14:paraId="711ADAA7"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811</w:t>
            </w:r>
          </w:p>
        </w:tc>
        <w:tc>
          <w:tcPr>
            <w:tcW w:w="3286" w:type="pct"/>
            <w:shd w:val="clear" w:color="auto" w:fill="auto"/>
          </w:tcPr>
          <w:p w14:paraId="2E432444"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транспорта и дорожного хозяйства Тульской области</w:t>
            </w:r>
          </w:p>
        </w:tc>
        <w:tc>
          <w:tcPr>
            <w:tcW w:w="821" w:type="pct"/>
            <w:shd w:val="clear" w:color="auto" w:fill="auto"/>
            <w:noWrap/>
            <w:hideMark/>
          </w:tcPr>
          <w:p w14:paraId="60D3183F"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415,5</w:t>
            </w:r>
          </w:p>
        </w:tc>
        <w:tc>
          <w:tcPr>
            <w:tcW w:w="672" w:type="pct"/>
            <w:shd w:val="clear" w:color="auto" w:fill="auto"/>
            <w:noWrap/>
            <w:hideMark/>
          </w:tcPr>
          <w:p w14:paraId="1D561709"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2,4%</w:t>
            </w:r>
          </w:p>
        </w:tc>
      </w:tr>
      <w:tr w:rsidR="00E37734" w:rsidRPr="004032F4" w14:paraId="5909D644" w14:textId="77777777" w:rsidTr="00B16D2C">
        <w:trPr>
          <w:cantSplit/>
          <w:jc w:val="center"/>
        </w:trPr>
        <w:tc>
          <w:tcPr>
            <w:tcW w:w="221" w:type="pct"/>
            <w:shd w:val="clear" w:color="auto" w:fill="auto"/>
            <w:noWrap/>
            <w:hideMark/>
          </w:tcPr>
          <w:p w14:paraId="45B01B48"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812</w:t>
            </w:r>
          </w:p>
        </w:tc>
        <w:tc>
          <w:tcPr>
            <w:tcW w:w="3286" w:type="pct"/>
            <w:shd w:val="clear" w:color="auto" w:fill="auto"/>
          </w:tcPr>
          <w:p w14:paraId="10138030"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молодежной политики Тульской области</w:t>
            </w:r>
          </w:p>
        </w:tc>
        <w:tc>
          <w:tcPr>
            <w:tcW w:w="821" w:type="pct"/>
            <w:shd w:val="clear" w:color="auto" w:fill="auto"/>
            <w:noWrap/>
            <w:hideMark/>
          </w:tcPr>
          <w:p w14:paraId="57295B8C"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126,8</w:t>
            </w:r>
          </w:p>
        </w:tc>
        <w:tc>
          <w:tcPr>
            <w:tcW w:w="672" w:type="pct"/>
            <w:shd w:val="clear" w:color="auto" w:fill="auto"/>
            <w:noWrap/>
            <w:hideMark/>
          </w:tcPr>
          <w:p w14:paraId="68A9E6D8"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0,7%</w:t>
            </w:r>
          </w:p>
        </w:tc>
      </w:tr>
      <w:tr w:rsidR="00E37734" w:rsidRPr="004032F4" w14:paraId="0ED23B37" w14:textId="77777777" w:rsidTr="00B16D2C">
        <w:trPr>
          <w:cantSplit/>
          <w:jc w:val="center"/>
        </w:trPr>
        <w:tc>
          <w:tcPr>
            <w:tcW w:w="221" w:type="pct"/>
            <w:shd w:val="clear" w:color="auto" w:fill="auto"/>
            <w:noWrap/>
            <w:hideMark/>
          </w:tcPr>
          <w:p w14:paraId="696DDAD3"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816</w:t>
            </w:r>
          </w:p>
        </w:tc>
        <w:tc>
          <w:tcPr>
            <w:tcW w:w="3286" w:type="pct"/>
            <w:shd w:val="clear" w:color="auto" w:fill="auto"/>
          </w:tcPr>
          <w:p w14:paraId="3670AE9D"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промышленности и торговли Тульской области</w:t>
            </w:r>
          </w:p>
        </w:tc>
        <w:tc>
          <w:tcPr>
            <w:tcW w:w="821" w:type="pct"/>
            <w:shd w:val="clear" w:color="auto" w:fill="auto"/>
            <w:noWrap/>
            <w:hideMark/>
          </w:tcPr>
          <w:p w14:paraId="1BE78E56"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58,9</w:t>
            </w:r>
          </w:p>
        </w:tc>
        <w:tc>
          <w:tcPr>
            <w:tcW w:w="672" w:type="pct"/>
            <w:shd w:val="clear" w:color="auto" w:fill="auto"/>
            <w:noWrap/>
            <w:hideMark/>
          </w:tcPr>
          <w:p w14:paraId="1D4C2FCB"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0,3%</w:t>
            </w:r>
          </w:p>
        </w:tc>
      </w:tr>
      <w:tr w:rsidR="00E37734" w:rsidRPr="004032F4" w14:paraId="7E83AC9E" w14:textId="77777777" w:rsidTr="00B16D2C">
        <w:trPr>
          <w:cantSplit/>
          <w:jc w:val="center"/>
        </w:trPr>
        <w:tc>
          <w:tcPr>
            <w:tcW w:w="221" w:type="pct"/>
            <w:shd w:val="clear" w:color="auto" w:fill="auto"/>
            <w:noWrap/>
            <w:hideMark/>
          </w:tcPr>
          <w:p w14:paraId="323676DC"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817</w:t>
            </w:r>
          </w:p>
        </w:tc>
        <w:tc>
          <w:tcPr>
            <w:tcW w:w="3286" w:type="pct"/>
            <w:shd w:val="clear" w:color="auto" w:fill="auto"/>
          </w:tcPr>
          <w:p w14:paraId="6E7AB381"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по региональной безопасности Тульской области</w:t>
            </w:r>
          </w:p>
        </w:tc>
        <w:tc>
          <w:tcPr>
            <w:tcW w:w="821" w:type="pct"/>
            <w:shd w:val="clear" w:color="auto" w:fill="auto"/>
            <w:noWrap/>
            <w:hideMark/>
          </w:tcPr>
          <w:p w14:paraId="7445570B"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121,1</w:t>
            </w:r>
          </w:p>
        </w:tc>
        <w:tc>
          <w:tcPr>
            <w:tcW w:w="672" w:type="pct"/>
            <w:shd w:val="clear" w:color="auto" w:fill="auto"/>
            <w:noWrap/>
            <w:hideMark/>
          </w:tcPr>
          <w:p w14:paraId="23293284"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0,7%</w:t>
            </w:r>
          </w:p>
        </w:tc>
      </w:tr>
      <w:tr w:rsidR="00E37734" w:rsidRPr="004032F4" w14:paraId="366E9B44" w14:textId="77777777" w:rsidTr="00B16D2C">
        <w:trPr>
          <w:cantSplit/>
          <w:jc w:val="center"/>
        </w:trPr>
        <w:tc>
          <w:tcPr>
            <w:tcW w:w="221" w:type="pct"/>
            <w:shd w:val="clear" w:color="auto" w:fill="auto"/>
            <w:noWrap/>
            <w:hideMark/>
          </w:tcPr>
          <w:p w14:paraId="1C823238"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818</w:t>
            </w:r>
          </w:p>
        </w:tc>
        <w:tc>
          <w:tcPr>
            <w:tcW w:w="3286" w:type="pct"/>
            <w:shd w:val="clear" w:color="auto" w:fill="auto"/>
          </w:tcPr>
          <w:p w14:paraId="49CD5BE5"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Комитет Тульской области по науке и инноватике</w:t>
            </w:r>
          </w:p>
        </w:tc>
        <w:tc>
          <w:tcPr>
            <w:tcW w:w="821" w:type="pct"/>
            <w:shd w:val="clear" w:color="auto" w:fill="auto"/>
            <w:noWrap/>
            <w:hideMark/>
          </w:tcPr>
          <w:p w14:paraId="664B39F4"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24,6</w:t>
            </w:r>
          </w:p>
        </w:tc>
        <w:tc>
          <w:tcPr>
            <w:tcW w:w="672" w:type="pct"/>
            <w:shd w:val="clear" w:color="auto" w:fill="auto"/>
            <w:noWrap/>
            <w:hideMark/>
          </w:tcPr>
          <w:p w14:paraId="6EFB36B4"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0,1%</w:t>
            </w:r>
          </w:p>
        </w:tc>
      </w:tr>
      <w:tr w:rsidR="00E37734" w:rsidRPr="004032F4" w14:paraId="75F4BB23" w14:textId="77777777" w:rsidTr="00B16D2C">
        <w:trPr>
          <w:cantSplit/>
          <w:jc w:val="center"/>
        </w:trPr>
        <w:tc>
          <w:tcPr>
            <w:tcW w:w="221" w:type="pct"/>
            <w:shd w:val="clear" w:color="auto" w:fill="auto"/>
            <w:noWrap/>
            <w:hideMark/>
          </w:tcPr>
          <w:p w14:paraId="4C474D8E"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819</w:t>
            </w:r>
          </w:p>
        </w:tc>
        <w:tc>
          <w:tcPr>
            <w:tcW w:w="3286" w:type="pct"/>
            <w:shd w:val="clear" w:color="auto" w:fill="auto"/>
          </w:tcPr>
          <w:p w14:paraId="66770FDC"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внутренней политики и развития местного самоуправления в Тульской области</w:t>
            </w:r>
          </w:p>
        </w:tc>
        <w:tc>
          <w:tcPr>
            <w:tcW w:w="821" w:type="pct"/>
            <w:shd w:val="clear" w:color="auto" w:fill="auto"/>
            <w:noWrap/>
            <w:hideMark/>
          </w:tcPr>
          <w:p w14:paraId="00A84B82"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181,7</w:t>
            </w:r>
          </w:p>
        </w:tc>
        <w:tc>
          <w:tcPr>
            <w:tcW w:w="672" w:type="pct"/>
            <w:shd w:val="clear" w:color="auto" w:fill="auto"/>
            <w:noWrap/>
            <w:hideMark/>
          </w:tcPr>
          <w:p w14:paraId="536572DF"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1,1%</w:t>
            </w:r>
          </w:p>
        </w:tc>
      </w:tr>
      <w:tr w:rsidR="00E37734" w:rsidRPr="004032F4" w14:paraId="4E6B90E2" w14:textId="77777777" w:rsidTr="00B16D2C">
        <w:trPr>
          <w:cantSplit/>
          <w:jc w:val="center"/>
        </w:trPr>
        <w:tc>
          <w:tcPr>
            <w:tcW w:w="221" w:type="pct"/>
            <w:shd w:val="clear" w:color="auto" w:fill="auto"/>
            <w:noWrap/>
            <w:hideMark/>
          </w:tcPr>
          <w:p w14:paraId="48BC291F"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820</w:t>
            </w:r>
          </w:p>
        </w:tc>
        <w:tc>
          <w:tcPr>
            <w:tcW w:w="3286" w:type="pct"/>
            <w:shd w:val="clear" w:color="auto" w:fill="auto"/>
          </w:tcPr>
          <w:p w14:paraId="75826A64"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по правовому обеспечению Тульской области</w:t>
            </w:r>
          </w:p>
        </w:tc>
        <w:tc>
          <w:tcPr>
            <w:tcW w:w="821" w:type="pct"/>
            <w:shd w:val="clear" w:color="auto" w:fill="auto"/>
            <w:noWrap/>
            <w:hideMark/>
          </w:tcPr>
          <w:p w14:paraId="27388041"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295,0</w:t>
            </w:r>
          </w:p>
        </w:tc>
        <w:tc>
          <w:tcPr>
            <w:tcW w:w="672" w:type="pct"/>
            <w:shd w:val="clear" w:color="auto" w:fill="auto"/>
            <w:noWrap/>
            <w:hideMark/>
          </w:tcPr>
          <w:p w14:paraId="3D9D1641"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1,7%</w:t>
            </w:r>
          </w:p>
        </w:tc>
      </w:tr>
      <w:tr w:rsidR="00E37734" w:rsidRPr="004032F4" w14:paraId="4130901A" w14:textId="77777777" w:rsidTr="00B16D2C">
        <w:trPr>
          <w:cantSplit/>
          <w:jc w:val="center"/>
        </w:trPr>
        <w:tc>
          <w:tcPr>
            <w:tcW w:w="221" w:type="pct"/>
            <w:shd w:val="clear" w:color="auto" w:fill="auto"/>
            <w:noWrap/>
            <w:hideMark/>
          </w:tcPr>
          <w:p w14:paraId="0FA1FCB4"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821</w:t>
            </w:r>
          </w:p>
        </w:tc>
        <w:tc>
          <w:tcPr>
            <w:tcW w:w="3286" w:type="pct"/>
            <w:shd w:val="clear" w:color="auto" w:fill="auto"/>
          </w:tcPr>
          <w:p w14:paraId="54684D9F"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энергетики Тульской области</w:t>
            </w:r>
          </w:p>
        </w:tc>
        <w:tc>
          <w:tcPr>
            <w:tcW w:w="821" w:type="pct"/>
            <w:shd w:val="clear" w:color="auto" w:fill="auto"/>
            <w:noWrap/>
            <w:hideMark/>
          </w:tcPr>
          <w:p w14:paraId="4076AA7F"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295,9</w:t>
            </w:r>
          </w:p>
        </w:tc>
        <w:tc>
          <w:tcPr>
            <w:tcW w:w="672" w:type="pct"/>
            <w:shd w:val="clear" w:color="auto" w:fill="auto"/>
            <w:noWrap/>
            <w:hideMark/>
          </w:tcPr>
          <w:p w14:paraId="2377ACE5"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1,7%</w:t>
            </w:r>
          </w:p>
        </w:tc>
      </w:tr>
      <w:tr w:rsidR="00E37734" w:rsidRPr="004032F4" w14:paraId="658AE7EE" w14:textId="77777777" w:rsidTr="00B16D2C">
        <w:trPr>
          <w:cantSplit/>
          <w:jc w:val="center"/>
        </w:trPr>
        <w:tc>
          <w:tcPr>
            <w:tcW w:w="221" w:type="pct"/>
            <w:shd w:val="clear" w:color="auto" w:fill="auto"/>
            <w:noWrap/>
            <w:hideMark/>
          </w:tcPr>
          <w:p w14:paraId="7F151726"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822</w:t>
            </w:r>
          </w:p>
        </w:tc>
        <w:tc>
          <w:tcPr>
            <w:tcW w:w="3286" w:type="pct"/>
            <w:shd w:val="clear" w:color="auto" w:fill="auto"/>
          </w:tcPr>
          <w:p w14:paraId="6726079C"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Избирательная комиссия Тульской области</w:t>
            </w:r>
          </w:p>
        </w:tc>
        <w:tc>
          <w:tcPr>
            <w:tcW w:w="821" w:type="pct"/>
            <w:shd w:val="clear" w:color="auto" w:fill="auto"/>
            <w:noWrap/>
            <w:hideMark/>
          </w:tcPr>
          <w:p w14:paraId="38FEE0C9"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110,7</w:t>
            </w:r>
          </w:p>
        </w:tc>
        <w:tc>
          <w:tcPr>
            <w:tcW w:w="672" w:type="pct"/>
            <w:shd w:val="clear" w:color="auto" w:fill="auto"/>
            <w:noWrap/>
            <w:hideMark/>
          </w:tcPr>
          <w:p w14:paraId="25025530"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0,6%</w:t>
            </w:r>
          </w:p>
        </w:tc>
      </w:tr>
      <w:tr w:rsidR="00E37734" w:rsidRPr="004032F4" w14:paraId="1C93AE2A" w14:textId="77777777" w:rsidTr="00B16D2C">
        <w:trPr>
          <w:cantSplit/>
          <w:jc w:val="center"/>
        </w:trPr>
        <w:tc>
          <w:tcPr>
            <w:tcW w:w="221" w:type="pct"/>
            <w:shd w:val="clear" w:color="auto" w:fill="auto"/>
            <w:noWrap/>
            <w:hideMark/>
          </w:tcPr>
          <w:p w14:paraId="1CF078F8"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823</w:t>
            </w:r>
          </w:p>
        </w:tc>
        <w:tc>
          <w:tcPr>
            <w:tcW w:w="3286" w:type="pct"/>
            <w:shd w:val="clear" w:color="auto" w:fill="auto"/>
          </w:tcPr>
          <w:p w14:paraId="505D7DF6"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имущественных и земельных отношений Тульской области</w:t>
            </w:r>
          </w:p>
        </w:tc>
        <w:tc>
          <w:tcPr>
            <w:tcW w:w="821" w:type="pct"/>
            <w:shd w:val="clear" w:color="auto" w:fill="auto"/>
            <w:noWrap/>
            <w:hideMark/>
          </w:tcPr>
          <w:p w14:paraId="2DB6253A"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7,5</w:t>
            </w:r>
          </w:p>
        </w:tc>
        <w:tc>
          <w:tcPr>
            <w:tcW w:w="672" w:type="pct"/>
            <w:shd w:val="clear" w:color="auto" w:fill="auto"/>
            <w:noWrap/>
            <w:hideMark/>
          </w:tcPr>
          <w:p w14:paraId="3FBEFA43"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менее 0,1%</w:t>
            </w:r>
          </w:p>
        </w:tc>
      </w:tr>
      <w:tr w:rsidR="00E37734" w:rsidRPr="004032F4" w14:paraId="0A6B6E9B" w14:textId="77777777" w:rsidTr="00B16D2C">
        <w:trPr>
          <w:cantSplit/>
          <w:jc w:val="center"/>
        </w:trPr>
        <w:tc>
          <w:tcPr>
            <w:tcW w:w="221" w:type="pct"/>
            <w:shd w:val="clear" w:color="auto" w:fill="auto"/>
            <w:noWrap/>
            <w:hideMark/>
          </w:tcPr>
          <w:p w14:paraId="688D4238"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825</w:t>
            </w:r>
          </w:p>
        </w:tc>
        <w:tc>
          <w:tcPr>
            <w:tcW w:w="3286" w:type="pct"/>
            <w:shd w:val="clear" w:color="auto" w:fill="auto"/>
          </w:tcPr>
          <w:p w14:paraId="0E324AB2"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труда и социальной защиты Тульской области</w:t>
            </w:r>
          </w:p>
        </w:tc>
        <w:tc>
          <w:tcPr>
            <w:tcW w:w="821" w:type="pct"/>
            <w:shd w:val="clear" w:color="auto" w:fill="auto"/>
            <w:noWrap/>
            <w:hideMark/>
          </w:tcPr>
          <w:p w14:paraId="3A6834CE"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941,8</w:t>
            </w:r>
          </w:p>
        </w:tc>
        <w:tc>
          <w:tcPr>
            <w:tcW w:w="672" w:type="pct"/>
            <w:shd w:val="clear" w:color="auto" w:fill="auto"/>
            <w:noWrap/>
            <w:hideMark/>
          </w:tcPr>
          <w:p w14:paraId="4ABE87C5"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5,4%</w:t>
            </w:r>
          </w:p>
        </w:tc>
      </w:tr>
      <w:tr w:rsidR="00E37734" w:rsidRPr="004032F4" w14:paraId="76007A0B" w14:textId="77777777" w:rsidTr="00B16D2C">
        <w:trPr>
          <w:cantSplit/>
          <w:jc w:val="center"/>
        </w:trPr>
        <w:tc>
          <w:tcPr>
            <w:tcW w:w="221" w:type="pct"/>
            <w:shd w:val="clear" w:color="auto" w:fill="auto"/>
            <w:noWrap/>
            <w:hideMark/>
          </w:tcPr>
          <w:p w14:paraId="567EE236"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826</w:t>
            </w:r>
          </w:p>
        </w:tc>
        <w:tc>
          <w:tcPr>
            <w:tcW w:w="3286" w:type="pct"/>
            <w:shd w:val="clear" w:color="auto" w:fill="auto"/>
          </w:tcPr>
          <w:p w14:paraId="5CB90A68"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спорта Тульской области</w:t>
            </w:r>
          </w:p>
        </w:tc>
        <w:tc>
          <w:tcPr>
            <w:tcW w:w="821" w:type="pct"/>
            <w:shd w:val="clear" w:color="auto" w:fill="auto"/>
            <w:noWrap/>
            <w:hideMark/>
          </w:tcPr>
          <w:p w14:paraId="41D11AFD"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3,0</w:t>
            </w:r>
          </w:p>
        </w:tc>
        <w:tc>
          <w:tcPr>
            <w:tcW w:w="672" w:type="pct"/>
            <w:shd w:val="clear" w:color="auto" w:fill="auto"/>
            <w:noWrap/>
            <w:hideMark/>
          </w:tcPr>
          <w:p w14:paraId="0E052245"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менее 0,1%</w:t>
            </w:r>
          </w:p>
        </w:tc>
      </w:tr>
      <w:tr w:rsidR="00E37734" w:rsidRPr="004032F4" w14:paraId="34FA700A" w14:textId="77777777" w:rsidTr="00B16D2C">
        <w:trPr>
          <w:cantSplit/>
          <w:jc w:val="center"/>
        </w:trPr>
        <w:tc>
          <w:tcPr>
            <w:tcW w:w="221" w:type="pct"/>
            <w:shd w:val="clear" w:color="auto" w:fill="auto"/>
            <w:noWrap/>
            <w:hideMark/>
          </w:tcPr>
          <w:p w14:paraId="0B56F50E"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827</w:t>
            </w:r>
          </w:p>
        </w:tc>
        <w:tc>
          <w:tcPr>
            <w:tcW w:w="3286" w:type="pct"/>
            <w:shd w:val="clear" w:color="auto" w:fill="auto"/>
          </w:tcPr>
          <w:p w14:paraId="2203D3B5"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строительства Тульской области</w:t>
            </w:r>
          </w:p>
        </w:tc>
        <w:tc>
          <w:tcPr>
            <w:tcW w:w="821" w:type="pct"/>
            <w:shd w:val="clear" w:color="auto" w:fill="auto"/>
            <w:noWrap/>
            <w:hideMark/>
          </w:tcPr>
          <w:p w14:paraId="07DD9462"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1 562,7</w:t>
            </w:r>
          </w:p>
        </w:tc>
        <w:tc>
          <w:tcPr>
            <w:tcW w:w="672" w:type="pct"/>
            <w:shd w:val="clear" w:color="auto" w:fill="auto"/>
            <w:noWrap/>
            <w:hideMark/>
          </w:tcPr>
          <w:p w14:paraId="5A922DF8"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9,0%</w:t>
            </w:r>
          </w:p>
        </w:tc>
      </w:tr>
      <w:tr w:rsidR="00E37734" w:rsidRPr="004032F4" w14:paraId="3CB22769" w14:textId="77777777" w:rsidTr="00B16D2C">
        <w:trPr>
          <w:cantSplit/>
          <w:jc w:val="center"/>
        </w:trPr>
        <w:tc>
          <w:tcPr>
            <w:tcW w:w="221" w:type="pct"/>
            <w:shd w:val="clear" w:color="auto" w:fill="auto"/>
            <w:noWrap/>
            <w:hideMark/>
          </w:tcPr>
          <w:p w14:paraId="06A90D86"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828</w:t>
            </w:r>
          </w:p>
        </w:tc>
        <w:tc>
          <w:tcPr>
            <w:tcW w:w="3286" w:type="pct"/>
            <w:shd w:val="clear" w:color="auto" w:fill="auto"/>
          </w:tcPr>
          <w:p w14:paraId="1E7871A6"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жилищно-коммунального хозяйства Тульской области</w:t>
            </w:r>
          </w:p>
        </w:tc>
        <w:tc>
          <w:tcPr>
            <w:tcW w:w="821" w:type="pct"/>
            <w:shd w:val="clear" w:color="auto" w:fill="auto"/>
            <w:noWrap/>
            <w:hideMark/>
          </w:tcPr>
          <w:p w14:paraId="0DACA7FA"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326,4</w:t>
            </w:r>
          </w:p>
        </w:tc>
        <w:tc>
          <w:tcPr>
            <w:tcW w:w="672" w:type="pct"/>
            <w:shd w:val="clear" w:color="auto" w:fill="auto"/>
            <w:noWrap/>
            <w:hideMark/>
          </w:tcPr>
          <w:p w14:paraId="33B4DDEA"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1,9%</w:t>
            </w:r>
          </w:p>
        </w:tc>
      </w:tr>
      <w:tr w:rsidR="00E37734" w:rsidRPr="004032F4" w14:paraId="509DAE2C" w14:textId="77777777" w:rsidTr="00B16D2C">
        <w:trPr>
          <w:cantSplit/>
          <w:jc w:val="center"/>
        </w:trPr>
        <w:tc>
          <w:tcPr>
            <w:tcW w:w="221" w:type="pct"/>
            <w:shd w:val="clear" w:color="auto" w:fill="auto"/>
            <w:noWrap/>
            <w:hideMark/>
          </w:tcPr>
          <w:p w14:paraId="199EB2FA"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829</w:t>
            </w:r>
          </w:p>
        </w:tc>
        <w:tc>
          <w:tcPr>
            <w:tcW w:w="3286" w:type="pct"/>
            <w:shd w:val="clear" w:color="auto" w:fill="auto"/>
          </w:tcPr>
          <w:p w14:paraId="7844CD66"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Комитет по делам записи актов гражданского состояния и обеспечению деятельности мировых судей в Тульской области</w:t>
            </w:r>
          </w:p>
        </w:tc>
        <w:tc>
          <w:tcPr>
            <w:tcW w:w="821" w:type="pct"/>
            <w:shd w:val="clear" w:color="auto" w:fill="auto"/>
            <w:noWrap/>
            <w:hideMark/>
          </w:tcPr>
          <w:p w14:paraId="0288C52F"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217,4</w:t>
            </w:r>
          </w:p>
        </w:tc>
        <w:tc>
          <w:tcPr>
            <w:tcW w:w="672" w:type="pct"/>
            <w:shd w:val="clear" w:color="auto" w:fill="auto"/>
            <w:noWrap/>
            <w:hideMark/>
          </w:tcPr>
          <w:p w14:paraId="54014AC1"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1,3%</w:t>
            </w:r>
          </w:p>
        </w:tc>
      </w:tr>
      <w:tr w:rsidR="00E37734" w:rsidRPr="004032F4" w14:paraId="4E899969" w14:textId="77777777" w:rsidTr="00B16D2C">
        <w:trPr>
          <w:cantSplit/>
          <w:jc w:val="center"/>
        </w:trPr>
        <w:tc>
          <w:tcPr>
            <w:tcW w:w="221" w:type="pct"/>
            <w:shd w:val="clear" w:color="auto" w:fill="auto"/>
            <w:noWrap/>
            <w:hideMark/>
          </w:tcPr>
          <w:p w14:paraId="4C2FB995"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830</w:t>
            </w:r>
          </w:p>
        </w:tc>
        <w:tc>
          <w:tcPr>
            <w:tcW w:w="3286" w:type="pct"/>
            <w:shd w:val="clear" w:color="auto" w:fill="auto"/>
          </w:tcPr>
          <w:p w14:paraId="5DEF5CAC"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Инспекция Тульской области по государственному надзору за техническим состоянием самоходных машин и других видов техники</w:t>
            </w:r>
          </w:p>
        </w:tc>
        <w:tc>
          <w:tcPr>
            <w:tcW w:w="821" w:type="pct"/>
            <w:shd w:val="clear" w:color="auto" w:fill="auto"/>
            <w:noWrap/>
            <w:hideMark/>
          </w:tcPr>
          <w:p w14:paraId="42C320A1"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56,2</w:t>
            </w:r>
          </w:p>
        </w:tc>
        <w:tc>
          <w:tcPr>
            <w:tcW w:w="672" w:type="pct"/>
            <w:shd w:val="clear" w:color="auto" w:fill="auto"/>
            <w:noWrap/>
            <w:hideMark/>
          </w:tcPr>
          <w:p w14:paraId="52C79AC7"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0,3%</w:t>
            </w:r>
          </w:p>
        </w:tc>
      </w:tr>
      <w:tr w:rsidR="00E37734" w:rsidRPr="004032F4" w14:paraId="6ED5DB60" w14:textId="77777777" w:rsidTr="00B16D2C">
        <w:trPr>
          <w:cantSplit/>
          <w:jc w:val="center"/>
        </w:trPr>
        <w:tc>
          <w:tcPr>
            <w:tcW w:w="221" w:type="pct"/>
            <w:shd w:val="clear" w:color="auto" w:fill="auto"/>
            <w:noWrap/>
            <w:hideMark/>
          </w:tcPr>
          <w:p w14:paraId="0FCF382D"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831</w:t>
            </w:r>
          </w:p>
        </w:tc>
        <w:tc>
          <w:tcPr>
            <w:tcW w:w="3286" w:type="pct"/>
            <w:shd w:val="clear" w:color="auto" w:fill="auto"/>
          </w:tcPr>
          <w:p w14:paraId="1BAAC076"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Комитет Тульской области по тарифам</w:t>
            </w:r>
          </w:p>
        </w:tc>
        <w:tc>
          <w:tcPr>
            <w:tcW w:w="821" w:type="pct"/>
            <w:shd w:val="clear" w:color="auto" w:fill="auto"/>
            <w:noWrap/>
            <w:hideMark/>
          </w:tcPr>
          <w:p w14:paraId="00A6257E"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85,1</w:t>
            </w:r>
          </w:p>
        </w:tc>
        <w:tc>
          <w:tcPr>
            <w:tcW w:w="672" w:type="pct"/>
            <w:shd w:val="clear" w:color="auto" w:fill="auto"/>
            <w:noWrap/>
            <w:hideMark/>
          </w:tcPr>
          <w:p w14:paraId="00F91637"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0,5%</w:t>
            </w:r>
          </w:p>
        </w:tc>
      </w:tr>
      <w:tr w:rsidR="00E37734" w:rsidRPr="004032F4" w14:paraId="0A9BF298" w14:textId="77777777" w:rsidTr="00B16D2C">
        <w:trPr>
          <w:cantSplit/>
          <w:jc w:val="center"/>
        </w:trPr>
        <w:tc>
          <w:tcPr>
            <w:tcW w:w="221" w:type="pct"/>
            <w:shd w:val="clear" w:color="auto" w:fill="auto"/>
            <w:noWrap/>
            <w:hideMark/>
          </w:tcPr>
          <w:p w14:paraId="1D4DDB56"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832</w:t>
            </w:r>
          </w:p>
        </w:tc>
        <w:tc>
          <w:tcPr>
            <w:tcW w:w="3286" w:type="pct"/>
            <w:shd w:val="clear" w:color="auto" w:fill="auto"/>
          </w:tcPr>
          <w:p w14:paraId="4EE43B4C"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Комитет Тульской области по архитектуре и градостроительству</w:t>
            </w:r>
          </w:p>
        </w:tc>
        <w:tc>
          <w:tcPr>
            <w:tcW w:w="821" w:type="pct"/>
            <w:shd w:val="clear" w:color="auto" w:fill="auto"/>
            <w:noWrap/>
            <w:hideMark/>
          </w:tcPr>
          <w:p w14:paraId="24C3B046"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50,2</w:t>
            </w:r>
          </w:p>
        </w:tc>
        <w:tc>
          <w:tcPr>
            <w:tcW w:w="672" w:type="pct"/>
            <w:shd w:val="clear" w:color="auto" w:fill="auto"/>
            <w:noWrap/>
            <w:hideMark/>
          </w:tcPr>
          <w:p w14:paraId="024E22DC"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0,3%</w:t>
            </w:r>
          </w:p>
        </w:tc>
      </w:tr>
      <w:tr w:rsidR="00E37734" w:rsidRPr="004032F4" w14:paraId="0AB92477" w14:textId="77777777" w:rsidTr="00B16D2C">
        <w:trPr>
          <w:cantSplit/>
          <w:jc w:val="center"/>
        </w:trPr>
        <w:tc>
          <w:tcPr>
            <w:tcW w:w="221" w:type="pct"/>
            <w:shd w:val="clear" w:color="auto" w:fill="auto"/>
            <w:noWrap/>
          </w:tcPr>
          <w:p w14:paraId="1BB66C31"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836</w:t>
            </w:r>
          </w:p>
        </w:tc>
        <w:tc>
          <w:tcPr>
            <w:tcW w:w="3286" w:type="pct"/>
            <w:shd w:val="clear" w:color="auto" w:fill="auto"/>
          </w:tcPr>
          <w:p w14:paraId="40615C66"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Комитет ветеринарии Тульской области</w:t>
            </w:r>
          </w:p>
        </w:tc>
        <w:tc>
          <w:tcPr>
            <w:tcW w:w="821" w:type="pct"/>
            <w:shd w:val="clear" w:color="auto" w:fill="auto"/>
            <w:noWrap/>
          </w:tcPr>
          <w:p w14:paraId="72228005"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52,3</w:t>
            </w:r>
          </w:p>
        </w:tc>
        <w:tc>
          <w:tcPr>
            <w:tcW w:w="672" w:type="pct"/>
            <w:shd w:val="clear" w:color="auto" w:fill="auto"/>
            <w:noWrap/>
          </w:tcPr>
          <w:p w14:paraId="30962293"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0,3%</w:t>
            </w:r>
          </w:p>
        </w:tc>
      </w:tr>
      <w:tr w:rsidR="00E37734" w:rsidRPr="004032F4" w14:paraId="49572B9B" w14:textId="77777777" w:rsidTr="00B16D2C">
        <w:trPr>
          <w:cantSplit/>
          <w:jc w:val="center"/>
        </w:trPr>
        <w:tc>
          <w:tcPr>
            <w:tcW w:w="221" w:type="pct"/>
            <w:shd w:val="clear" w:color="auto" w:fill="auto"/>
            <w:noWrap/>
          </w:tcPr>
          <w:p w14:paraId="7BB8B282"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838</w:t>
            </w:r>
          </w:p>
        </w:tc>
        <w:tc>
          <w:tcPr>
            <w:tcW w:w="3286" w:type="pct"/>
            <w:shd w:val="clear" w:color="auto" w:fill="auto"/>
          </w:tcPr>
          <w:p w14:paraId="77A517CA"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Счетная палата Тульской области</w:t>
            </w:r>
          </w:p>
        </w:tc>
        <w:tc>
          <w:tcPr>
            <w:tcW w:w="821" w:type="pct"/>
            <w:shd w:val="clear" w:color="auto" w:fill="auto"/>
            <w:noWrap/>
          </w:tcPr>
          <w:p w14:paraId="138E9640"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56,5</w:t>
            </w:r>
          </w:p>
        </w:tc>
        <w:tc>
          <w:tcPr>
            <w:tcW w:w="672" w:type="pct"/>
            <w:shd w:val="clear" w:color="auto" w:fill="auto"/>
            <w:noWrap/>
          </w:tcPr>
          <w:p w14:paraId="6026BE16"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0,3%</w:t>
            </w:r>
          </w:p>
        </w:tc>
      </w:tr>
      <w:tr w:rsidR="00E37734" w:rsidRPr="004032F4" w14:paraId="4DD32C7A" w14:textId="77777777" w:rsidTr="00B16D2C">
        <w:trPr>
          <w:cantSplit/>
          <w:jc w:val="center"/>
        </w:trPr>
        <w:tc>
          <w:tcPr>
            <w:tcW w:w="221" w:type="pct"/>
            <w:shd w:val="clear" w:color="auto" w:fill="auto"/>
            <w:noWrap/>
          </w:tcPr>
          <w:p w14:paraId="3030BC71"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839</w:t>
            </w:r>
          </w:p>
        </w:tc>
        <w:tc>
          <w:tcPr>
            <w:tcW w:w="3286" w:type="pct"/>
            <w:shd w:val="clear" w:color="auto" w:fill="auto"/>
          </w:tcPr>
          <w:p w14:paraId="58B9FA70"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Министерство цифрового развития и связи Тульской области</w:t>
            </w:r>
          </w:p>
        </w:tc>
        <w:tc>
          <w:tcPr>
            <w:tcW w:w="821" w:type="pct"/>
            <w:shd w:val="clear" w:color="auto" w:fill="auto"/>
            <w:noWrap/>
          </w:tcPr>
          <w:p w14:paraId="71C98E26"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60,4</w:t>
            </w:r>
          </w:p>
        </w:tc>
        <w:tc>
          <w:tcPr>
            <w:tcW w:w="672" w:type="pct"/>
            <w:shd w:val="clear" w:color="auto" w:fill="auto"/>
            <w:noWrap/>
          </w:tcPr>
          <w:p w14:paraId="5C5F447C"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0,3%</w:t>
            </w:r>
          </w:p>
        </w:tc>
      </w:tr>
      <w:tr w:rsidR="00E37734" w:rsidRPr="004032F4" w14:paraId="03DD692F" w14:textId="77777777" w:rsidTr="00B16D2C">
        <w:trPr>
          <w:cantSplit/>
          <w:jc w:val="center"/>
        </w:trPr>
        <w:tc>
          <w:tcPr>
            <w:tcW w:w="221" w:type="pct"/>
            <w:shd w:val="clear" w:color="auto" w:fill="auto"/>
            <w:noWrap/>
          </w:tcPr>
          <w:p w14:paraId="395E1F95"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842</w:t>
            </w:r>
          </w:p>
        </w:tc>
        <w:tc>
          <w:tcPr>
            <w:tcW w:w="3286" w:type="pct"/>
            <w:shd w:val="clear" w:color="auto" w:fill="auto"/>
          </w:tcPr>
          <w:p w14:paraId="6AEE7A1B"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Государственная жилищная инспекция Тульской области</w:t>
            </w:r>
          </w:p>
        </w:tc>
        <w:tc>
          <w:tcPr>
            <w:tcW w:w="821" w:type="pct"/>
            <w:shd w:val="clear" w:color="auto" w:fill="auto"/>
            <w:noWrap/>
          </w:tcPr>
          <w:p w14:paraId="59CF5BFD"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52,6</w:t>
            </w:r>
          </w:p>
        </w:tc>
        <w:tc>
          <w:tcPr>
            <w:tcW w:w="672" w:type="pct"/>
            <w:shd w:val="clear" w:color="auto" w:fill="auto"/>
            <w:noWrap/>
          </w:tcPr>
          <w:p w14:paraId="0308CE42"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0,3%</w:t>
            </w:r>
          </w:p>
        </w:tc>
      </w:tr>
      <w:tr w:rsidR="00E37734" w:rsidRPr="004032F4" w14:paraId="428ED03E" w14:textId="77777777" w:rsidTr="00B16D2C">
        <w:trPr>
          <w:cantSplit/>
          <w:jc w:val="center"/>
        </w:trPr>
        <w:tc>
          <w:tcPr>
            <w:tcW w:w="221" w:type="pct"/>
            <w:shd w:val="clear" w:color="auto" w:fill="auto"/>
            <w:noWrap/>
          </w:tcPr>
          <w:p w14:paraId="6018F42F"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845</w:t>
            </w:r>
          </w:p>
        </w:tc>
        <w:tc>
          <w:tcPr>
            <w:tcW w:w="3286" w:type="pct"/>
            <w:shd w:val="clear" w:color="auto" w:fill="auto"/>
          </w:tcPr>
          <w:p w14:paraId="385CA42E" w14:textId="77777777" w:rsidR="00E37734" w:rsidRPr="004032F4" w:rsidRDefault="00E37734" w:rsidP="00E37734">
            <w:pPr>
              <w:spacing w:after="0" w:line="240" w:lineRule="auto"/>
              <w:rPr>
                <w:rFonts w:ascii="Times New Roman" w:hAnsi="Times New Roman" w:cs="Times New Roman"/>
                <w:color w:val="000000"/>
                <w:sz w:val="20"/>
                <w:szCs w:val="20"/>
              </w:rPr>
            </w:pPr>
            <w:r w:rsidRPr="004032F4">
              <w:rPr>
                <w:rFonts w:ascii="Times New Roman" w:hAnsi="Times New Roman" w:cs="Times New Roman"/>
                <w:color w:val="000000"/>
                <w:sz w:val="20"/>
                <w:szCs w:val="20"/>
              </w:rPr>
              <w:t>Уполномоченный по правам человека в Тульской области, уполномоченный по правам ребенка в Тульской области, уполномоченный по защите прав предпринимателей в Тульской области и аппарат уполномоченных в Тульской области</w:t>
            </w:r>
          </w:p>
        </w:tc>
        <w:tc>
          <w:tcPr>
            <w:tcW w:w="821" w:type="pct"/>
            <w:shd w:val="clear" w:color="auto" w:fill="auto"/>
            <w:noWrap/>
          </w:tcPr>
          <w:p w14:paraId="55133F98"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34,8</w:t>
            </w:r>
          </w:p>
        </w:tc>
        <w:tc>
          <w:tcPr>
            <w:tcW w:w="672" w:type="pct"/>
            <w:shd w:val="clear" w:color="auto" w:fill="auto"/>
            <w:noWrap/>
          </w:tcPr>
          <w:p w14:paraId="5E7B7D9D"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0,2%</w:t>
            </w:r>
          </w:p>
        </w:tc>
      </w:tr>
      <w:tr w:rsidR="00E37734" w:rsidRPr="004032F4" w14:paraId="498D80AE" w14:textId="77777777" w:rsidTr="00B16D2C">
        <w:trPr>
          <w:cantSplit/>
          <w:jc w:val="center"/>
        </w:trPr>
        <w:tc>
          <w:tcPr>
            <w:tcW w:w="3507" w:type="pct"/>
            <w:gridSpan w:val="2"/>
            <w:shd w:val="clear" w:color="auto" w:fill="auto"/>
            <w:noWrap/>
            <w:vAlign w:val="center"/>
            <w:hideMark/>
          </w:tcPr>
          <w:p w14:paraId="7BD7BD0D" w14:textId="77777777" w:rsidR="00E37734" w:rsidRPr="004032F4" w:rsidRDefault="00E37734" w:rsidP="00E37734">
            <w:pPr>
              <w:spacing w:after="0" w:line="240" w:lineRule="auto"/>
              <w:rPr>
                <w:rFonts w:ascii="Times New Roman" w:eastAsia="Times New Roman" w:hAnsi="Times New Roman" w:cs="Times New Roman"/>
                <w:b/>
                <w:bCs/>
                <w:color w:val="000000"/>
                <w:sz w:val="20"/>
                <w:szCs w:val="20"/>
                <w:lang w:eastAsia="ru-RU"/>
              </w:rPr>
            </w:pPr>
            <w:r w:rsidRPr="004032F4">
              <w:rPr>
                <w:rFonts w:ascii="Times New Roman" w:eastAsia="Times New Roman" w:hAnsi="Times New Roman" w:cs="Times New Roman"/>
                <w:b/>
                <w:bCs/>
                <w:color w:val="000000"/>
                <w:sz w:val="20"/>
                <w:szCs w:val="20"/>
                <w:lang w:eastAsia="ru-RU"/>
              </w:rPr>
              <w:t>ВСЕГО</w:t>
            </w:r>
          </w:p>
        </w:tc>
        <w:tc>
          <w:tcPr>
            <w:tcW w:w="821" w:type="pct"/>
            <w:shd w:val="clear" w:color="auto" w:fill="auto"/>
            <w:noWrap/>
            <w:vAlign w:val="center"/>
            <w:hideMark/>
          </w:tcPr>
          <w:p w14:paraId="1E7C9675"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17 300,0</w:t>
            </w:r>
          </w:p>
        </w:tc>
        <w:tc>
          <w:tcPr>
            <w:tcW w:w="672" w:type="pct"/>
            <w:shd w:val="clear" w:color="auto" w:fill="auto"/>
            <w:noWrap/>
            <w:vAlign w:val="center"/>
            <w:hideMark/>
          </w:tcPr>
          <w:p w14:paraId="2CA4CE5D" w14:textId="77777777" w:rsidR="00E37734" w:rsidRPr="004032F4" w:rsidRDefault="00E37734" w:rsidP="00E37734">
            <w:pPr>
              <w:spacing w:after="0" w:line="240" w:lineRule="auto"/>
              <w:jc w:val="right"/>
              <w:rPr>
                <w:rFonts w:ascii="Times New Roman" w:hAnsi="Times New Roman" w:cs="Times New Roman"/>
                <w:color w:val="000000"/>
                <w:sz w:val="20"/>
                <w:szCs w:val="20"/>
              </w:rPr>
            </w:pPr>
            <w:r w:rsidRPr="004032F4">
              <w:rPr>
                <w:rFonts w:ascii="Times New Roman" w:hAnsi="Times New Roman" w:cs="Times New Roman"/>
                <w:color w:val="000000"/>
                <w:sz w:val="20"/>
                <w:szCs w:val="20"/>
              </w:rPr>
              <w:t>х</w:t>
            </w:r>
          </w:p>
        </w:tc>
      </w:tr>
    </w:tbl>
    <w:p w14:paraId="5EFBEE1B" w14:textId="77777777" w:rsidR="00E37734" w:rsidRPr="004032F4" w:rsidRDefault="00E37734" w:rsidP="00E37734">
      <w:pPr>
        <w:widowControl w:val="0"/>
        <w:tabs>
          <w:tab w:val="left" w:pos="993"/>
        </w:tabs>
        <w:spacing w:before="120"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Как видно из таблицы, наибольшие доли непрограммных расходов приходятся на Правительство Тульской области – 9,8% (1 692,6 млн. рублей), министерство образования Тульской области – 12,9% (2 232,2 млн.  рублей, из них резервные средства в целях софинансирования субсидий из федерального </w:t>
      </w:r>
      <w:r w:rsidRPr="004032F4">
        <w:rPr>
          <w:rFonts w:ascii="Times New Roman" w:eastAsia="Times New Roman" w:hAnsi="Times New Roman" w:cs="Times New Roman"/>
          <w:sz w:val="28"/>
          <w:szCs w:val="28"/>
          <w:lang w:eastAsia="ru-RU"/>
        </w:rPr>
        <w:lastRenderedPageBreak/>
        <w:t>бюджета, в том числе в рамках финансирования региональных проектов, – 2 219,5 млн. рублей) и министерство финансов Тульской области – 39,5% (6 837,3 млн. рублей, из них бюджетные ассигнования резервного фонда Правительства Тульской области – 6 338,3 млн. рублей).</w:t>
      </w:r>
    </w:p>
    <w:p w14:paraId="515D0638" w14:textId="77777777" w:rsidR="00E37734" w:rsidRPr="004032F4" w:rsidRDefault="00E37734" w:rsidP="00E37734">
      <w:pPr>
        <w:widowControl w:val="0"/>
        <w:tabs>
          <w:tab w:val="left" w:pos="993"/>
        </w:tabs>
        <w:spacing w:before="120" w:after="0" w:line="240" w:lineRule="auto"/>
        <w:ind w:firstLine="709"/>
        <w:jc w:val="both"/>
        <w:rPr>
          <w:rFonts w:ascii="Times New Roman" w:eastAsia="Times New Roman" w:hAnsi="Times New Roman" w:cs="Times New Roman"/>
          <w:sz w:val="28"/>
          <w:szCs w:val="28"/>
          <w:lang w:eastAsia="ru-RU"/>
        </w:rPr>
      </w:pPr>
      <w:r w:rsidRPr="004032F4">
        <w:rPr>
          <w:rFonts w:ascii="Times New Roman" w:hAnsi="Times New Roman" w:cs="Times New Roman"/>
          <w:sz w:val="28"/>
          <w:szCs w:val="28"/>
        </w:rPr>
        <w:t>Анализ непрограммных расходов в разрезе видов расходов позволяет охарактеризовать структуру непрограммных расходов следующим образом:</w:t>
      </w:r>
    </w:p>
    <w:p w14:paraId="78C47924" w14:textId="77777777" w:rsidR="00E37734" w:rsidRPr="004032F4" w:rsidRDefault="00E37734" w:rsidP="00E37734">
      <w:pPr>
        <w:widowControl w:val="0"/>
        <w:tabs>
          <w:tab w:val="left" w:pos="993"/>
        </w:tabs>
        <w:spacing w:after="0" w:line="240" w:lineRule="auto"/>
        <w:ind w:firstLine="709"/>
        <w:jc w:val="both"/>
        <w:rPr>
          <w:rFonts w:ascii="Times New Roman" w:eastAsia="Times New Roman" w:hAnsi="Times New Roman" w:cs="Times New Roman"/>
          <w:lang w:eastAsia="ru-RU"/>
        </w:rPr>
      </w:pPr>
      <w:r w:rsidRPr="004032F4">
        <w:rPr>
          <w:rFonts w:ascii="Times New Roman" w:eastAsia="Times New Roman" w:hAnsi="Times New Roman" w:cs="Times New Roman"/>
          <w:lang w:eastAsia="ru-RU"/>
        </w:rPr>
        <w:t>59,4% непрограммных расходов (10 272,1 млн. рублей) – бюджетные ассигнования резервного фонда Правительства Тульской области, а также резервные средства в целях софинансирования субсидий из федерального бюджета, в том числе в рамках финансирования региональных проектов;</w:t>
      </w:r>
    </w:p>
    <w:p w14:paraId="24686260" w14:textId="77777777" w:rsidR="00E37734" w:rsidRPr="004032F4" w:rsidRDefault="00E37734" w:rsidP="00E37734">
      <w:pPr>
        <w:widowControl w:val="0"/>
        <w:tabs>
          <w:tab w:val="left" w:pos="993"/>
        </w:tabs>
        <w:spacing w:after="0" w:line="240" w:lineRule="auto"/>
        <w:ind w:firstLine="709"/>
        <w:jc w:val="both"/>
        <w:rPr>
          <w:rFonts w:ascii="Times New Roman" w:eastAsia="Times New Roman" w:hAnsi="Times New Roman" w:cs="Times New Roman"/>
          <w:lang w:eastAsia="ru-RU"/>
        </w:rPr>
      </w:pPr>
      <w:r w:rsidRPr="004032F4">
        <w:rPr>
          <w:rFonts w:ascii="Times New Roman" w:eastAsia="Times New Roman" w:hAnsi="Times New Roman" w:cs="Times New Roman"/>
          <w:lang w:eastAsia="ru-RU"/>
        </w:rPr>
        <w:t>10,7% (1 844,9 млн. рублей) – на выплаты персоналу государственных органов и казенных учреждений;</w:t>
      </w:r>
    </w:p>
    <w:p w14:paraId="5392BFEF" w14:textId="77777777" w:rsidR="00E37734" w:rsidRPr="004032F4" w:rsidRDefault="00E37734" w:rsidP="00E37734">
      <w:pPr>
        <w:widowControl w:val="0"/>
        <w:tabs>
          <w:tab w:val="left" w:pos="993"/>
        </w:tabs>
        <w:spacing w:after="0" w:line="240" w:lineRule="auto"/>
        <w:ind w:firstLine="709"/>
        <w:jc w:val="both"/>
        <w:rPr>
          <w:rFonts w:ascii="Times New Roman" w:eastAsia="Times New Roman" w:hAnsi="Times New Roman" w:cs="Times New Roman"/>
          <w:lang w:eastAsia="ru-RU"/>
        </w:rPr>
      </w:pPr>
      <w:r w:rsidRPr="004032F4">
        <w:rPr>
          <w:rFonts w:ascii="Times New Roman" w:eastAsia="Times New Roman" w:hAnsi="Times New Roman" w:cs="Times New Roman"/>
          <w:lang w:eastAsia="ru-RU"/>
        </w:rPr>
        <w:t>10,6% (1 841,7 млн. рублей) – на осуществление закупок;</w:t>
      </w:r>
    </w:p>
    <w:p w14:paraId="3FDA2378" w14:textId="77777777" w:rsidR="00E37734" w:rsidRPr="004032F4" w:rsidRDefault="00E37734" w:rsidP="00E37734">
      <w:pPr>
        <w:widowControl w:val="0"/>
        <w:tabs>
          <w:tab w:val="left" w:pos="993"/>
        </w:tabs>
        <w:spacing w:after="0" w:line="240" w:lineRule="auto"/>
        <w:ind w:firstLine="709"/>
        <w:jc w:val="both"/>
        <w:rPr>
          <w:rFonts w:ascii="Times New Roman" w:eastAsia="Times New Roman" w:hAnsi="Times New Roman" w:cs="Times New Roman"/>
          <w:lang w:eastAsia="ru-RU"/>
        </w:rPr>
      </w:pPr>
      <w:r w:rsidRPr="004032F4">
        <w:rPr>
          <w:rFonts w:ascii="Times New Roman" w:eastAsia="Times New Roman" w:hAnsi="Times New Roman" w:cs="Times New Roman"/>
          <w:lang w:eastAsia="ru-RU"/>
        </w:rPr>
        <w:t>7,7% (1 326,8 млн рублей) – на предоставление межбюджетных трансфертов;</w:t>
      </w:r>
    </w:p>
    <w:p w14:paraId="2E8F7ECC" w14:textId="77777777" w:rsidR="00E37734" w:rsidRPr="004032F4" w:rsidRDefault="00E37734" w:rsidP="00E37734">
      <w:pPr>
        <w:widowControl w:val="0"/>
        <w:tabs>
          <w:tab w:val="left" w:pos="993"/>
        </w:tabs>
        <w:spacing w:after="0" w:line="240" w:lineRule="auto"/>
        <w:ind w:firstLine="709"/>
        <w:jc w:val="both"/>
        <w:rPr>
          <w:rFonts w:ascii="Times New Roman" w:eastAsia="Times New Roman" w:hAnsi="Times New Roman" w:cs="Times New Roman"/>
          <w:lang w:eastAsia="ru-RU"/>
        </w:rPr>
      </w:pPr>
      <w:r w:rsidRPr="004032F4">
        <w:rPr>
          <w:rFonts w:ascii="Times New Roman" w:eastAsia="Times New Roman" w:hAnsi="Times New Roman" w:cs="Times New Roman"/>
          <w:lang w:eastAsia="ru-RU"/>
        </w:rPr>
        <w:t>6,5% (1 116,9 млн. рублей) – на предоставление субсидий бюджетным, автономным учреждениям и иным некоммерческим организациям;</w:t>
      </w:r>
    </w:p>
    <w:p w14:paraId="52002788" w14:textId="77777777" w:rsidR="00E37734" w:rsidRPr="004032F4" w:rsidRDefault="00E37734" w:rsidP="00E37734">
      <w:pPr>
        <w:widowControl w:val="0"/>
        <w:tabs>
          <w:tab w:val="left" w:pos="993"/>
        </w:tabs>
        <w:spacing w:after="0" w:line="240" w:lineRule="auto"/>
        <w:ind w:firstLine="709"/>
        <w:jc w:val="both"/>
        <w:rPr>
          <w:rFonts w:ascii="Times New Roman" w:eastAsia="Times New Roman" w:hAnsi="Times New Roman" w:cs="Times New Roman"/>
          <w:lang w:eastAsia="ru-RU"/>
        </w:rPr>
      </w:pPr>
      <w:r w:rsidRPr="004032F4">
        <w:rPr>
          <w:rFonts w:ascii="Times New Roman" w:eastAsia="Times New Roman" w:hAnsi="Times New Roman" w:cs="Times New Roman"/>
          <w:lang w:eastAsia="ru-RU"/>
        </w:rPr>
        <w:t>4,3% (752,4 млн. рублей) – на премии и гранты, а также иные выплаты населению;</w:t>
      </w:r>
    </w:p>
    <w:p w14:paraId="6AF97AEC" w14:textId="77777777" w:rsidR="00E37734" w:rsidRPr="004032F4" w:rsidRDefault="00E37734" w:rsidP="00E37734">
      <w:pPr>
        <w:widowControl w:val="0"/>
        <w:tabs>
          <w:tab w:val="left" w:pos="993"/>
        </w:tabs>
        <w:spacing w:after="0" w:line="240" w:lineRule="auto"/>
        <w:ind w:firstLine="709"/>
        <w:jc w:val="both"/>
        <w:rPr>
          <w:rFonts w:ascii="Times New Roman" w:eastAsia="Times New Roman" w:hAnsi="Times New Roman" w:cs="Times New Roman"/>
          <w:lang w:eastAsia="ru-RU"/>
        </w:rPr>
      </w:pPr>
      <w:r w:rsidRPr="004032F4">
        <w:rPr>
          <w:rFonts w:ascii="Times New Roman" w:eastAsia="Times New Roman" w:hAnsi="Times New Roman" w:cs="Times New Roman"/>
          <w:lang w:eastAsia="ru-RU"/>
        </w:rPr>
        <w:t>0,6% (100,3 млн. рублей) – на предоставление субсидий коммерческим организациям, индивидуальным предпринимателям, физическим лицам – производителям товаров, работ, услуг;</w:t>
      </w:r>
    </w:p>
    <w:p w14:paraId="7FEDACDC" w14:textId="77777777" w:rsidR="00E37734" w:rsidRPr="004032F4" w:rsidRDefault="00E37734" w:rsidP="00E37734">
      <w:pPr>
        <w:widowControl w:val="0"/>
        <w:tabs>
          <w:tab w:val="left" w:pos="993"/>
        </w:tabs>
        <w:spacing w:after="0" w:line="240" w:lineRule="auto"/>
        <w:ind w:firstLine="709"/>
        <w:jc w:val="both"/>
        <w:rPr>
          <w:rFonts w:ascii="Times New Roman" w:eastAsia="Times New Roman" w:hAnsi="Times New Roman" w:cs="Times New Roman"/>
          <w:lang w:eastAsia="ru-RU"/>
        </w:rPr>
      </w:pPr>
      <w:r w:rsidRPr="004032F4">
        <w:rPr>
          <w:rFonts w:ascii="Times New Roman" w:eastAsia="Times New Roman" w:hAnsi="Times New Roman" w:cs="Times New Roman"/>
          <w:lang w:eastAsia="ru-RU"/>
        </w:rPr>
        <w:t>0,2% (29,9 млн. рублей) – на уплату налогов и иных платежей;</w:t>
      </w:r>
    </w:p>
    <w:p w14:paraId="5C0D814F" w14:textId="77777777" w:rsidR="00E37734" w:rsidRPr="004032F4" w:rsidRDefault="00E37734" w:rsidP="00E37734">
      <w:pPr>
        <w:widowControl w:val="0"/>
        <w:tabs>
          <w:tab w:val="left" w:pos="993"/>
        </w:tabs>
        <w:spacing w:after="0" w:line="240" w:lineRule="auto"/>
        <w:ind w:firstLine="709"/>
        <w:jc w:val="both"/>
        <w:rPr>
          <w:rFonts w:ascii="Times New Roman" w:eastAsia="Times New Roman" w:hAnsi="Times New Roman" w:cs="Times New Roman"/>
          <w:lang w:eastAsia="ru-RU"/>
        </w:rPr>
      </w:pPr>
      <w:r w:rsidRPr="004032F4">
        <w:rPr>
          <w:rFonts w:ascii="Times New Roman" w:eastAsia="Times New Roman" w:hAnsi="Times New Roman" w:cs="Times New Roman"/>
          <w:lang w:eastAsia="ru-RU"/>
        </w:rPr>
        <w:t>менее 0,1% (14,6 млн. рублей) – на проведение выборов и референдумов;</w:t>
      </w:r>
    </w:p>
    <w:p w14:paraId="0D26AA9D" w14:textId="77777777" w:rsidR="00E37734" w:rsidRPr="004032F4" w:rsidRDefault="00E37734" w:rsidP="00E37734">
      <w:pPr>
        <w:widowControl w:val="0"/>
        <w:tabs>
          <w:tab w:val="left" w:pos="993"/>
        </w:tabs>
        <w:spacing w:after="0" w:line="240" w:lineRule="auto"/>
        <w:ind w:firstLine="709"/>
        <w:jc w:val="both"/>
        <w:rPr>
          <w:rFonts w:ascii="Times New Roman" w:eastAsia="Times New Roman" w:hAnsi="Times New Roman" w:cs="Times New Roman"/>
          <w:lang w:eastAsia="ru-RU"/>
        </w:rPr>
      </w:pPr>
      <w:r w:rsidRPr="004032F4">
        <w:rPr>
          <w:rFonts w:ascii="Times New Roman" w:eastAsia="Times New Roman" w:hAnsi="Times New Roman" w:cs="Times New Roman"/>
          <w:lang w:eastAsia="ru-RU"/>
        </w:rPr>
        <w:t>менее 0,01% (0,3 млн. рублей) – на исполнение судебных актов.</w:t>
      </w:r>
    </w:p>
    <w:p w14:paraId="7EC48BAB" w14:textId="3D9E042B" w:rsidR="00DE65E1" w:rsidRPr="004032F4" w:rsidRDefault="00D875D8" w:rsidP="002B2848">
      <w:pPr>
        <w:widowControl w:val="0"/>
        <w:tabs>
          <w:tab w:val="left" w:pos="993"/>
        </w:tabs>
        <w:spacing w:before="120" w:after="0" w:line="240" w:lineRule="auto"/>
        <w:ind w:firstLine="709"/>
        <w:jc w:val="both"/>
        <w:rPr>
          <w:rFonts w:ascii="Times New Roman" w:hAnsi="Times New Roman" w:cs="Times New Roman"/>
          <w:i/>
          <w:sz w:val="28"/>
          <w:szCs w:val="28"/>
        </w:rPr>
      </w:pPr>
      <w:r w:rsidRPr="004032F4">
        <w:rPr>
          <w:rFonts w:ascii="Times New Roman" w:hAnsi="Times New Roman" w:cs="Times New Roman"/>
          <w:b/>
          <w:sz w:val="28"/>
          <w:szCs w:val="28"/>
        </w:rPr>
        <w:t>3.7. </w:t>
      </w:r>
      <w:r w:rsidR="00DE65E1" w:rsidRPr="004032F4">
        <w:rPr>
          <w:rFonts w:ascii="Times New Roman" w:hAnsi="Times New Roman" w:cs="Times New Roman"/>
          <w:i/>
          <w:sz w:val="28"/>
          <w:szCs w:val="28"/>
        </w:rPr>
        <w:t xml:space="preserve">Реализация региональных проектов в </w:t>
      </w:r>
      <w:r w:rsidR="00933509" w:rsidRPr="004032F4">
        <w:rPr>
          <w:rFonts w:ascii="Times New Roman" w:hAnsi="Times New Roman" w:cs="Times New Roman"/>
          <w:i/>
          <w:sz w:val="28"/>
          <w:szCs w:val="28"/>
        </w:rPr>
        <w:t>2025</w:t>
      </w:r>
      <w:r w:rsidR="00DE65E1" w:rsidRPr="004032F4">
        <w:rPr>
          <w:rFonts w:ascii="Times New Roman" w:hAnsi="Times New Roman" w:cs="Times New Roman"/>
          <w:i/>
          <w:sz w:val="28"/>
          <w:szCs w:val="28"/>
        </w:rPr>
        <w:t>-</w:t>
      </w:r>
      <w:r w:rsidR="00933509" w:rsidRPr="004032F4">
        <w:rPr>
          <w:rFonts w:ascii="Times New Roman" w:hAnsi="Times New Roman" w:cs="Times New Roman"/>
          <w:i/>
          <w:sz w:val="28"/>
          <w:szCs w:val="28"/>
        </w:rPr>
        <w:t>2027</w:t>
      </w:r>
      <w:r w:rsidR="00DE65E1" w:rsidRPr="004032F4">
        <w:rPr>
          <w:rFonts w:ascii="Times New Roman" w:hAnsi="Times New Roman" w:cs="Times New Roman"/>
          <w:i/>
          <w:sz w:val="28"/>
          <w:szCs w:val="28"/>
        </w:rPr>
        <w:t xml:space="preserve"> годах</w:t>
      </w:r>
    </w:p>
    <w:p w14:paraId="77FC25AC" w14:textId="7839C3F6" w:rsidR="00E37734" w:rsidRPr="004032F4" w:rsidRDefault="00E37734" w:rsidP="002B2848">
      <w:pPr>
        <w:tabs>
          <w:tab w:val="left" w:pos="993"/>
        </w:tabs>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Указом Президента Российской Федерации от 07.05.2024 №309 определены национальные цели развития Российской Федерации на период до 2030 года и на перспективу до 2036 года, соответствующие целевые показатели и задачи, в соответствии с которыми Правительству Российской Федерации надлежало разработать (скорректировать) национальные проекты по обеспечению технологического лидерства страны, национальные проекты «Продолжительная и активная жизнь», «Семья», «Молодежь и дети», «Кадры», «Инфраструктура для жизни», «Эффективная транспортная система», «Экологическое благополучие», «Эффективная и конкурентная экономика», «Туризм и гостеприимство», «Международная кооперация и экспорт», «Экономика данных и цифровая трансформация государства».</w:t>
      </w:r>
    </w:p>
    <w:p w14:paraId="1F3E2AA7" w14:textId="77777777" w:rsidR="00E37734" w:rsidRPr="004032F4" w:rsidRDefault="00E37734" w:rsidP="00E37734">
      <w:pPr>
        <w:tabs>
          <w:tab w:val="left" w:pos="993"/>
        </w:tabs>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В целях отражения бюджетных ассигнований на реализацию указанных национальных проектов в бюджетах бюджетной системы Российской Федерации Минфином России разработаны новые принципы формирования кодов целевых статей расходов на реализацию национальных проектов с применением преимущественно букв русского алфавита и буквы «</w:t>
      </w:r>
      <w:r w:rsidRPr="004032F4">
        <w:rPr>
          <w:rFonts w:ascii="Times New Roman" w:hAnsi="Times New Roman" w:cs="Times New Roman"/>
          <w:sz w:val="28"/>
          <w:szCs w:val="28"/>
          <w:lang w:val="en-US"/>
        </w:rPr>
        <w:t>Y</w:t>
      </w:r>
      <w:r w:rsidRPr="004032F4">
        <w:rPr>
          <w:rFonts w:ascii="Times New Roman" w:hAnsi="Times New Roman" w:cs="Times New Roman"/>
          <w:sz w:val="28"/>
          <w:szCs w:val="28"/>
        </w:rPr>
        <w:t>» латинского алфавита, а также цифр.</w:t>
      </w:r>
    </w:p>
    <w:p w14:paraId="2EF70330" w14:textId="77777777" w:rsidR="00E37734" w:rsidRPr="004032F4" w:rsidRDefault="00E37734" w:rsidP="007E0556">
      <w:pPr>
        <w:tabs>
          <w:tab w:val="left" w:pos="993"/>
        </w:tabs>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На финансовое обеспечение региональных проектов, разработанных и утвержденных в целях реализации указанных выше национальных проектов, на 2025 год Законопроектом предусматривается 2 448,9 млн. рублей, в том числе за счет средств федерального бюджета – 5,5 млн. рублей (0,2% общего объема), на плановый период 2026 и 2027 годов – соответственно 1 582,5 млн. рублей и 1 583,0 млн. рублей, в том числе за счет средств федерального бюджета – 74,7 млн. рублей (4,7%) и 79,6 млн. рублей (5%).</w:t>
      </w:r>
    </w:p>
    <w:p w14:paraId="55421CF5" w14:textId="77777777" w:rsidR="00E37734" w:rsidRPr="007E0556" w:rsidRDefault="00E37734" w:rsidP="00E37734">
      <w:pPr>
        <w:tabs>
          <w:tab w:val="left" w:pos="993"/>
        </w:tabs>
        <w:spacing w:after="0" w:line="240" w:lineRule="auto"/>
        <w:ind w:firstLine="709"/>
        <w:jc w:val="both"/>
        <w:rPr>
          <w:rFonts w:ascii="Times New Roman" w:hAnsi="Times New Roman" w:cs="Times New Roman"/>
          <w:spacing w:val="-4"/>
          <w:sz w:val="28"/>
          <w:szCs w:val="28"/>
        </w:rPr>
      </w:pPr>
      <w:r w:rsidRPr="007E0556">
        <w:rPr>
          <w:rFonts w:ascii="Times New Roman" w:hAnsi="Times New Roman" w:cs="Times New Roman"/>
          <w:spacing w:val="-4"/>
          <w:sz w:val="28"/>
          <w:szCs w:val="28"/>
        </w:rPr>
        <w:t xml:space="preserve">Кроме того, в целях софинансирования субсидий из федерального бюджета, которые будут предусмотрены бюджету области в рамках </w:t>
      </w:r>
      <w:r w:rsidRPr="007E0556">
        <w:rPr>
          <w:rFonts w:ascii="Times New Roman" w:hAnsi="Times New Roman" w:cs="Times New Roman"/>
          <w:spacing w:val="-4"/>
          <w:sz w:val="28"/>
          <w:szCs w:val="28"/>
        </w:rPr>
        <w:lastRenderedPageBreak/>
        <w:t>национальных проектов, в бюджете области в составе непрограммных расходов зарезервированы средства в следующих объемах: на 2025 год – 2 817,9 млн. рублей, на 2026 год – 2 042,5 млн. рублей, на 2027 год – 1 656,8 млн. рублей.</w:t>
      </w:r>
    </w:p>
    <w:p w14:paraId="645DB8A5" w14:textId="77777777" w:rsidR="00E37734" w:rsidRPr="004032F4" w:rsidRDefault="00E37734" w:rsidP="00E3773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Доля расходов на финансирование региональных проектов (с учетом зарезервированных средств) в общем объеме расходов бюджета области на 2025 год составит 4%, что меньше, чем в 2024 году</w:t>
      </w:r>
      <w:r w:rsidRPr="004032F4">
        <w:rPr>
          <w:rFonts w:ascii="Times New Roman" w:hAnsi="Times New Roman" w:cs="Times New Roman"/>
          <w:sz w:val="28"/>
          <w:szCs w:val="28"/>
          <w:vertAlign w:val="superscript"/>
        </w:rPr>
        <w:footnoteReference w:id="23"/>
      </w:r>
      <w:r w:rsidRPr="004032F4">
        <w:rPr>
          <w:rFonts w:ascii="Times New Roman" w:eastAsia="Times New Roman" w:hAnsi="Times New Roman" w:cs="Times New Roman"/>
          <w:sz w:val="28"/>
          <w:szCs w:val="28"/>
          <w:lang w:eastAsia="ru-RU"/>
        </w:rPr>
        <w:t>, на 6 процентных пунктов.</w:t>
      </w:r>
    </w:p>
    <w:p w14:paraId="7A818361" w14:textId="77777777" w:rsidR="00E37734" w:rsidRPr="004032F4" w:rsidRDefault="00E37734" w:rsidP="007E0556">
      <w:pPr>
        <w:tabs>
          <w:tab w:val="left" w:pos="993"/>
        </w:tabs>
        <w:spacing w:after="12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Динамика расходов бюджета области в 2024-2027 годах</w:t>
      </w:r>
      <w:r w:rsidRPr="004032F4">
        <w:rPr>
          <w:rFonts w:ascii="Times New Roman" w:hAnsi="Times New Roman" w:cs="Times New Roman"/>
          <w:sz w:val="28"/>
          <w:szCs w:val="28"/>
        </w:rPr>
        <w:t xml:space="preserve"> в целом на реализацию региональных проектов представлена на следующей диаграмме</w:t>
      </w:r>
      <w:r w:rsidRPr="004032F4">
        <w:rPr>
          <w:rFonts w:ascii="Times New Roman" w:hAnsi="Times New Roman" w:cs="Times New Roman"/>
          <w:sz w:val="28"/>
          <w:szCs w:val="28"/>
          <w:vertAlign w:val="superscript"/>
        </w:rPr>
        <w:footnoteReference w:id="24"/>
      </w:r>
      <w:r w:rsidRPr="004032F4">
        <w:rPr>
          <w:rFonts w:ascii="Times New Roman" w:eastAsia="Times New Roman" w:hAnsi="Times New Roman" w:cs="Times New Roman"/>
          <w:sz w:val="28"/>
          <w:szCs w:val="28"/>
          <w:lang w:eastAsia="ru-RU"/>
        </w:rPr>
        <w:t>.</w:t>
      </w:r>
    </w:p>
    <w:p w14:paraId="1BAA2640" w14:textId="103FEC81" w:rsidR="00E37734" w:rsidRPr="004032F4" w:rsidRDefault="00E37734" w:rsidP="00E37734">
      <w:pPr>
        <w:tabs>
          <w:tab w:val="left" w:pos="993"/>
        </w:tabs>
        <w:spacing w:before="120" w:after="120" w:line="240" w:lineRule="auto"/>
        <w:jc w:val="both"/>
        <w:rPr>
          <w:rFonts w:ascii="Times New Roman" w:eastAsia="Times New Roman" w:hAnsi="Times New Roman" w:cs="Times New Roman"/>
          <w:sz w:val="28"/>
          <w:szCs w:val="28"/>
          <w:lang w:eastAsia="ru-RU"/>
        </w:rPr>
      </w:pPr>
      <w:r w:rsidRPr="004032F4">
        <w:rPr>
          <w:rFonts w:ascii="Times New Roman" w:eastAsia="Calibri" w:hAnsi="Times New Roman" w:cs="Times New Roman"/>
          <w:noProof/>
          <w:kern w:val="28"/>
          <w:sz w:val="28"/>
          <w:szCs w:val="28"/>
          <w:lang w:eastAsia="ru-RU"/>
        </w:rPr>
        <w:drawing>
          <wp:inline distT="0" distB="0" distL="0" distR="0" wp14:anchorId="7F60BABF" wp14:editId="1E7B5634">
            <wp:extent cx="5781675" cy="29527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879018" w14:textId="077643DB" w:rsidR="00E37734" w:rsidRPr="004032F4" w:rsidRDefault="00E37734" w:rsidP="00E37734">
      <w:pPr>
        <w:tabs>
          <w:tab w:val="left" w:pos="993"/>
        </w:tabs>
        <w:spacing w:before="120" w:after="12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В 2025-2027 годах финансовое обеспечение предусматривается по 8 региональным проектам</w:t>
      </w:r>
      <w:r w:rsidR="009721E4" w:rsidRPr="004032F4">
        <w:rPr>
          <w:rFonts w:ascii="Times New Roman" w:hAnsi="Times New Roman" w:cs="Times New Roman"/>
          <w:sz w:val="28"/>
          <w:szCs w:val="28"/>
        </w:rPr>
        <w:t>.</w:t>
      </w:r>
    </w:p>
    <w:tbl>
      <w:tblPr>
        <w:tblStyle w:val="150"/>
        <w:tblW w:w="5202" w:type="pct"/>
        <w:tblInd w:w="-147" w:type="dxa"/>
        <w:tblCellMar>
          <w:left w:w="57" w:type="dxa"/>
          <w:right w:w="57" w:type="dxa"/>
        </w:tblCellMar>
        <w:tblLook w:val="04A0" w:firstRow="1" w:lastRow="0" w:firstColumn="1" w:lastColumn="0" w:noHBand="0" w:noVBand="1"/>
      </w:tblPr>
      <w:tblGrid>
        <w:gridCol w:w="3753"/>
        <w:gridCol w:w="989"/>
        <w:gridCol w:w="983"/>
        <w:gridCol w:w="706"/>
        <w:gridCol w:w="983"/>
        <w:gridCol w:w="706"/>
        <w:gridCol w:w="885"/>
        <w:gridCol w:w="716"/>
      </w:tblGrid>
      <w:tr w:rsidR="00E37734" w:rsidRPr="004032F4" w14:paraId="7C85BF69" w14:textId="77777777" w:rsidTr="00E37734">
        <w:trPr>
          <w:cantSplit/>
          <w:tblHeader/>
        </w:trPr>
        <w:tc>
          <w:tcPr>
            <w:tcW w:w="3754" w:type="dxa"/>
            <w:vMerge w:val="restart"/>
            <w:vAlign w:val="center"/>
          </w:tcPr>
          <w:p w14:paraId="437C5677" w14:textId="77777777" w:rsidR="00E37734" w:rsidRPr="004032F4" w:rsidRDefault="00E37734" w:rsidP="00E37734">
            <w:pPr>
              <w:tabs>
                <w:tab w:val="left" w:pos="993"/>
              </w:tabs>
              <w:jc w:val="center"/>
              <w:rPr>
                <w:sz w:val="16"/>
                <w:szCs w:val="16"/>
              </w:rPr>
            </w:pPr>
            <w:r w:rsidRPr="004032F4">
              <w:rPr>
                <w:sz w:val="16"/>
                <w:szCs w:val="16"/>
              </w:rPr>
              <w:t xml:space="preserve">Национальный / региональный проект с 2025 года </w:t>
            </w:r>
            <w:r w:rsidRPr="004032F4">
              <w:rPr>
                <w:sz w:val="16"/>
                <w:szCs w:val="16"/>
              </w:rPr>
              <w:br/>
              <w:t>(сопоставимые региональные проекты 2024 года)</w:t>
            </w:r>
          </w:p>
          <w:p w14:paraId="140DE461" w14:textId="77777777" w:rsidR="00E37734" w:rsidRPr="004032F4" w:rsidRDefault="00E37734" w:rsidP="00E37734">
            <w:pPr>
              <w:tabs>
                <w:tab w:val="left" w:pos="993"/>
              </w:tabs>
              <w:rPr>
                <w:sz w:val="16"/>
                <w:szCs w:val="16"/>
              </w:rPr>
            </w:pPr>
          </w:p>
        </w:tc>
        <w:tc>
          <w:tcPr>
            <w:tcW w:w="989" w:type="dxa"/>
            <w:vAlign w:val="center"/>
          </w:tcPr>
          <w:p w14:paraId="73FF2C36" w14:textId="77777777" w:rsidR="00E37734" w:rsidRPr="004032F4" w:rsidRDefault="00E37734" w:rsidP="00E37734">
            <w:pPr>
              <w:tabs>
                <w:tab w:val="left" w:pos="993"/>
              </w:tabs>
              <w:jc w:val="center"/>
              <w:rPr>
                <w:sz w:val="16"/>
                <w:szCs w:val="16"/>
              </w:rPr>
            </w:pPr>
            <w:r w:rsidRPr="004032F4">
              <w:rPr>
                <w:sz w:val="16"/>
                <w:szCs w:val="16"/>
              </w:rPr>
              <w:t>2024 год</w:t>
            </w:r>
          </w:p>
        </w:tc>
        <w:tc>
          <w:tcPr>
            <w:tcW w:w="1689" w:type="dxa"/>
            <w:gridSpan w:val="2"/>
            <w:vAlign w:val="center"/>
          </w:tcPr>
          <w:p w14:paraId="1F4FFEB1" w14:textId="77777777" w:rsidR="00E37734" w:rsidRPr="004032F4" w:rsidRDefault="00E37734" w:rsidP="00E37734">
            <w:pPr>
              <w:tabs>
                <w:tab w:val="left" w:pos="993"/>
              </w:tabs>
              <w:jc w:val="center"/>
              <w:rPr>
                <w:sz w:val="16"/>
                <w:szCs w:val="16"/>
              </w:rPr>
            </w:pPr>
            <w:r w:rsidRPr="004032F4">
              <w:rPr>
                <w:sz w:val="16"/>
                <w:szCs w:val="16"/>
              </w:rPr>
              <w:t>2025 год</w:t>
            </w:r>
          </w:p>
        </w:tc>
        <w:tc>
          <w:tcPr>
            <w:tcW w:w="1689" w:type="dxa"/>
            <w:gridSpan w:val="2"/>
            <w:vAlign w:val="center"/>
          </w:tcPr>
          <w:p w14:paraId="5AEA9581" w14:textId="77777777" w:rsidR="00E37734" w:rsidRPr="004032F4" w:rsidRDefault="00E37734" w:rsidP="00E37734">
            <w:pPr>
              <w:tabs>
                <w:tab w:val="left" w:pos="993"/>
              </w:tabs>
              <w:jc w:val="center"/>
              <w:rPr>
                <w:sz w:val="16"/>
                <w:szCs w:val="16"/>
              </w:rPr>
            </w:pPr>
            <w:r w:rsidRPr="004032F4">
              <w:rPr>
                <w:sz w:val="16"/>
                <w:szCs w:val="16"/>
              </w:rPr>
              <w:t>2026 год</w:t>
            </w:r>
          </w:p>
        </w:tc>
        <w:tc>
          <w:tcPr>
            <w:tcW w:w="1601" w:type="dxa"/>
            <w:gridSpan w:val="2"/>
            <w:vAlign w:val="center"/>
          </w:tcPr>
          <w:p w14:paraId="74766175" w14:textId="77777777" w:rsidR="00E37734" w:rsidRPr="004032F4" w:rsidRDefault="00E37734" w:rsidP="00E37734">
            <w:pPr>
              <w:tabs>
                <w:tab w:val="left" w:pos="993"/>
              </w:tabs>
              <w:jc w:val="center"/>
              <w:rPr>
                <w:sz w:val="16"/>
                <w:szCs w:val="16"/>
              </w:rPr>
            </w:pPr>
            <w:r w:rsidRPr="004032F4">
              <w:rPr>
                <w:sz w:val="16"/>
                <w:szCs w:val="16"/>
              </w:rPr>
              <w:t>2027 год</w:t>
            </w:r>
          </w:p>
        </w:tc>
      </w:tr>
      <w:tr w:rsidR="00E37734" w:rsidRPr="004032F4" w14:paraId="1D5F9D0F" w14:textId="77777777" w:rsidTr="00E37734">
        <w:trPr>
          <w:cantSplit/>
          <w:tblHeader/>
        </w:trPr>
        <w:tc>
          <w:tcPr>
            <w:tcW w:w="3754" w:type="dxa"/>
            <w:vMerge/>
            <w:vAlign w:val="center"/>
          </w:tcPr>
          <w:p w14:paraId="320D0D5D" w14:textId="77777777" w:rsidR="00E37734" w:rsidRPr="004032F4" w:rsidRDefault="00E37734" w:rsidP="00E37734">
            <w:pPr>
              <w:tabs>
                <w:tab w:val="left" w:pos="993"/>
              </w:tabs>
              <w:jc w:val="center"/>
              <w:rPr>
                <w:sz w:val="16"/>
                <w:szCs w:val="16"/>
              </w:rPr>
            </w:pPr>
          </w:p>
        </w:tc>
        <w:tc>
          <w:tcPr>
            <w:tcW w:w="989" w:type="dxa"/>
            <w:vAlign w:val="center"/>
          </w:tcPr>
          <w:p w14:paraId="39C68A1E" w14:textId="77777777" w:rsidR="00E37734" w:rsidRPr="004032F4" w:rsidRDefault="00E37734" w:rsidP="00E37734">
            <w:pPr>
              <w:tabs>
                <w:tab w:val="left" w:pos="993"/>
              </w:tabs>
              <w:jc w:val="center"/>
              <w:rPr>
                <w:sz w:val="16"/>
                <w:szCs w:val="16"/>
              </w:rPr>
            </w:pPr>
            <w:r w:rsidRPr="004032F4">
              <w:rPr>
                <w:sz w:val="16"/>
                <w:szCs w:val="16"/>
              </w:rPr>
              <w:t>Сводная бюджетная роспись на 01.11.2024, млн. рублей</w:t>
            </w:r>
          </w:p>
        </w:tc>
        <w:tc>
          <w:tcPr>
            <w:tcW w:w="983" w:type="dxa"/>
            <w:vAlign w:val="center"/>
          </w:tcPr>
          <w:p w14:paraId="10AD78DE" w14:textId="77777777" w:rsidR="00E37734" w:rsidRPr="004032F4" w:rsidRDefault="00E37734" w:rsidP="00E37734">
            <w:pPr>
              <w:tabs>
                <w:tab w:val="left" w:pos="993"/>
              </w:tabs>
              <w:jc w:val="center"/>
              <w:rPr>
                <w:sz w:val="16"/>
                <w:szCs w:val="16"/>
              </w:rPr>
            </w:pPr>
            <w:r w:rsidRPr="004032F4">
              <w:rPr>
                <w:sz w:val="16"/>
                <w:szCs w:val="16"/>
              </w:rPr>
              <w:t>Законо</w:t>
            </w:r>
            <w:r w:rsidRPr="004032F4">
              <w:rPr>
                <w:sz w:val="16"/>
                <w:szCs w:val="16"/>
              </w:rPr>
              <w:softHyphen/>
              <w:t>проект, млн. рублей</w:t>
            </w:r>
          </w:p>
        </w:tc>
        <w:tc>
          <w:tcPr>
            <w:tcW w:w="706" w:type="dxa"/>
            <w:vAlign w:val="center"/>
          </w:tcPr>
          <w:p w14:paraId="6A029990" w14:textId="77777777" w:rsidR="00E37734" w:rsidRPr="004032F4" w:rsidRDefault="00E37734" w:rsidP="00E37734">
            <w:pPr>
              <w:tabs>
                <w:tab w:val="left" w:pos="993"/>
              </w:tabs>
              <w:jc w:val="center"/>
              <w:rPr>
                <w:i/>
                <w:sz w:val="16"/>
                <w:szCs w:val="16"/>
              </w:rPr>
            </w:pPr>
            <w:r w:rsidRPr="004032F4">
              <w:rPr>
                <w:i/>
                <w:sz w:val="16"/>
                <w:szCs w:val="16"/>
              </w:rPr>
              <w:t>Темп при</w:t>
            </w:r>
            <w:r w:rsidRPr="004032F4">
              <w:rPr>
                <w:i/>
                <w:sz w:val="16"/>
                <w:szCs w:val="16"/>
              </w:rPr>
              <w:softHyphen/>
              <w:t>роста</w:t>
            </w:r>
          </w:p>
        </w:tc>
        <w:tc>
          <w:tcPr>
            <w:tcW w:w="983" w:type="dxa"/>
            <w:vAlign w:val="center"/>
          </w:tcPr>
          <w:p w14:paraId="00CA1D02" w14:textId="77777777" w:rsidR="00E37734" w:rsidRPr="004032F4" w:rsidRDefault="00E37734" w:rsidP="00E37734">
            <w:pPr>
              <w:tabs>
                <w:tab w:val="left" w:pos="993"/>
              </w:tabs>
              <w:jc w:val="center"/>
              <w:rPr>
                <w:sz w:val="16"/>
                <w:szCs w:val="16"/>
              </w:rPr>
            </w:pPr>
            <w:r w:rsidRPr="004032F4">
              <w:rPr>
                <w:sz w:val="16"/>
                <w:szCs w:val="16"/>
              </w:rPr>
              <w:t>Законо</w:t>
            </w:r>
            <w:r w:rsidRPr="004032F4">
              <w:rPr>
                <w:sz w:val="16"/>
                <w:szCs w:val="16"/>
              </w:rPr>
              <w:softHyphen/>
              <w:t>проект, млн. рублей</w:t>
            </w:r>
          </w:p>
        </w:tc>
        <w:tc>
          <w:tcPr>
            <w:tcW w:w="706" w:type="dxa"/>
            <w:vAlign w:val="center"/>
          </w:tcPr>
          <w:p w14:paraId="64C77438" w14:textId="77777777" w:rsidR="00E37734" w:rsidRPr="004032F4" w:rsidRDefault="00E37734" w:rsidP="00E37734">
            <w:pPr>
              <w:tabs>
                <w:tab w:val="left" w:pos="993"/>
              </w:tabs>
              <w:jc w:val="center"/>
              <w:rPr>
                <w:i/>
                <w:sz w:val="16"/>
                <w:szCs w:val="16"/>
              </w:rPr>
            </w:pPr>
            <w:r w:rsidRPr="004032F4">
              <w:rPr>
                <w:i/>
                <w:sz w:val="16"/>
                <w:szCs w:val="16"/>
              </w:rPr>
              <w:t>Темп при</w:t>
            </w:r>
            <w:r w:rsidRPr="004032F4">
              <w:rPr>
                <w:i/>
                <w:sz w:val="16"/>
                <w:szCs w:val="16"/>
              </w:rPr>
              <w:softHyphen/>
              <w:t>роста</w:t>
            </w:r>
          </w:p>
        </w:tc>
        <w:tc>
          <w:tcPr>
            <w:tcW w:w="885" w:type="dxa"/>
            <w:vAlign w:val="center"/>
          </w:tcPr>
          <w:p w14:paraId="52C285C6" w14:textId="77777777" w:rsidR="00E37734" w:rsidRPr="004032F4" w:rsidRDefault="00E37734" w:rsidP="00E37734">
            <w:pPr>
              <w:tabs>
                <w:tab w:val="left" w:pos="993"/>
              </w:tabs>
              <w:jc w:val="center"/>
              <w:rPr>
                <w:sz w:val="16"/>
                <w:szCs w:val="16"/>
              </w:rPr>
            </w:pPr>
            <w:r w:rsidRPr="004032F4">
              <w:rPr>
                <w:sz w:val="16"/>
                <w:szCs w:val="16"/>
              </w:rPr>
              <w:t>Законо</w:t>
            </w:r>
            <w:r w:rsidRPr="004032F4">
              <w:rPr>
                <w:sz w:val="16"/>
                <w:szCs w:val="16"/>
              </w:rPr>
              <w:softHyphen/>
              <w:t>проект, млн. рублей</w:t>
            </w:r>
          </w:p>
        </w:tc>
        <w:tc>
          <w:tcPr>
            <w:tcW w:w="716" w:type="dxa"/>
            <w:vAlign w:val="center"/>
          </w:tcPr>
          <w:p w14:paraId="0B92E4C9" w14:textId="77777777" w:rsidR="00E37734" w:rsidRPr="004032F4" w:rsidRDefault="00E37734" w:rsidP="00E37734">
            <w:pPr>
              <w:tabs>
                <w:tab w:val="left" w:pos="993"/>
              </w:tabs>
              <w:jc w:val="center"/>
              <w:rPr>
                <w:i/>
                <w:sz w:val="16"/>
                <w:szCs w:val="16"/>
              </w:rPr>
            </w:pPr>
            <w:r w:rsidRPr="004032F4">
              <w:rPr>
                <w:i/>
                <w:sz w:val="16"/>
                <w:szCs w:val="16"/>
              </w:rPr>
              <w:t>Темп при</w:t>
            </w:r>
            <w:r w:rsidRPr="004032F4">
              <w:rPr>
                <w:i/>
                <w:sz w:val="16"/>
                <w:szCs w:val="16"/>
              </w:rPr>
              <w:softHyphen/>
              <w:t>роста</w:t>
            </w:r>
          </w:p>
        </w:tc>
      </w:tr>
      <w:tr w:rsidR="00E37734" w:rsidRPr="004032F4" w14:paraId="70F2EB5D" w14:textId="77777777" w:rsidTr="00E37734">
        <w:trPr>
          <w:cantSplit/>
        </w:trPr>
        <w:tc>
          <w:tcPr>
            <w:tcW w:w="9722" w:type="dxa"/>
            <w:gridSpan w:val="8"/>
            <w:shd w:val="clear" w:color="auto" w:fill="FBE4D5" w:themeFill="accent2" w:themeFillTint="33"/>
            <w:vAlign w:val="center"/>
          </w:tcPr>
          <w:p w14:paraId="7818F81A" w14:textId="77777777" w:rsidR="00E37734" w:rsidRPr="004032F4" w:rsidRDefault="00E37734" w:rsidP="00E37734">
            <w:pPr>
              <w:tabs>
                <w:tab w:val="left" w:pos="993"/>
              </w:tabs>
              <w:rPr>
                <w:b/>
                <w:i/>
                <w:sz w:val="16"/>
                <w:szCs w:val="16"/>
              </w:rPr>
            </w:pPr>
            <w:r w:rsidRPr="004032F4">
              <w:rPr>
                <w:b/>
                <w:sz w:val="16"/>
                <w:szCs w:val="16"/>
              </w:rPr>
              <w:t>И «Инфраструктура для жизни»</w:t>
            </w:r>
          </w:p>
        </w:tc>
      </w:tr>
      <w:tr w:rsidR="00E37734" w:rsidRPr="004032F4" w14:paraId="3AFF6F7C" w14:textId="77777777" w:rsidTr="00E37734">
        <w:trPr>
          <w:cantSplit/>
        </w:trPr>
        <w:tc>
          <w:tcPr>
            <w:tcW w:w="3754" w:type="dxa"/>
            <w:vAlign w:val="center"/>
          </w:tcPr>
          <w:p w14:paraId="323C3A9C" w14:textId="77777777" w:rsidR="00E37734" w:rsidRPr="004032F4" w:rsidRDefault="00E37734" w:rsidP="00E37734">
            <w:pPr>
              <w:tabs>
                <w:tab w:val="left" w:pos="993"/>
              </w:tabs>
              <w:ind w:left="164"/>
              <w:rPr>
                <w:sz w:val="16"/>
                <w:szCs w:val="16"/>
              </w:rPr>
            </w:pPr>
            <w:r w:rsidRPr="004032F4">
              <w:rPr>
                <w:sz w:val="16"/>
                <w:szCs w:val="16"/>
              </w:rPr>
              <w:t>И4 «Формирование комфортной городской среды» (</w:t>
            </w:r>
            <w:r w:rsidRPr="004032F4">
              <w:rPr>
                <w:sz w:val="16"/>
                <w:szCs w:val="16"/>
                <w:lang w:val="en-US"/>
              </w:rPr>
              <w:t>F</w:t>
            </w:r>
            <w:r w:rsidRPr="004032F4">
              <w:rPr>
                <w:sz w:val="16"/>
                <w:szCs w:val="16"/>
              </w:rPr>
              <w:t>2)</w:t>
            </w:r>
          </w:p>
        </w:tc>
        <w:tc>
          <w:tcPr>
            <w:tcW w:w="989" w:type="dxa"/>
            <w:vAlign w:val="center"/>
          </w:tcPr>
          <w:p w14:paraId="4BA134D5" w14:textId="77777777" w:rsidR="00E37734" w:rsidRPr="004032F4" w:rsidRDefault="00E37734" w:rsidP="00E37734">
            <w:pPr>
              <w:tabs>
                <w:tab w:val="left" w:pos="993"/>
              </w:tabs>
              <w:jc w:val="right"/>
              <w:rPr>
                <w:sz w:val="16"/>
                <w:szCs w:val="16"/>
                <w:lang w:val="en-US"/>
              </w:rPr>
            </w:pPr>
            <w:r w:rsidRPr="004032F4">
              <w:rPr>
                <w:sz w:val="16"/>
                <w:szCs w:val="16"/>
                <w:lang w:val="en-US"/>
              </w:rPr>
              <w:t>713</w:t>
            </w:r>
            <w:r w:rsidRPr="004032F4">
              <w:rPr>
                <w:sz w:val="16"/>
                <w:szCs w:val="16"/>
              </w:rPr>
              <w:t>,</w:t>
            </w:r>
            <w:r w:rsidRPr="004032F4">
              <w:rPr>
                <w:sz w:val="16"/>
                <w:szCs w:val="16"/>
                <w:lang w:val="en-US"/>
              </w:rPr>
              <w:t>8</w:t>
            </w:r>
          </w:p>
        </w:tc>
        <w:tc>
          <w:tcPr>
            <w:tcW w:w="983" w:type="dxa"/>
            <w:vAlign w:val="center"/>
          </w:tcPr>
          <w:p w14:paraId="0274B822" w14:textId="77777777" w:rsidR="00E37734" w:rsidRPr="004032F4" w:rsidRDefault="00E37734" w:rsidP="00E37734">
            <w:pPr>
              <w:tabs>
                <w:tab w:val="left" w:pos="993"/>
              </w:tabs>
              <w:jc w:val="right"/>
              <w:rPr>
                <w:b/>
                <w:sz w:val="16"/>
                <w:szCs w:val="16"/>
              </w:rPr>
            </w:pPr>
            <w:r w:rsidRPr="004032F4">
              <w:rPr>
                <w:b/>
                <w:sz w:val="16"/>
                <w:szCs w:val="16"/>
              </w:rPr>
              <w:t>350,0</w:t>
            </w:r>
          </w:p>
        </w:tc>
        <w:tc>
          <w:tcPr>
            <w:tcW w:w="706" w:type="dxa"/>
            <w:vAlign w:val="center"/>
          </w:tcPr>
          <w:p w14:paraId="52C8A147" w14:textId="77777777" w:rsidR="00E37734" w:rsidRPr="004032F4" w:rsidRDefault="00E37734" w:rsidP="00E37734">
            <w:pPr>
              <w:tabs>
                <w:tab w:val="left" w:pos="993"/>
              </w:tabs>
              <w:jc w:val="right"/>
              <w:rPr>
                <w:i/>
                <w:sz w:val="16"/>
                <w:szCs w:val="16"/>
              </w:rPr>
            </w:pPr>
            <w:r w:rsidRPr="004032F4">
              <w:rPr>
                <w:i/>
                <w:sz w:val="16"/>
                <w:szCs w:val="16"/>
              </w:rPr>
              <w:t>-51,0%</w:t>
            </w:r>
          </w:p>
        </w:tc>
        <w:tc>
          <w:tcPr>
            <w:tcW w:w="983" w:type="dxa"/>
            <w:vAlign w:val="center"/>
          </w:tcPr>
          <w:p w14:paraId="75E01215" w14:textId="77777777" w:rsidR="00E37734" w:rsidRPr="004032F4" w:rsidRDefault="00E37734" w:rsidP="00E37734">
            <w:pPr>
              <w:tabs>
                <w:tab w:val="left" w:pos="993"/>
              </w:tabs>
              <w:jc w:val="right"/>
              <w:rPr>
                <w:b/>
                <w:sz w:val="16"/>
                <w:szCs w:val="16"/>
              </w:rPr>
            </w:pPr>
            <w:r w:rsidRPr="004032F4">
              <w:rPr>
                <w:b/>
                <w:sz w:val="16"/>
                <w:szCs w:val="16"/>
              </w:rPr>
              <w:t>375,0</w:t>
            </w:r>
          </w:p>
        </w:tc>
        <w:tc>
          <w:tcPr>
            <w:tcW w:w="706" w:type="dxa"/>
            <w:vAlign w:val="center"/>
          </w:tcPr>
          <w:p w14:paraId="3022B90C" w14:textId="77777777" w:rsidR="00E37734" w:rsidRPr="004032F4" w:rsidRDefault="00E37734" w:rsidP="00E37734">
            <w:pPr>
              <w:tabs>
                <w:tab w:val="left" w:pos="993"/>
              </w:tabs>
              <w:jc w:val="right"/>
              <w:rPr>
                <w:i/>
                <w:sz w:val="16"/>
                <w:szCs w:val="16"/>
              </w:rPr>
            </w:pPr>
            <w:r w:rsidRPr="004032F4">
              <w:rPr>
                <w:i/>
                <w:sz w:val="16"/>
                <w:szCs w:val="16"/>
              </w:rPr>
              <w:t>+7,1%</w:t>
            </w:r>
          </w:p>
        </w:tc>
        <w:tc>
          <w:tcPr>
            <w:tcW w:w="885" w:type="dxa"/>
            <w:vAlign w:val="center"/>
          </w:tcPr>
          <w:p w14:paraId="3F21E04B" w14:textId="77777777" w:rsidR="00E37734" w:rsidRPr="004032F4" w:rsidRDefault="00E37734" w:rsidP="00E37734">
            <w:pPr>
              <w:tabs>
                <w:tab w:val="left" w:pos="993"/>
              </w:tabs>
              <w:jc w:val="right"/>
              <w:rPr>
                <w:b/>
                <w:sz w:val="16"/>
                <w:szCs w:val="16"/>
              </w:rPr>
            </w:pPr>
            <w:r w:rsidRPr="004032F4">
              <w:rPr>
                <w:b/>
                <w:sz w:val="16"/>
                <w:szCs w:val="16"/>
              </w:rPr>
              <w:t>375,0</w:t>
            </w:r>
          </w:p>
        </w:tc>
        <w:tc>
          <w:tcPr>
            <w:tcW w:w="716" w:type="dxa"/>
            <w:vAlign w:val="center"/>
          </w:tcPr>
          <w:p w14:paraId="11A67C68" w14:textId="77777777" w:rsidR="00E37734" w:rsidRPr="004032F4" w:rsidRDefault="00E37734" w:rsidP="00E37734">
            <w:pPr>
              <w:tabs>
                <w:tab w:val="left" w:pos="993"/>
              </w:tabs>
              <w:jc w:val="right"/>
              <w:rPr>
                <w:i/>
                <w:sz w:val="16"/>
                <w:szCs w:val="16"/>
              </w:rPr>
            </w:pPr>
            <w:r w:rsidRPr="004032F4">
              <w:rPr>
                <w:i/>
                <w:sz w:val="16"/>
                <w:szCs w:val="16"/>
              </w:rPr>
              <w:t>0,0%</w:t>
            </w:r>
          </w:p>
        </w:tc>
      </w:tr>
      <w:tr w:rsidR="00E37734" w:rsidRPr="004032F4" w14:paraId="66567473" w14:textId="77777777" w:rsidTr="00E37734">
        <w:trPr>
          <w:cantSplit/>
        </w:trPr>
        <w:tc>
          <w:tcPr>
            <w:tcW w:w="3754" w:type="dxa"/>
            <w:vAlign w:val="center"/>
          </w:tcPr>
          <w:p w14:paraId="7464A962" w14:textId="77777777" w:rsidR="00E37734" w:rsidRPr="004032F4" w:rsidRDefault="00E37734" w:rsidP="00E37734">
            <w:pPr>
              <w:tabs>
                <w:tab w:val="left" w:pos="993"/>
              </w:tabs>
              <w:ind w:left="164"/>
              <w:rPr>
                <w:sz w:val="16"/>
                <w:szCs w:val="16"/>
              </w:rPr>
            </w:pPr>
            <w:r w:rsidRPr="004032F4">
              <w:rPr>
                <w:sz w:val="16"/>
                <w:szCs w:val="16"/>
              </w:rPr>
              <w:t>И5 «Безопасность дорожного движения» (</w:t>
            </w:r>
            <w:r w:rsidRPr="004032F4">
              <w:rPr>
                <w:sz w:val="16"/>
                <w:szCs w:val="16"/>
                <w:lang w:val="en-US"/>
              </w:rPr>
              <w:t>R</w:t>
            </w:r>
            <w:r w:rsidRPr="004032F4">
              <w:rPr>
                <w:sz w:val="16"/>
                <w:szCs w:val="16"/>
              </w:rPr>
              <w:t>3)</w:t>
            </w:r>
          </w:p>
        </w:tc>
        <w:tc>
          <w:tcPr>
            <w:tcW w:w="989" w:type="dxa"/>
            <w:vAlign w:val="center"/>
          </w:tcPr>
          <w:p w14:paraId="54C2FD6D" w14:textId="77777777" w:rsidR="00E37734" w:rsidRPr="004032F4" w:rsidRDefault="00E37734" w:rsidP="00E37734">
            <w:pPr>
              <w:tabs>
                <w:tab w:val="left" w:pos="993"/>
              </w:tabs>
              <w:jc w:val="right"/>
              <w:rPr>
                <w:sz w:val="16"/>
                <w:szCs w:val="16"/>
              </w:rPr>
            </w:pPr>
            <w:r w:rsidRPr="004032F4">
              <w:rPr>
                <w:sz w:val="16"/>
                <w:szCs w:val="16"/>
              </w:rPr>
              <w:t>7,3</w:t>
            </w:r>
          </w:p>
        </w:tc>
        <w:tc>
          <w:tcPr>
            <w:tcW w:w="983" w:type="dxa"/>
            <w:vAlign w:val="center"/>
          </w:tcPr>
          <w:p w14:paraId="57811CEE" w14:textId="77777777" w:rsidR="00E37734" w:rsidRPr="004032F4" w:rsidRDefault="00E37734" w:rsidP="00E37734">
            <w:pPr>
              <w:tabs>
                <w:tab w:val="left" w:pos="993"/>
              </w:tabs>
              <w:jc w:val="right"/>
              <w:rPr>
                <w:b/>
                <w:sz w:val="16"/>
                <w:szCs w:val="16"/>
              </w:rPr>
            </w:pPr>
            <w:r w:rsidRPr="004032F4">
              <w:rPr>
                <w:b/>
                <w:sz w:val="16"/>
                <w:szCs w:val="16"/>
              </w:rPr>
              <w:t>7,3</w:t>
            </w:r>
          </w:p>
        </w:tc>
        <w:tc>
          <w:tcPr>
            <w:tcW w:w="706" w:type="dxa"/>
            <w:vAlign w:val="center"/>
          </w:tcPr>
          <w:p w14:paraId="0F3FCA9A" w14:textId="77777777" w:rsidR="00E37734" w:rsidRPr="004032F4" w:rsidRDefault="00E37734" w:rsidP="00E37734">
            <w:pPr>
              <w:tabs>
                <w:tab w:val="left" w:pos="993"/>
              </w:tabs>
              <w:jc w:val="right"/>
              <w:rPr>
                <w:i/>
                <w:sz w:val="16"/>
                <w:szCs w:val="16"/>
              </w:rPr>
            </w:pPr>
            <w:r w:rsidRPr="004032F4">
              <w:rPr>
                <w:i/>
                <w:sz w:val="16"/>
                <w:szCs w:val="16"/>
              </w:rPr>
              <w:t>0,0%</w:t>
            </w:r>
          </w:p>
        </w:tc>
        <w:tc>
          <w:tcPr>
            <w:tcW w:w="983" w:type="dxa"/>
            <w:vAlign w:val="center"/>
          </w:tcPr>
          <w:p w14:paraId="1D4C3E41" w14:textId="77777777" w:rsidR="00E37734" w:rsidRPr="004032F4" w:rsidRDefault="00E37734" w:rsidP="00E37734">
            <w:pPr>
              <w:tabs>
                <w:tab w:val="left" w:pos="993"/>
              </w:tabs>
              <w:jc w:val="right"/>
              <w:rPr>
                <w:b/>
                <w:sz w:val="16"/>
                <w:szCs w:val="16"/>
              </w:rPr>
            </w:pPr>
            <w:r w:rsidRPr="004032F4">
              <w:rPr>
                <w:b/>
                <w:sz w:val="16"/>
                <w:szCs w:val="16"/>
              </w:rPr>
              <w:t>7,3</w:t>
            </w:r>
          </w:p>
        </w:tc>
        <w:tc>
          <w:tcPr>
            <w:tcW w:w="706" w:type="dxa"/>
            <w:vAlign w:val="center"/>
          </w:tcPr>
          <w:p w14:paraId="10FD01F5" w14:textId="77777777" w:rsidR="00E37734" w:rsidRPr="004032F4" w:rsidRDefault="00E37734" w:rsidP="00E37734">
            <w:pPr>
              <w:tabs>
                <w:tab w:val="left" w:pos="993"/>
              </w:tabs>
              <w:jc w:val="right"/>
              <w:rPr>
                <w:i/>
                <w:sz w:val="16"/>
                <w:szCs w:val="16"/>
              </w:rPr>
            </w:pPr>
            <w:r w:rsidRPr="004032F4">
              <w:rPr>
                <w:i/>
                <w:sz w:val="16"/>
                <w:szCs w:val="16"/>
              </w:rPr>
              <w:t>0,0%</w:t>
            </w:r>
          </w:p>
        </w:tc>
        <w:tc>
          <w:tcPr>
            <w:tcW w:w="885" w:type="dxa"/>
            <w:vAlign w:val="center"/>
          </w:tcPr>
          <w:p w14:paraId="5540CC46" w14:textId="77777777" w:rsidR="00E37734" w:rsidRPr="004032F4" w:rsidRDefault="00E37734" w:rsidP="00E37734">
            <w:pPr>
              <w:tabs>
                <w:tab w:val="left" w:pos="993"/>
              </w:tabs>
              <w:jc w:val="right"/>
              <w:rPr>
                <w:b/>
                <w:sz w:val="16"/>
                <w:szCs w:val="16"/>
              </w:rPr>
            </w:pPr>
            <w:r w:rsidRPr="004032F4">
              <w:rPr>
                <w:b/>
                <w:sz w:val="16"/>
                <w:szCs w:val="16"/>
              </w:rPr>
              <w:t>7,3</w:t>
            </w:r>
          </w:p>
        </w:tc>
        <w:tc>
          <w:tcPr>
            <w:tcW w:w="716" w:type="dxa"/>
            <w:vAlign w:val="center"/>
          </w:tcPr>
          <w:p w14:paraId="31E98314" w14:textId="77777777" w:rsidR="00E37734" w:rsidRPr="004032F4" w:rsidRDefault="00E37734" w:rsidP="00E37734">
            <w:pPr>
              <w:tabs>
                <w:tab w:val="left" w:pos="993"/>
              </w:tabs>
              <w:jc w:val="right"/>
              <w:rPr>
                <w:i/>
                <w:sz w:val="16"/>
                <w:szCs w:val="16"/>
              </w:rPr>
            </w:pPr>
            <w:r w:rsidRPr="004032F4">
              <w:rPr>
                <w:i/>
                <w:sz w:val="16"/>
                <w:szCs w:val="16"/>
              </w:rPr>
              <w:t>0,0%</w:t>
            </w:r>
          </w:p>
        </w:tc>
      </w:tr>
      <w:tr w:rsidR="00E37734" w:rsidRPr="004032F4" w14:paraId="01186D70" w14:textId="77777777" w:rsidTr="00E37734">
        <w:trPr>
          <w:cantSplit/>
        </w:trPr>
        <w:tc>
          <w:tcPr>
            <w:tcW w:w="3754" w:type="dxa"/>
            <w:vAlign w:val="center"/>
          </w:tcPr>
          <w:p w14:paraId="1DBE45FB" w14:textId="77777777" w:rsidR="00E37734" w:rsidRPr="004032F4" w:rsidRDefault="00E37734" w:rsidP="00E37734">
            <w:pPr>
              <w:tabs>
                <w:tab w:val="left" w:pos="993"/>
              </w:tabs>
              <w:ind w:left="164"/>
              <w:rPr>
                <w:sz w:val="16"/>
                <w:szCs w:val="16"/>
              </w:rPr>
            </w:pPr>
            <w:r w:rsidRPr="004032F4">
              <w:rPr>
                <w:sz w:val="16"/>
                <w:szCs w:val="16"/>
              </w:rPr>
              <w:t>И8 «Региональная и местная дорожная сеть» (</w:t>
            </w:r>
            <w:r w:rsidRPr="004032F4">
              <w:rPr>
                <w:sz w:val="16"/>
                <w:szCs w:val="16"/>
                <w:lang w:val="en-US"/>
              </w:rPr>
              <w:t>R</w:t>
            </w:r>
            <w:r w:rsidRPr="004032F4">
              <w:rPr>
                <w:sz w:val="16"/>
                <w:szCs w:val="16"/>
              </w:rPr>
              <w:t>1)</w:t>
            </w:r>
          </w:p>
        </w:tc>
        <w:tc>
          <w:tcPr>
            <w:tcW w:w="989" w:type="dxa"/>
            <w:vAlign w:val="center"/>
          </w:tcPr>
          <w:p w14:paraId="278F7EBC" w14:textId="77777777" w:rsidR="00E37734" w:rsidRPr="004032F4" w:rsidRDefault="00E37734" w:rsidP="00E37734">
            <w:pPr>
              <w:tabs>
                <w:tab w:val="left" w:pos="993"/>
              </w:tabs>
              <w:jc w:val="right"/>
              <w:rPr>
                <w:sz w:val="16"/>
                <w:szCs w:val="16"/>
              </w:rPr>
            </w:pPr>
            <w:r w:rsidRPr="004032F4">
              <w:rPr>
                <w:sz w:val="16"/>
                <w:szCs w:val="16"/>
              </w:rPr>
              <w:t>3 326,5</w:t>
            </w:r>
          </w:p>
        </w:tc>
        <w:tc>
          <w:tcPr>
            <w:tcW w:w="983" w:type="dxa"/>
            <w:vAlign w:val="center"/>
          </w:tcPr>
          <w:p w14:paraId="46FDAFE3" w14:textId="77777777" w:rsidR="00E37734" w:rsidRPr="004032F4" w:rsidRDefault="00E37734" w:rsidP="00E37734">
            <w:pPr>
              <w:tabs>
                <w:tab w:val="left" w:pos="993"/>
              </w:tabs>
              <w:jc w:val="right"/>
              <w:rPr>
                <w:b/>
                <w:sz w:val="16"/>
                <w:szCs w:val="16"/>
              </w:rPr>
            </w:pPr>
            <w:r w:rsidRPr="004032F4">
              <w:rPr>
                <w:b/>
                <w:sz w:val="16"/>
                <w:szCs w:val="16"/>
              </w:rPr>
              <w:t>1 459,5</w:t>
            </w:r>
          </w:p>
        </w:tc>
        <w:tc>
          <w:tcPr>
            <w:tcW w:w="706" w:type="dxa"/>
            <w:vAlign w:val="center"/>
          </w:tcPr>
          <w:p w14:paraId="0D517D25" w14:textId="77777777" w:rsidR="00E37734" w:rsidRPr="004032F4" w:rsidRDefault="00E37734" w:rsidP="00E37734">
            <w:pPr>
              <w:tabs>
                <w:tab w:val="left" w:pos="993"/>
              </w:tabs>
              <w:jc w:val="right"/>
              <w:rPr>
                <w:i/>
                <w:sz w:val="16"/>
                <w:szCs w:val="16"/>
              </w:rPr>
            </w:pPr>
            <w:r w:rsidRPr="004032F4">
              <w:rPr>
                <w:i/>
                <w:sz w:val="16"/>
                <w:szCs w:val="16"/>
              </w:rPr>
              <w:t>-56,1%</w:t>
            </w:r>
          </w:p>
        </w:tc>
        <w:tc>
          <w:tcPr>
            <w:tcW w:w="983" w:type="dxa"/>
            <w:vAlign w:val="center"/>
          </w:tcPr>
          <w:p w14:paraId="0A3ABA94" w14:textId="77777777" w:rsidR="00E37734" w:rsidRPr="004032F4" w:rsidRDefault="00E37734" w:rsidP="00E37734">
            <w:pPr>
              <w:tabs>
                <w:tab w:val="left" w:pos="993"/>
              </w:tabs>
              <w:jc w:val="right"/>
              <w:rPr>
                <w:b/>
                <w:sz w:val="16"/>
                <w:szCs w:val="16"/>
              </w:rPr>
            </w:pPr>
            <w:r w:rsidRPr="004032F4">
              <w:rPr>
                <w:b/>
                <w:sz w:val="16"/>
                <w:szCs w:val="16"/>
              </w:rPr>
              <w:t>565,4</w:t>
            </w:r>
          </w:p>
        </w:tc>
        <w:tc>
          <w:tcPr>
            <w:tcW w:w="706" w:type="dxa"/>
            <w:vAlign w:val="center"/>
          </w:tcPr>
          <w:p w14:paraId="0A1473D8" w14:textId="77777777" w:rsidR="00E37734" w:rsidRPr="004032F4" w:rsidRDefault="00E37734" w:rsidP="00E37734">
            <w:pPr>
              <w:tabs>
                <w:tab w:val="left" w:pos="993"/>
              </w:tabs>
              <w:jc w:val="right"/>
              <w:rPr>
                <w:i/>
                <w:sz w:val="16"/>
                <w:szCs w:val="16"/>
              </w:rPr>
            </w:pPr>
            <w:r w:rsidRPr="004032F4">
              <w:rPr>
                <w:i/>
                <w:sz w:val="16"/>
                <w:szCs w:val="16"/>
              </w:rPr>
              <w:t>-61,3%</w:t>
            </w:r>
          </w:p>
        </w:tc>
        <w:tc>
          <w:tcPr>
            <w:tcW w:w="885" w:type="dxa"/>
            <w:vAlign w:val="center"/>
          </w:tcPr>
          <w:p w14:paraId="4DACE229" w14:textId="77777777" w:rsidR="00E37734" w:rsidRPr="004032F4" w:rsidRDefault="00E37734" w:rsidP="00E37734">
            <w:pPr>
              <w:tabs>
                <w:tab w:val="left" w:pos="993"/>
              </w:tabs>
              <w:jc w:val="right"/>
              <w:rPr>
                <w:b/>
                <w:sz w:val="16"/>
                <w:szCs w:val="16"/>
              </w:rPr>
            </w:pPr>
            <w:r w:rsidRPr="004032F4">
              <w:rPr>
                <w:b/>
                <w:sz w:val="16"/>
                <w:szCs w:val="16"/>
              </w:rPr>
              <w:t>565,4</w:t>
            </w:r>
          </w:p>
        </w:tc>
        <w:tc>
          <w:tcPr>
            <w:tcW w:w="716" w:type="dxa"/>
            <w:vAlign w:val="center"/>
          </w:tcPr>
          <w:p w14:paraId="7C6D1DAD" w14:textId="77777777" w:rsidR="00E37734" w:rsidRPr="004032F4" w:rsidRDefault="00E37734" w:rsidP="00E37734">
            <w:pPr>
              <w:tabs>
                <w:tab w:val="left" w:pos="993"/>
              </w:tabs>
              <w:jc w:val="right"/>
              <w:rPr>
                <w:i/>
                <w:sz w:val="16"/>
                <w:szCs w:val="16"/>
              </w:rPr>
            </w:pPr>
            <w:r w:rsidRPr="004032F4">
              <w:rPr>
                <w:i/>
                <w:sz w:val="16"/>
                <w:szCs w:val="16"/>
              </w:rPr>
              <w:t>0,0%</w:t>
            </w:r>
          </w:p>
        </w:tc>
      </w:tr>
      <w:tr w:rsidR="00E37734" w:rsidRPr="004032F4" w14:paraId="5AA10C44" w14:textId="77777777" w:rsidTr="00E37734">
        <w:trPr>
          <w:cantSplit/>
        </w:trPr>
        <w:tc>
          <w:tcPr>
            <w:tcW w:w="3754" w:type="dxa"/>
            <w:vAlign w:val="center"/>
          </w:tcPr>
          <w:p w14:paraId="212B1145" w14:textId="77777777" w:rsidR="00E37734" w:rsidRPr="004032F4" w:rsidRDefault="00E37734" w:rsidP="00E37734">
            <w:pPr>
              <w:tabs>
                <w:tab w:val="left" w:pos="993"/>
              </w:tabs>
              <w:ind w:left="164"/>
              <w:rPr>
                <w:sz w:val="16"/>
                <w:szCs w:val="16"/>
              </w:rPr>
            </w:pPr>
            <w:r w:rsidRPr="004032F4">
              <w:rPr>
                <w:sz w:val="16"/>
                <w:szCs w:val="16"/>
              </w:rPr>
              <w:t>И9 «Общесистемные меры развития дорожного хозяйства» (</w:t>
            </w:r>
            <w:r w:rsidRPr="004032F4">
              <w:rPr>
                <w:sz w:val="16"/>
                <w:szCs w:val="16"/>
                <w:lang w:val="en-US"/>
              </w:rPr>
              <w:t>R</w:t>
            </w:r>
            <w:r w:rsidRPr="004032F4">
              <w:rPr>
                <w:sz w:val="16"/>
                <w:szCs w:val="16"/>
              </w:rPr>
              <w:t>2)</w:t>
            </w:r>
          </w:p>
        </w:tc>
        <w:tc>
          <w:tcPr>
            <w:tcW w:w="989" w:type="dxa"/>
            <w:vAlign w:val="center"/>
          </w:tcPr>
          <w:p w14:paraId="0C4244A9" w14:textId="77777777" w:rsidR="00E37734" w:rsidRPr="004032F4" w:rsidRDefault="00E37734" w:rsidP="00E37734">
            <w:pPr>
              <w:tabs>
                <w:tab w:val="left" w:pos="993"/>
              </w:tabs>
              <w:jc w:val="right"/>
              <w:rPr>
                <w:sz w:val="16"/>
                <w:szCs w:val="16"/>
              </w:rPr>
            </w:pPr>
            <w:r w:rsidRPr="004032F4">
              <w:rPr>
                <w:sz w:val="16"/>
                <w:szCs w:val="16"/>
              </w:rPr>
              <w:t>652,3</w:t>
            </w:r>
          </w:p>
        </w:tc>
        <w:tc>
          <w:tcPr>
            <w:tcW w:w="983" w:type="dxa"/>
            <w:vAlign w:val="center"/>
          </w:tcPr>
          <w:p w14:paraId="6550B609" w14:textId="77777777" w:rsidR="00E37734" w:rsidRPr="004032F4" w:rsidRDefault="00E37734" w:rsidP="00E37734">
            <w:pPr>
              <w:tabs>
                <w:tab w:val="left" w:pos="993"/>
              </w:tabs>
              <w:jc w:val="right"/>
              <w:rPr>
                <w:b/>
                <w:sz w:val="16"/>
                <w:szCs w:val="16"/>
              </w:rPr>
            </w:pPr>
            <w:r w:rsidRPr="004032F4">
              <w:rPr>
                <w:b/>
                <w:sz w:val="16"/>
                <w:szCs w:val="16"/>
              </w:rPr>
              <w:t>494,7</w:t>
            </w:r>
          </w:p>
        </w:tc>
        <w:tc>
          <w:tcPr>
            <w:tcW w:w="706" w:type="dxa"/>
            <w:vAlign w:val="center"/>
          </w:tcPr>
          <w:p w14:paraId="64646706" w14:textId="77777777" w:rsidR="00E37734" w:rsidRPr="004032F4" w:rsidRDefault="00E37734" w:rsidP="00E37734">
            <w:pPr>
              <w:tabs>
                <w:tab w:val="left" w:pos="993"/>
              </w:tabs>
              <w:jc w:val="right"/>
              <w:rPr>
                <w:i/>
                <w:sz w:val="16"/>
                <w:szCs w:val="16"/>
              </w:rPr>
            </w:pPr>
            <w:r w:rsidRPr="004032F4">
              <w:rPr>
                <w:i/>
                <w:sz w:val="16"/>
                <w:szCs w:val="16"/>
              </w:rPr>
              <w:t>-24,2%</w:t>
            </w:r>
          </w:p>
        </w:tc>
        <w:tc>
          <w:tcPr>
            <w:tcW w:w="983" w:type="dxa"/>
            <w:vAlign w:val="center"/>
          </w:tcPr>
          <w:p w14:paraId="7AD13AFA" w14:textId="77777777" w:rsidR="00E37734" w:rsidRPr="004032F4" w:rsidRDefault="00E37734" w:rsidP="00E37734">
            <w:pPr>
              <w:tabs>
                <w:tab w:val="left" w:pos="993"/>
              </w:tabs>
              <w:jc w:val="right"/>
              <w:rPr>
                <w:b/>
                <w:sz w:val="16"/>
                <w:szCs w:val="16"/>
              </w:rPr>
            </w:pPr>
            <w:r w:rsidRPr="004032F4">
              <w:rPr>
                <w:b/>
                <w:sz w:val="16"/>
                <w:szCs w:val="16"/>
              </w:rPr>
              <w:t>479,1</w:t>
            </w:r>
          </w:p>
        </w:tc>
        <w:tc>
          <w:tcPr>
            <w:tcW w:w="706" w:type="dxa"/>
            <w:vAlign w:val="center"/>
          </w:tcPr>
          <w:p w14:paraId="47D074F1" w14:textId="77777777" w:rsidR="00E37734" w:rsidRPr="004032F4" w:rsidRDefault="00E37734" w:rsidP="00E37734">
            <w:pPr>
              <w:tabs>
                <w:tab w:val="left" w:pos="993"/>
              </w:tabs>
              <w:jc w:val="right"/>
              <w:rPr>
                <w:i/>
                <w:sz w:val="16"/>
                <w:szCs w:val="16"/>
              </w:rPr>
            </w:pPr>
            <w:r w:rsidRPr="004032F4">
              <w:rPr>
                <w:i/>
                <w:sz w:val="16"/>
                <w:szCs w:val="16"/>
              </w:rPr>
              <w:t>-3,2%</w:t>
            </w:r>
          </w:p>
        </w:tc>
        <w:tc>
          <w:tcPr>
            <w:tcW w:w="885" w:type="dxa"/>
            <w:vAlign w:val="center"/>
          </w:tcPr>
          <w:p w14:paraId="23231F96" w14:textId="77777777" w:rsidR="00E37734" w:rsidRPr="004032F4" w:rsidRDefault="00E37734" w:rsidP="00E37734">
            <w:pPr>
              <w:tabs>
                <w:tab w:val="left" w:pos="993"/>
              </w:tabs>
              <w:jc w:val="right"/>
              <w:rPr>
                <w:b/>
                <w:sz w:val="16"/>
                <w:szCs w:val="16"/>
              </w:rPr>
            </w:pPr>
            <w:r w:rsidRPr="004032F4">
              <w:rPr>
                <w:b/>
                <w:sz w:val="16"/>
                <w:szCs w:val="16"/>
              </w:rPr>
              <w:t>476,4</w:t>
            </w:r>
          </w:p>
        </w:tc>
        <w:tc>
          <w:tcPr>
            <w:tcW w:w="716" w:type="dxa"/>
            <w:vAlign w:val="center"/>
          </w:tcPr>
          <w:p w14:paraId="157F95C3" w14:textId="77777777" w:rsidR="00E37734" w:rsidRPr="004032F4" w:rsidRDefault="00E37734" w:rsidP="00E37734">
            <w:pPr>
              <w:tabs>
                <w:tab w:val="left" w:pos="993"/>
              </w:tabs>
              <w:jc w:val="right"/>
              <w:rPr>
                <w:i/>
                <w:sz w:val="16"/>
                <w:szCs w:val="16"/>
              </w:rPr>
            </w:pPr>
            <w:r w:rsidRPr="004032F4">
              <w:rPr>
                <w:i/>
                <w:sz w:val="16"/>
                <w:szCs w:val="16"/>
              </w:rPr>
              <w:t>-0,6%</w:t>
            </w:r>
          </w:p>
        </w:tc>
      </w:tr>
      <w:tr w:rsidR="00E37734" w:rsidRPr="004032F4" w14:paraId="61B20400" w14:textId="77777777" w:rsidTr="00E37734">
        <w:trPr>
          <w:cantSplit/>
        </w:trPr>
        <w:tc>
          <w:tcPr>
            <w:tcW w:w="9722" w:type="dxa"/>
            <w:gridSpan w:val="8"/>
            <w:shd w:val="clear" w:color="auto" w:fill="FBE4D5" w:themeFill="accent2" w:themeFillTint="33"/>
            <w:vAlign w:val="center"/>
          </w:tcPr>
          <w:p w14:paraId="6F606FE8" w14:textId="77777777" w:rsidR="00E37734" w:rsidRPr="004032F4" w:rsidRDefault="00E37734" w:rsidP="00E37734">
            <w:pPr>
              <w:tabs>
                <w:tab w:val="left" w:pos="993"/>
              </w:tabs>
              <w:rPr>
                <w:b/>
                <w:i/>
                <w:sz w:val="16"/>
                <w:szCs w:val="16"/>
              </w:rPr>
            </w:pPr>
            <w:r w:rsidRPr="004032F4">
              <w:rPr>
                <w:b/>
                <w:sz w:val="16"/>
                <w:szCs w:val="16"/>
              </w:rPr>
              <w:t>Л «Кадры»</w:t>
            </w:r>
          </w:p>
        </w:tc>
      </w:tr>
      <w:tr w:rsidR="00E37734" w:rsidRPr="004032F4" w14:paraId="50E0E952" w14:textId="77777777" w:rsidTr="00E37734">
        <w:trPr>
          <w:cantSplit/>
        </w:trPr>
        <w:tc>
          <w:tcPr>
            <w:tcW w:w="3754" w:type="dxa"/>
            <w:vAlign w:val="center"/>
          </w:tcPr>
          <w:p w14:paraId="0550636C" w14:textId="77777777" w:rsidR="00E37734" w:rsidRPr="004032F4" w:rsidRDefault="00E37734" w:rsidP="00E37734">
            <w:pPr>
              <w:tabs>
                <w:tab w:val="left" w:pos="993"/>
              </w:tabs>
              <w:ind w:left="164"/>
              <w:rPr>
                <w:sz w:val="16"/>
                <w:szCs w:val="16"/>
              </w:rPr>
            </w:pPr>
            <w:r w:rsidRPr="004032F4">
              <w:rPr>
                <w:sz w:val="16"/>
                <w:szCs w:val="16"/>
              </w:rPr>
              <w:t>Л2 «Образование для рынка труда»</w:t>
            </w:r>
          </w:p>
        </w:tc>
        <w:tc>
          <w:tcPr>
            <w:tcW w:w="989" w:type="dxa"/>
            <w:vAlign w:val="center"/>
          </w:tcPr>
          <w:p w14:paraId="7802DD87" w14:textId="77777777" w:rsidR="00E37734" w:rsidRPr="004032F4" w:rsidRDefault="00E37734" w:rsidP="00E37734">
            <w:pPr>
              <w:tabs>
                <w:tab w:val="left" w:pos="993"/>
              </w:tabs>
              <w:jc w:val="right"/>
              <w:rPr>
                <w:sz w:val="16"/>
                <w:szCs w:val="16"/>
              </w:rPr>
            </w:pPr>
            <w:r w:rsidRPr="004032F4">
              <w:rPr>
                <w:sz w:val="16"/>
                <w:szCs w:val="16"/>
              </w:rPr>
              <w:t>х</w:t>
            </w:r>
          </w:p>
        </w:tc>
        <w:tc>
          <w:tcPr>
            <w:tcW w:w="983" w:type="dxa"/>
            <w:vAlign w:val="center"/>
          </w:tcPr>
          <w:p w14:paraId="20F98632" w14:textId="77777777" w:rsidR="00E37734" w:rsidRPr="004032F4" w:rsidRDefault="00E37734" w:rsidP="00E37734">
            <w:pPr>
              <w:tabs>
                <w:tab w:val="left" w:pos="993"/>
              </w:tabs>
              <w:jc w:val="right"/>
              <w:rPr>
                <w:b/>
                <w:sz w:val="16"/>
                <w:szCs w:val="16"/>
              </w:rPr>
            </w:pPr>
            <w:r w:rsidRPr="004032F4">
              <w:rPr>
                <w:b/>
                <w:sz w:val="16"/>
                <w:szCs w:val="16"/>
              </w:rPr>
              <w:t>4,2</w:t>
            </w:r>
          </w:p>
        </w:tc>
        <w:tc>
          <w:tcPr>
            <w:tcW w:w="706" w:type="dxa"/>
            <w:vAlign w:val="center"/>
          </w:tcPr>
          <w:p w14:paraId="1F9DF346" w14:textId="77777777" w:rsidR="00E37734" w:rsidRPr="004032F4" w:rsidRDefault="00E37734" w:rsidP="00E37734">
            <w:pPr>
              <w:tabs>
                <w:tab w:val="left" w:pos="993"/>
              </w:tabs>
              <w:jc w:val="right"/>
              <w:rPr>
                <w:i/>
                <w:sz w:val="16"/>
                <w:szCs w:val="16"/>
              </w:rPr>
            </w:pPr>
            <w:r w:rsidRPr="004032F4">
              <w:rPr>
                <w:i/>
                <w:sz w:val="16"/>
                <w:szCs w:val="16"/>
              </w:rPr>
              <w:t>-</w:t>
            </w:r>
          </w:p>
        </w:tc>
        <w:tc>
          <w:tcPr>
            <w:tcW w:w="983" w:type="dxa"/>
            <w:vAlign w:val="center"/>
          </w:tcPr>
          <w:p w14:paraId="098A865F" w14:textId="77777777" w:rsidR="00E37734" w:rsidRPr="004032F4" w:rsidRDefault="00E37734" w:rsidP="00E37734">
            <w:pPr>
              <w:tabs>
                <w:tab w:val="left" w:pos="993"/>
              </w:tabs>
              <w:jc w:val="right"/>
              <w:rPr>
                <w:b/>
                <w:sz w:val="16"/>
                <w:szCs w:val="16"/>
              </w:rPr>
            </w:pPr>
            <w:r w:rsidRPr="004032F4">
              <w:rPr>
                <w:b/>
                <w:sz w:val="16"/>
                <w:szCs w:val="16"/>
              </w:rPr>
              <w:t>4,2</w:t>
            </w:r>
          </w:p>
        </w:tc>
        <w:tc>
          <w:tcPr>
            <w:tcW w:w="706" w:type="dxa"/>
            <w:vAlign w:val="center"/>
          </w:tcPr>
          <w:p w14:paraId="225197FF" w14:textId="77777777" w:rsidR="00E37734" w:rsidRPr="004032F4" w:rsidRDefault="00E37734" w:rsidP="00E37734">
            <w:pPr>
              <w:tabs>
                <w:tab w:val="left" w:pos="993"/>
              </w:tabs>
              <w:jc w:val="right"/>
              <w:rPr>
                <w:i/>
                <w:sz w:val="16"/>
                <w:szCs w:val="16"/>
              </w:rPr>
            </w:pPr>
            <w:r w:rsidRPr="004032F4">
              <w:rPr>
                <w:i/>
                <w:sz w:val="16"/>
                <w:szCs w:val="16"/>
              </w:rPr>
              <w:t>0,0%</w:t>
            </w:r>
          </w:p>
        </w:tc>
        <w:tc>
          <w:tcPr>
            <w:tcW w:w="885" w:type="dxa"/>
            <w:vAlign w:val="center"/>
          </w:tcPr>
          <w:p w14:paraId="2F40CEEE" w14:textId="77777777" w:rsidR="00E37734" w:rsidRPr="004032F4" w:rsidRDefault="00E37734" w:rsidP="00E37734">
            <w:pPr>
              <w:tabs>
                <w:tab w:val="left" w:pos="993"/>
              </w:tabs>
              <w:jc w:val="right"/>
              <w:rPr>
                <w:b/>
                <w:sz w:val="16"/>
                <w:szCs w:val="16"/>
              </w:rPr>
            </w:pPr>
            <w:r w:rsidRPr="004032F4">
              <w:rPr>
                <w:b/>
                <w:sz w:val="16"/>
                <w:szCs w:val="16"/>
              </w:rPr>
              <w:t>12,6</w:t>
            </w:r>
          </w:p>
        </w:tc>
        <w:tc>
          <w:tcPr>
            <w:tcW w:w="716" w:type="dxa"/>
            <w:vAlign w:val="center"/>
          </w:tcPr>
          <w:p w14:paraId="644F4A43" w14:textId="77777777" w:rsidR="00E37734" w:rsidRPr="004032F4" w:rsidRDefault="00E37734" w:rsidP="00E37734">
            <w:pPr>
              <w:tabs>
                <w:tab w:val="left" w:pos="993"/>
              </w:tabs>
              <w:jc w:val="right"/>
              <w:rPr>
                <w:i/>
                <w:sz w:val="16"/>
                <w:szCs w:val="16"/>
              </w:rPr>
            </w:pPr>
            <w:r w:rsidRPr="004032F4">
              <w:rPr>
                <w:i/>
                <w:sz w:val="16"/>
                <w:szCs w:val="16"/>
              </w:rPr>
              <w:t>+200,0%</w:t>
            </w:r>
          </w:p>
        </w:tc>
      </w:tr>
      <w:tr w:rsidR="00E37734" w:rsidRPr="004032F4" w14:paraId="11F21BB7" w14:textId="77777777" w:rsidTr="00E37734">
        <w:trPr>
          <w:cantSplit/>
        </w:trPr>
        <w:tc>
          <w:tcPr>
            <w:tcW w:w="9722" w:type="dxa"/>
            <w:gridSpan w:val="8"/>
            <w:shd w:val="clear" w:color="auto" w:fill="FBE4D5" w:themeFill="accent2" w:themeFillTint="33"/>
            <w:vAlign w:val="center"/>
          </w:tcPr>
          <w:p w14:paraId="5F63C7BA" w14:textId="77777777" w:rsidR="00E37734" w:rsidRPr="004032F4" w:rsidRDefault="00E37734" w:rsidP="00E37734">
            <w:pPr>
              <w:tabs>
                <w:tab w:val="left" w:pos="993"/>
              </w:tabs>
              <w:rPr>
                <w:b/>
                <w:i/>
                <w:sz w:val="16"/>
                <w:szCs w:val="16"/>
              </w:rPr>
            </w:pPr>
            <w:r w:rsidRPr="004032F4">
              <w:rPr>
                <w:b/>
                <w:sz w:val="16"/>
                <w:szCs w:val="16"/>
              </w:rPr>
              <w:t>Ч «Экологическое благополучие»</w:t>
            </w:r>
          </w:p>
        </w:tc>
      </w:tr>
      <w:tr w:rsidR="00E37734" w:rsidRPr="004032F4" w14:paraId="14313BCD" w14:textId="77777777" w:rsidTr="00E37734">
        <w:trPr>
          <w:cantSplit/>
        </w:trPr>
        <w:tc>
          <w:tcPr>
            <w:tcW w:w="3754" w:type="dxa"/>
            <w:vAlign w:val="center"/>
          </w:tcPr>
          <w:p w14:paraId="101DF999" w14:textId="77777777" w:rsidR="00E37734" w:rsidRPr="004032F4" w:rsidRDefault="00E37734" w:rsidP="00E37734">
            <w:pPr>
              <w:tabs>
                <w:tab w:val="left" w:pos="993"/>
              </w:tabs>
              <w:ind w:left="164"/>
              <w:rPr>
                <w:sz w:val="16"/>
                <w:szCs w:val="16"/>
              </w:rPr>
            </w:pPr>
            <w:r w:rsidRPr="004032F4">
              <w:rPr>
                <w:sz w:val="16"/>
                <w:szCs w:val="16"/>
              </w:rPr>
              <w:t>Ч5 «Вода России» (</w:t>
            </w:r>
            <w:r w:rsidRPr="004032F4">
              <w:rPr>
                <w:sz w:val="16"/>
                <w:szCs w:val="16"/>
                <w:lang w:val="en-US"/>
              </w:rPr>
              <w:t>F</w:t>
            </w:r>
            <w:r w:rsidRPr="004032F4">
              <w:rPr>
                <w:sz w:val="16"/>
                <w:szCs w:val="16"/>
              </w:rPr>
              <w:t>5 «Чистая вода»)</w:t>
            </w:r>
          </w:p>
        </w:tc>
        <w:tc>
          <w:tcPr>
            <w:tcW w:w="989" w:type="dxa"/>
            <w:vAlign w:val="center"/>
          </w:tcPr>
          <w:p w14:paraId="68FD2C4F" w14:textId="77777777" w:rsidR="00E37734" w:rsidRPr="004032F4" w:rsidRDefault="00E37734" w:rsidP="00E37734">
            <w:pPr>
              <w:tabs>
                <w:tab w:val="left" w:pos="993"/>
              </w:tabs>
              <w:jc w:val="right"/>
              <w:rPr>
                <w:sz w:val="16"/>
                <w:szCs w:val="16"/>
              </w:rPr>
            </w:pPr>
            <w:r w:rsidRPr="004032F4">
              <w:rPr>
                <w:sz w:val="16"/>
                <w:szCs w:val="16"/>
              </w:rPr>
              <w:t>205,6</w:t>
            </w:r>
          </w:p>
        </w:tc>
        <w:tc>
          <w:tcPr>
            <w:tcW w:w="983" w:type="dxa"/>
            <w:vAlign w:val="center"/>
          </w:tcPr>
          <w:p w14:paraId="5399C8B6" w14:textId="77777777" w:rsidR="00E37734" w:rsidRPr="004032F4" w:rsidRDefault="00E37734" w:rsidP="00E37734">
            <w:pPr>
              <w:tabs>
                <w:tab w:val="left" w:pos="993"/>
              </w:tabs>
              <w:jc w:val="right"/>
              <w:rPr>
                <w:b/>
                <w:sz w:val="16"/>
                <w:szCs w:val="16"/>
              </w:rPr>
            </w:pPr>
            <w:r w:rsidRPr="004032F4">
              <w:rPr>
                <w:b/>
                <w:sz w:val="16"/>
                <w:szCs w:val="16"/>
              </w:rPr>
              <w:t>0,0</w:t>
            </w:r>
          </w:p>
        </w:tc>
        <w:tc>
          <w:tcPr>
            <w:tcW w:w="706" w:type="dxa"/>
            <w:vAlign w:val="center"/>
          </w:tcPr>
          <w:p w14:paraId="4DB5CB2D" w14:textId="77777777" w:rsidR="00E37734" w:rsidRPr="004032F4" w:rsidRDefault="00E37734" w:rsidP="00E37734">
            <w:pPr>
              <w:tabs>
                <w:tab w:val="left" w:pos="993"/>
              </w:tabs>
              <w:jc w:val="right"/>
              <w:rPr>
                <w:i/>
                <w:sz w:val="16"/>
                <w:szCs w:val="16"/>
              </w:rPr>
            </w:pPr>
            <w:r w:rsidRPr="004032F4">
              <w:rPr>
                <w:i/>
                <w:sz w:val="16"/>
                <w:szCs w:val="16"/>
              </w:rPr>
              <w:t>-100,0%</w:t>
            </w:r>
          </w:p>
        </w:tc>
        <w:tc>
          <w:tcPr>
            <w:tcW w:w="983" w:type="dxa"/>
            <w:vAlign w:val="center"/>
          </w:tcPr>
          <w:p w14:paraId="52406E1D" w14:textId="77777777" w:rsidR="00E37734" w:rsidRPr="004032F4" w:rsidRDefault="00E37734" w:rsidP="00E37734">
            <w:pPr>
              <w:tabs>
                <w:tab w:val="left" w:pos="993"/>
              </w:tabs>
              <w:jc w:val="right"/>
              <w:rPr>
                <w:b/>
                <w:sz w:val="16"/>
                <w:szCs w:val="16"/>
              </w:rPr>
            </w:pPr>
            <w:r w:rsidRPr="004032F4">
              <w:rPr>
                <w:b/>
                <w:sz w:val="16"/>
                <w:szCs w:val="16"/>
              </w:rPr>
              <w:t>70,7</w:t>
            </w:r>
          </w:p>
        </w:tc>
        <w:tc>
          <w:tcPr>
            <w:tcW w:w="706" w:type="dxa"/>
            <w:vAlign w:val="center"/>
          </w:tcPr>
          <w:p w14:paraId="0CCD368A" w14:textId="77777777" w:rsidR="00E37734" w:rsidRPr="004032F4" w:rsidRDefault="00E37734" w:rsidP="00E37734">
            <w:pPr>
              <w:tabs>
                <w:tab w:val="left" w:pos="993"/>
              </w:tabs>
              <w:jc w:val="right"/>
              <w:rPr>
                <w:i/>
                <w:sz w:val="16"/>
                <w:szCs w:val="16"/>
              </w:rPr>
            </w:pPr>
            <w:r w:rsidRPr="004032F4">
              <w:rPr>
                <w:i/>
                <w:sz w:val="16"/>
                <w:szCs w:val="16"/>
              </w:rPr>
              <w:t>-</w:t>
            </w:r>
          </w:p>
        </w:tc>
        <w:tc>
          <w:tcPr>
            <w:tcW w:w="885" w:type="dxa"/>
            <w:vAlign w:val="center"/>
          </w:tcPr>
          <w:p w14:paraId="37B2041B" w14:textId="77777777" w:rsidR="00E37734" w:rsidRPr="004032F4" w:rsidRDefault="00E37734" w:rsidP="00E37734">
            <w:pPr>
              <w:tabs>
                <w:tab w:val="left" w:pos="993"/>
              </w:tabs>
              <w:jc w:val="right"/>
              <w:rPr>
                <w:b/>
                <w:sz w:val="16"/>
                <w:szCs w:val="16"/>
              </w:rPr>
            </w:pPr>
            <w:r w:rsidRPr="004032F4">
              <w:rPr>
                <w:b/>
                <w:sz w:val="16"/>
                <w:szCs w:val="16"/>
              </w:rPr>
              <w:t>67,5</w:t>
            </w:r>
          </w:p>
        </w:tc>
        <w:tc>
          <w:tcPr>
            <w:tcW w:w="716" w:type="dxa"/>
            <w:vAlign w:val="center"/>
          </w:tcPr>
          <w:p w14:paraId="43544D96" w14:textId="77777777" w:rsidR="00E37734" w:rsidRPr="004032F4" w:rsidRDefault="00E37734" w:rsidP="00E37734">
            <w:pPr>
              <w:tabs>
                <w:tab w:val="left" w:pos="993"/>
              </w:tabs>
              <w:jc w:val="right"/>
              <w:rPr>
                <w:i/>
                <w:sz w:val="16"/>
                <w:szCs w:val="16"/>
              </w:rPr>
            </w:pPr>
            <w:r w:rsidRPr="004032F4">
              <w:rPr>
                <w:i/>
                <w:sz w:val="16"/>
                <w:szCs w:val="16"/>
              </w:rPr>
              <w:t>-4,5%</w:t>
            </w:r>
          </w:p>
        </w:tc>
      </w:tr>
      <w:tr w:rsidR="00E37734" w:rsidRPr="004032F4" w14:paraId="25B03B33" w14:textId="77777777" w:rsidTr="00E37734">
        <w:trPr>
          <w:cantSplit/>
        </w:trPr>
        <w:tc>
          <w:tcPr>
            <w:tcW w:w="9722" w:type="dxa"/>
            <w:gridSpan w:val="8"/>
            <w:shd w:val="clear" w:color="auto" w:fill="FBE4D5" w:themeFill="accent2" w:themeFillTint="33"/>
            <w:vAlign w:val="center"/>
          </w:tcPr>
          <w:p w14:paraId="3FCFE5D0" w14:textId="77777777" w:rsidR="00E37734" w:rsidRPr="004032F4" w:rsidRDefault="00E37734" w:rsidP="00E37734">
            <w:pPr>
              <w:tabs>
                <w:tab w:val="left" w:pos="993"/>
              </w:tabs>
              <w:rPr>
                <w:b/>
                <w:i/>
                <w:sz w:val="16"/>
                <w:szCs w:val="16"/>
              </w:rPr>
            </w:pPr>
            <w:r w:rsidRPr="004032F4">
              <w:rPr>
                <w:b/>
                <w:sz w:val="16"/>
                <w:szCs w:val="16"/>
              </w:rPr>
              <w:t>Э «Эффективная и конкурентная экономика»</w:t>
            </w:r>
          </w:p>
        </w:tc>
      </w:tr>
      <w:tr w:rsidR="00E37734" w:rsidRPr="004032F4" w14:paraId="3A2AEB8D" w14:textId="77777777" w:rsidTr="00E37734">
        <w:trPr>
          <w:cantSplit/>
        </w:trPr>
        <w:tc>
          <w:tcPr>
            <w:tcW w:w="3754" w:type="dxa"/>
            <w:vAlign w:val="center"/>
          </w:tcPr>
          <w:p w14:paraId="74DBD6CF" w14:textId="77777777" w:rsidR="00E37734" w:rsidRPr="004032F4" w:rsidRDefault="00E37734" w:rsidP="00E37734">
            <w:pPr>
              <w:tabs>
                <w:tab w:val="left" w:pos="993"/>
              </w:tabs>
              <w:ind w:left="164"/>
              <w:rPr>
                <w:sz w:val="16"/>
                <w:szCs w:val="16"/>
              </w:rPr>
            </w:pPr>
            <w:r w:rsidRPr="004032F4">
              <w:rPr>
                <w:sz w:val="16"/>
                <w:szCs w:val="16"/>
              </w:rPr>
              <w:t>Э1 «Малое и среднее предпринимательство и поддержка индивидуальной предпринимательской инициативы» (</w:t>
            </w:r>
            <w:r w:rsidRPr="004032F4">
              <w:rPr>
                <w:sz w:val="16"/>
                <w:szCs w:val="16"/>
                <w:lang w:val="en-US"/>
              </w:rPr>
              <w:t>I</w:t>
            </w:r>
            <w:r w:rsidRPr="004032F4">
              <w:rPr>
                <w:sz w:val="16"/>
                <w:szCs w:val="16"/>
              </w:rPr>
              <w:t xml:space="preserve">2 «Создание благоприятных условий для осуществления деятельности самозанятыми гражданами», </w:t>
            </w:r>
            <w:r w:rsidRPr="004032F4">
              <w:rPr>
                <w:sz w:val="16"/>
                <w:szCs w:val="16"/>
                <w:lang w:val="en-US"/>
              </w:rPr>
              <w:t>I</w:t>
            </w:r>
            <w:r w:rsidRPr="004032F4">
              <w:rPr>
                <w:sz w:val="16"/>
                <w:szCs w:val="16"/>
              </w:rPr>
              <w:t xml:space="preserve">4 «Создание условий для легкого старта и комфортного ведения бизнеса», </w:t>
            </w:r>
            <w:r w:rsidRPr="004032F4">
              <w:rPr>
                <w:sz w:val="16"/>
                <w:szCs w:val="16"/>
                <w:lang w:val="en-US"/>
              </w:rPr>
              <w:t>I</w:t>
            </w:r>
            <w:r w:rsidRPr="004032F4">
              <w:rPr>
                <w:sz w:val="16"/>
                <w:szCs w:val="16"/>
              </w:rPr>
              <w:t>5 «Акселерация субъектов малого и среднего предпринимательства»)</w:t>
            </w:r>
          </w:p>
        </w:tc>
        <w:tc>
          <w:tcPr>
            <w:tcW w:w="989" w:type="dxa"/>
            <w:vAlign w:val="center"/>
          </w:tcPr>
          <w:p w14:paraId="30CCC7C0" w14:textId="77777777" w:rsidR="00E37734" w:rsidRPr="004032F4" w:rsidRDefault="00E37734" w:rsidP="00E37734">
            <w:pPr>
              <w:tabs>
                <w:tab w:val="left" w:pos="993"/>
              </w:tabs>
              <w:jc w:val="right"/>
              <w:rPr>
                <w:sz w:val="16"/>
                <w:szCs w:val="16"/>
              </w:rPr>
            </w:pPr>
            <w:r w:rsidRPr="004032F4">
              <w:rPr>
                <w:sz w:val="16"/>
                <w:szCs w:val="16"/>
              </w:rPr>
              <w:t>212,7</w:t>
            </w:r>
          </w:p>
        </w:tc>
        <w:tc>
          <w:tcPr>
            <w:tcW w:w="983" w:type="dxa"/>
            <w:vAlign w:val="center"/>
          </w:tcPr>
          <w:p w14:paraId="3B17D0AA" w14:textId="77777777" w:rsidR="00E37734" w:rsidRPr="004032F4" w:rsidRDefault="00E37734" w:rsidP="00E37734">
            <w:pPr>
              <w:tabs>
                <w:tab w:val="left" w:pos="993"/>
              </w:tabs>
              <w:jc w:val="right"/>
              <w:rPr>
                <w:b/>
                <w:sz w:val="16"/>
                <w:szCs w:val="16"/>
              </w:rPr>
            </w:pPr>
            <w:r w:rsidRPr="004032F4">
              <w:rPr>
                <w:b/>
                <w:sz w:val="16"/>
                <w:szCs w:val="16"/>
              </w:rPr>
              <w:t>107,5</w:t>
            </w:r>
          </w:p>
        </w:tc>
        <w:tc>
          <w:tcPr>
            <w:tcW w:w="706" w:type="dxa"/>
            <w:vAlign w:val="center"/>
          </w:tcPr>
          <w:p w14:paraId="1BACE147" w14:textId="77777777" w:rsidR="00E37734" w:rsidRPr="004032F4" w:rsidRDefault="00E37734" w:rsidP="00E37734">
            <w:pPr>
              <w:tabs>
                <w:tab w:val="left" w:pos="993"/>
              </w:tabs>
              <w:jc w:val="right"/>
              <w:rPr>
                <w:i/>
                <w:sz w:val="16"/>
                <w:szCs w:val="16"/>
              </w:rPr>
            </w:pPr>
            <w:r w:rsidRPr="004032F4">
              <w:rPr>
                <w:i/>
                <w:sz w:val="16"/>
                <w:szCs w:val="16"/>
              </w:rPr>
              <w:t>-49,5%</w:t>
            </w:r>
          </w:p>
        </w:tc>
        <w:tc>
          <w:tcPr>
            <w:tcW w:w="983" w:type="dxa"/>
            <w:vAlign w:val="center"/>
          </w:tcPr>
          <w:p w14:paraId="524B1A43" w14:textId="77777777" w:rsidR="00E37734" w:rsidRPr="004032F4" w:rsidRDefault="00E37734" w:rsidP="00E37734">
            <w:pPr>
              <w:tabs>
                <w:tab w:val="left" w:pos="993"/>
              </w:tabs>
              <w:jc w:val="right"/>
              <w:rPr>
                <w:b/>
                <w:sz w:val="16"/>
                <w:szCs w:val="16"/>
              </w:rPr>
            </w:pPr>
            <w:r w:rsidRPr="004032F4">
              <w:rPr>
                <w:b/>
                <w:sz w:val="16"/>
                <w:szCs w:val="16"/>
              </w:rPr>
              <w:t>65,4</w:t>
            </w:r>
          </w:p>
        </w:tc>
        <w:tc>
          <w:tcPr>
            <w:tcW w:w="706" w:type="dxa"/>
            <w:vAlign w:val="center"/>
          </w:tcPr>
          <w:p w14:paraId="263B6265" w14:textId="77777777" w:rsidR="00E37734" w:rsidRPr="004032F4" w:rsidRDefault="00E37734" w:rsidP="00E37734">
            <w:pPr>
              <w:tabs>
                <w:tab w:val="left" w:pos="993"/>
              </w:tabs>
              <w:jc w:val="right"/>
              <w:rPr>
                <w:i/>
                <w:sz w:val="16"/>
                <w:szCs w:val="16"/>
              </w:rPr>
            </w:pPr>
            <w:r w:rsidRPr="004032F4">
              <w:rPr>
                <w:i/>
                <w:sz w:val="16"/>
                <w:szCs w:val="16"/>
              </w:rPr>
              <w:t>-39,2%</w:t>
            </w:r>
          </w:p>
        </w:tc>
        <w:tc>
          <w:tcPr>
            <w:tcW w:w="885" w:type="dxa"/>
            <w:vAlign w:val="center"/>
          </w:tcPr>
          <w:p w14:paraId="4F3A7F4D" w14:textId="77777777" w:rsidR="00E37734" w:rsidRPr="004032F4" w:rsidRDefault="00E37734" w:rsidP="00E37734">
            <w:pPr>
              <w:tabs>
                <w:tab w:val="left" w:pos="993"/>
              </w:tabs>
              <w:jc w:val="right"/>
              <w:rPr>
                <w:b/>
                <w:sz w:val="16"/>
                <w:szCs w:val="16"/>
              </w:rPr>
            </w:pPr>
            <w:r w:rsidRPr="004032F4">
              <w:rPr>
                <w:b/>
                <w:sz w:val="16"/>
                <w:szCs w:val="16"/>
              </w:rPr>
              <w:t>65,4</w:t>
            </w:r>
          </w:p>
        </w:tc>
        <w:tc>
          <w:tcPr>
            <w:tcW w:w="716" w:type="dxa"/>
            <w:vAlign w:val="center"/>
          </w:tcPr>
          <w:p w14:paraId="1232992C" w14:textId="77777777" w:rsidR="00E37734" w:rsidRPr="004032F4" w:rsidRDefault="00E37734" w:rsidP="00E37734">
            <w:pPr>
              <w:tabs>
                <w:tab w:val="left" w:pos="993"/>
              </w:tabs>
              <w:jc w:val="right"/>
              <w:rPr>
                <w:i/>
                <w:sz w:val="16"/>
                <w:szCs w:val="16"/>
              </w:rPr>
            </w:pPr>
            <w:r w:rsidRPr="004032F4">
              <w:rPr>
                <w:i/>
                <w:sz w:val="16"/>
                <w:szCs w:val="16"/>
              </w:rPr>
              <w:t>0,0%</w:t>
            </w:r>
          </w:p>
        </w:tc>
      </w:tr>
      <w:tr w:rsidR="00E37734" w:rsidRPr="004032F4" w14:paraId="2FF51F57" w14:textId="77777777" w:rsidTr="00E37734">
        <w:trPr>
          <w:cantSplit/>
        </w:trPr>
        <w:tc>
          <w:tcPr>
            <w:tcW w:w="9722" w:type="dxa"/>
            <w:gridSpan w:val="8"/>
            <w:shd w:val="clear" w:color="auto" w:fill="FBE4D5" w:themeFill="accent2" w:themeFillTint="33"/>
            <w:vAlign w:val="center"/>
          </w:tcPr>
          <w:p w14:paraId="1B9B4D67" w14:textId="77777777" w:rsidR="00E37734" w:rsidRPr="004032F4" w:rsidRDefault="00E37734" w:rsidP="00E37734">
            <w:pPr>
              <w:tabs>
                <w:tab w:val="left" w:pos="993"/>
              </w:tabs>
              <w:rPr>
                <w:b/>
                <w:i/>
                <w:sz w:val="16"/>
                <w:szCs w:val="16"/>
              </w:rPr>
            </w:pPr>
            <w:r w:rsidRPr="004032F4">
              <w:rPr>
                <w:b/>
                <w:sz w:val="16"/>
                <w:szCs w:val="16"/>
              </w:rPr>
              <w:t>Я «Семья»</w:t>
            </w:r>
          </w:p>
        </w:tc>
      </w:tr>
      <w:tr w:rsidR="00E37734" w:rsidRPr="004032F4" w14:paraId="2E72A95D" w14:textId="77777777" w:rsidTr="00E37734">
        <w:trPr>
          <w:cantSplit/>
        </w:trPr>
        <w:tc>
          <w:tcPr>
            <w:tcW w:w="3754" w:type="dxa"/>
            <w:vAlign w:val="center"/>
          </w:tcPr>
          <w:p w14:paraId="69C02BE9" w14:textId="77777777" w:rsidR="00E37734" w:rsidRPr="004032F4" w:rsidRDefault="00E37734" w:rsidP="00E37734">
            <w:pPr>
              <w:tabs>
                <w:tab w:val="left" w:pos="993"/>
              </w:tabs>
              <w:ind w:left="164"/>
              <w:rPr>
                <w:sz w:val="16"/>
                <w:szCs w:val="16"/>
              </w:rPr>
            </w:pPr>
            <w:r w:rsidRPr="004032F4">
              <w:rPr>
                <w:sz w:val="16"/>
                <w:szCs w:val="16"/>
              </w:rPr>
              <w:t>Я5 «Семейные ценности и инфраструктура культуры»</w:t>
            </w:r>
          </w:p>
        </w:tc>
        <w:tc>
          <w:tcPr>
            <w:tcW w:w="989" w:type="dxa"/>
            <w:vAlign w:val="center"/>
          </w:tcPr>
          <w:p w14:paraId="0C618BA6" w14:textId="77777777" w:rsidR="00E37734" w:rsidRPr="004032F4" w:rsidRDefault="00E37734" w:rsidP="00E37734">
            <w:pPr>
              <w:tabs>
                <w:tab w:val="left" w:pos="993"/>
              </w:tabs>
              <w:jc w:val="right"/>
              <w:rPr>
                <w:sz w:val="16"/>
                <w:szCs w:val="16"/>
              </w:rPr>
            </w:pPr>
            <w:r w:rsidRPr="004032F4">
              <w:rPr>
                <w:sz w:val="16"/>
                <w:szCs w:val="16"/>
              </w:rPr>
              <w:t>х</w:t>
            </w:r>
          </w:p>
        </w:tc>
        <w:tc>
          <w:tcPr>
            <w:tcW w:w="983" w:type="dxa"/>
            <w:vAlign w:val="center"/>
          </w:tcPr>
          <w:p w14:paraId="15371867" w14:textId="77777777" w:rsidR="00E37734" w:rsidRPr="004032F4" w:rsidRDefault="00E37734" w:rsidP="00E37734">
            <w:pPr>
              <w:tabs>
                <w:tab w:val="left" w:pos="993"/>
              </w:tabs>
              <w:jc w:val="right"/>
              <w:rPr>
                <w:b/>
                <w:sz w:val="16"/>
                <w:szCs w:val="16"/>
              </w:rPr>
            </w:pPr>
            <w:r w:rsidRPr="004032F4">
              <w:rPr>
                <w:b/>
                <w:sz w:val="16"/>
                <w:szCs w:val="16"/>
              </w:rPr>
              <w:t>24,2</w:t>
            </w:r>
          </w:p>
        </w:tc>
        <w:tc>
          <w:tcPr>
            <w:tcW w:w="706" w:type="dxa"/>
            <w:vAlign w:val="center"/>
          </w:tcPr>
          <w:p w14:paraId="7DAFEAA0" w14:textId="77777777" w:rsidR="00E37734" w:rsidRPr="004032F4" w:rsidRDefault="00E37734" w:rsidP="00E37734">
            <w:pPr>
              <w:tabs>
                <w:tab w:val="left" w:pos="993"/>
              </w:tabs>
              <w:jc w:val="right"/>
              <w:rPr>
                <w:i/>
                <w:sz w:val="16"/>
                <w:szCs w:val="16"/>
              </w:rPr>
            </w:pPr>
            <w:r w:rsidRPr="004032F4">
              <w:rPr>
                <w:i/>
                <w:sz w:val="16"/>
                <w:szCs w:val="16"/>
              </w:rPr>
              <w:t>-</w:t>
            </w:r>
          </w:p>
        </w:tc>
        <w:tc>
          <w:tcPr>
            <w:tcW w:w="983" w:type="dxa"/>
            <w:vAlign w:val="center"/>
          </w:tcPr>
          <w:p w14:paraId="60C8F9B4" w14:textId="77777777" w:rsidR="00E37734" w:rsidRPr="004032F4" w:rsidRDefault="00E37734" w:rsidP="00E37734">
            <w:pPr>
              <w:tabs>
                <w:tab w:val="left" w:pos="993"/>
              </w:tabs>
              <w:jc w:val="right"/>
              <w:rPr>
                <w:b/>
                <w:sz w:val="16"/>
                <w:szCs w:val="16"/>
              </w:rPr>
            </w:pPr>
            <w:r w:rsidRPr="004032F4">
              <w:rPr>
                <w:b/>
                <w:sz w:val="16"/>
                <w:szCs w:val="16"/>
              </w:rPr>
              <w:t>15,4</w:t>
            </w:r>
          </w:p>
        </w:tc>
        <w:tc>
          <w:tcPr>
            <w:tcW w:w="706" w:type="dxa"/>
            <w:vAlign w:val="center"/>
          </w:tcPr>
          <w:p w14:paraId="192058B7" w14:textId="77777777" w:rsidR="00E37734" w:rsidRPr="004032F4" w:rsidRDefault="00E37734" w:rsidP="00E37734">
            <w:pPr>
              <w:tabs>
                <w:tab w:val="left" w:pos="993"/>
              </w:tabs>
              <w:jc w:val="right"/>
              <w:rPr>
                <w:i/>
                <w:sz w:val="16"/>
                <w:szCs w:val="16"/>
              </w:rPr>
            </w:pPr>
            <w:r w:rsidRPr="004032F4">
              <w:rPr>
                <w:i/>
                <w:sz w:val="16"/>
                <w:szCs w:val="16"/>
              </w:rPr>
              <w:t>-36,4%</w:t>
            </w:r>
          </w:p>
        </w:tc>
        <w:tc>
          <w:tcPr>
            <w:tcW w:w="885" w:type="dxa"/>
            <w:vAlign w:val="center"/>
          </w:tcPr>
          <w:p w14:paraId="08F834A8" w14:textId="77777777" w:rsidR="00E37734" w:rsidRPr="004032F4" w:rsidRDefault="00E37734" w:rsidP="00E37734">
            <w:pPr>
              <w:tabs>
                <w:tab w:val="left" w:pos="993"/>
              </w:tabs>
              <w:jc w:val="right"/>
              <w:rPr>
                <w:b/>
                <w:sz w:val="16"/>
                <w:szCs w:val="16"/>
              </w:rPr>
            </w:pPr>
            <w:r w:rsidRPr="004032F4">
              <w:rPr>
                <w:b/>
                <w:sz w:val="16"/>
                <w:szCs w:val="16"/>
              </w:rPr>
              <w:t>13,4</w:t>
            </w:r>
          </w:p>
        </w:tc>
        <w:tc>
          <w:tcPr>
            <w:tcW w:w="716" w:type="dxa"/>
            <w:vAlign w:val="center"/>
          </w:tcPr>
          <w:p w14:paraId="3508D225" w14:textId="77777777" w:rsidR="00E37734" w:rsidRPr="004032F4" w:rsidRDefault="00E37734" w:rsidP="00E37734">
            <w:pPr>
              <w:tabs>
                <w:tab w:val="left" w:pos="993"/>
              </w:tabs>
              <w:jc w:val="right"/>
              <w:rPr>
                <w:i/>
                <w:sz w:val="16"/>
                <w:szCs w:val="16"/>
              </w:rPr>
            </w:pPr>
            <w:r w:rsidRPr="004032F4">
              <w:rPr>
                <w:i/>
                <w:sz w:val="16"/>
                <w:szCs w:val="16"/>
              </w:rPr>
              <w:t>-13,0%</w:t>
            </w:r>
          </w:p>
        </w:tc>
      </w:tr>
      <w:tr w:rsidR="00E37734" w:rsidRPr="004032F4" w14:paraId="2045A70C" w14:textId="77777777" w:rsidTr="00E37734">
        <w:trPr>
          <w:cantSplit/>
        </w:trPr>
        <w:tc>
          <w:tcPr>
            <w:tcW w:w="9722" w:type="dxa"/>
            <w:gridSpan w:val="8"/>
            <w:shd w:val="clear" w:color="auto" w:fill="FBE4D5" w:themeFill="accent2" w:themeFillTint="33"/>
            <w:vAlign w:val="center"/>
          </w:tcPr>
          <w:p w14:paraId="7FD8190B" w14:textId="77777777" w:rsidR="00E37734" w:rsidRPr="004032F4" w:rsidRDefault="00E37734" w:rsidP="00E37734">
            <w:pPr>
              <w:tabs>
                <w:tab w:val="left" w:pos="993"/>
              </w:tabs>
              <w:rPr>
                <w:b/>
                <w:i/>
                <w:sz w:val="16"/>
                <w:szCs w:val="16"/>
              </w:rPr>
            </w:pPr>
            <w:r w:rsidRPr="004032F4">
              <w:rPr>
                <w:b/>
                <w:sz w:val="16"/>
                <w:szCs w:val="16"/>
                <w:lang w:val="en-US"/>
              </w:rPr>
              <w:lastRenderedPageBreak/>
              <w:t xml:space="preserve">Y </w:t>
            </w:r>
            <w:r w:rsidRPr="004032F4">
              <w:rPr>
                <w:b/>
                <w:sz w:val="16"/>
                <w:szCs w:val="16"/>
              </w:rPr>
              <w:t>«Беспилотные авиационные системы»</w:t>
            </w:r>
          </w:p>
        </w:tc>
      </w:tr>
      <w:tr w:rsidR="00E37734" w:rsidRPr="004032F4" w14:paraId="6EEC3731" w14:textId="77777777" w:rsidTr="00E37734">
        <w:trPr>
          <w:cantSplit/>
        </w:trPr>
        <w:tc>
          <w:tcPr>
            <w:tcW w:w="3754" w:type="dxa"/>
            <w:vAlign w:val="center"/>
          </w:tcPr>
          <w:p w14:paraId="2B262824" w14:textId="77777777" w:rsidR="00E37734" w:rsidRPr="004032F4" w:rsidRDefault="00E37734" w:rsidP="00E37734">
            <w:pPr>
              <w:tabs>
                <w:tab w:val="left" w:pos="993"/>
              </w:tabs>
              <w:ind w:left="164"/>
              <w:rPr>
                <w:sz w:val="16"/>
                <w:szCs w:val="16"/>
              </w:rPr>
            </w:pPr>
            <w:r w:rsidRPr="004032F4">
              <w:rPr>
                <w:sz w:val="16"/>
                <w:szCs w:val="16"/>
                <w:lang w:val="en-US"/>
              </w:rPr>
              <w:t>Y</w:t>
            </w:r>
            <w:r w:rsidRPr="004032F4">
              <w:rPr>
                <w:sz w:val="16"/>
                <w:szCs w:val="16"/>
              </w:rPr>
              <w:t>4 «Стимулирование спроса на отечественные беспилотные авиационные системы»</w:t>
            </w:r>
          </w:p>
        </w:tc>
        <w:tc>
          <w:tcPr>
            <w:tcW w:w="989" w:type="dxa"/>
            <w:vAlign w:val="center"/>
          </w:tcPr>
          <w:p w14:paraId="71DEAA11" w14:textId="77777777" w:rsidR="00E37734" w:rsidRPr="004032F4" w:rsidRDefault="00E37734" w:rsidP="00E37734">
            <w:pPr>
              <w:tabs>
                <w:tab w:val="left" w:pos="993"/>
              </w:tabs>
              <w:jc w:val="right"/>
              <w:rPr>
                <w:sz w:val="16"/>
                <w:szCs w:val="16"/>
              </w:rPr>
            </w:pPr>
            <w:r w:rsidRPr="004032F4">
              <w:rPr>
                <w:sz w:val="16"/>
                <w:szCs w:val="16"/>
              </w:rPr>
              <w:t>293,0</w:t>
            </w:r>
          </w:p>
        </w:tc>
        <w:tc>
          <w:tcPr>
            <w:tcW w:w="983" w:type="dxa"/>
            <w:vAlign w:val="center"/>
          </w:tcPr>
          <w:p w14:paraId="062F48D6" w14:textId="77777777" w:rsidR="00E37734" w:rsidRPr="004032F4" w:rsidRDefault="00E37734" w:rsidP="00E37734">
            <w:pPr>
              <w:tabs>
                <w:tab w:val="left" w:pos="993"/>
              </w:tabs>
              <w:jc w:val="right"/>
              <w:rPr>
                <w:b/>
                <w:sz w:val="16"/>
                <w:szCs w:val="16"/>
              </w:rPr>
            </w:pPr>
            <w:r w:rsidRPr="004032F4">
              <w:rPr>
                <w:b/>
                <w:sz w:val="16"/>
                <w:szCs w:val="16"/>
              </w:rPr>
              <w:t>1,5</w:t>
            </w:r>
          </w:p>
        </w:tc>
        <w:tc>
          <w:tcPr>
            <w:tcW w:w="706" w:type="dxa"/>
            <w:vAlign w:val="center"/>
          </w:tcPr>
          <w:p w14:paraId="5F09FA8E" w14:textId="77777777" w:rsidR="00E37734" w:rsidRPr="004032F4" w:rsidRDefault="00E37734" w:rsidP="00E37734">
            <w:pPr>
              <w:tabs>
                <w:tab w:val="left" w:pos="993"/>
              </w:tabs>
              <w:jc w:val="right"/>
              <w:rPr>
                <w:i/>
                <w:sz w:val="16"/>
                <w:szCs w:val="16"/>
              </w:rPr>
            </w:pPr>
            <w:r w:rsidRPr="004032F4">
              <w:rPr>
                <w:i/>
                <w:sz w:val="16"/>
                <w:szCs w:val="16"/>
              </w:rPr>
              <w:t>-99,5%</w:t>
            </w:r>
          </w:p>
        </w:tc>
        <w:tc>
          <w:tcPr>
            <w:tcW w:w="983" w:type="dxa"/>
            <w:vAlign w:val="center"/>
          </w:tcPr>
          <w:p w14:paraId="1CDDF800" w14:textId="77777777" w:rsidR="00E37734" w:rsidRPr="004032F4" w:rsidRDefault="00E37734" w:rsidP="00E37734">
            <w:pPr>
              <w:tabs>
                <w:tab w:val="left" w:pos="993"/>
              </w:tabs>
              <w:jc w:val="right"/>
              <w:rPr>
                <w:b/>
                <w:sz w:val="16"/>
                <w:szCs w:val="16"/>
              </w:rPr>
            </w:pPr>
            <w:r w:rsidRPr="004032F4">
              <w:rPr>
                <w:b/>
                <w:sz w:val="16"/>
                <w:szCs w:val="16"/>
              </w:rPr>
              <w:t>0,0</w:t>
            </w:r>
          </w:p>
        </w:tc>
        <w:tc>
          <w:tcPr>
            <w:tcW w:w="706" w:type="dxa"/>
            <w:vAlign w:val="center"/>
          </w:tcPr>
          <w:p w14:paraId="0A7FC662" w14:textId="77777777" w:rsidR="00E37734" w:rsidRPr="004032F4" w:rsidRDefault="00E37734" w:rsidP="00E37734">
            <w:pPr>
              <w:tabs>
                <w:tab w:val="left" w:pos="993"/>
              </w:tabs>
              <w:jc w:val="right"/>
              <w:rPr>
                <w:i/>
                <w:sz w:val="16"/>
                <w:szCs w:val="16"/>
              </w:rPr>
            </w:pPr>
            <w:r w:rsidRPr="004032F4">
              <w:rPr>
                <w:i/>
                <w:sz w:val="16"/>
                <w:szCs w:val="16"/>
              </w:rPr>
              <w:t>-100,0%</w:t>
            </w:r>
          </w:p>
        </w:tc>
        <w:tc>
          <w:tcPr>
            <w:tcW w:w="885" w:type="dxa"/>
            <w:vAlign w:val="center"/>
          </w:tcPr>
          <w:p w14:paraId="62EA61C9" w14:textId="77777777" w:rsidR="00E37734" w:rsidRPr="004032F4" w:rsidRDefault="00E37734" w:rsidP="00E37734">
            <w:pPr>
              <w:tabs>
                <w:tab w:val="left" w:pos="993"/>
              </w:tabs>
              <w:jc w:val="right"/>
              <w:rPr>
                <w:b/>
                <w:sz w:val="16"/>
                <w:szCs w:val="16"/>
              </w:rPr>
            </w:pPr>
            <w:r w:rsidRPr="004032F4">
              <w:rPr>
                <w:b/>
                <w:sz w:val="16"/>
                <w:szCs w:val="16"/>
              </w:rPr>
              <w:t>0,0</w:t>
            </w:r>
          </w:p>
        </w:tc>
        <w:tc>
          <w:tcPr>
            <w:tcW w:w="716" w:type="dxa"/>
            <w:vAlign w:val="center"/>
          </w:tcPr>
          <w:p w14:paraId="54B64119" w14:textId="77777777" w:rsidR="00E37734" w:rsidRPr="004032F4" w:rsidRDefault="00E37734" w:rsidP="00E37734">
            <w:pPr>
              <w:tabs>
                <w:tab w:val="left" w:pos="993"/>
              </w:tabs>
              <w:jc w:val="right"/>
              <w:rPr>
                <w:i/>
                <w:sz w:val="16"/>
                <w:szCs w:val="16"/>
              </w:rPr>
            </w:pPr>
            <w:r w:rsidRPr="004032F4">
              <w:rPr>
                <w:i/>
                <w:sz w:val="16"/>
                <w:szCs w:val="16"/>
              </w:rPr>
              <w:t>0,0%</w:t>
            </w:r>
          </w:p>
        </w:tc>
      </w:tr>
      <w:tr w:rsidR="00E37734" w:rsidRPr="004032F4" w14:paraId="5C58AD61" w14:textId="77777777" w:rsidTr="00E37734">
        <w:trPr>
          <w:cantSplit/>
        </w:trPr>
        <w:tc>
          <w:tcPr>
            <w:tcW w:w="3754" w:type="dxa"/>
            <w:vAlign w:val="center"/>
          </w:tcPr>
          <w:p w14:paraId="770E4E34" w14:textId="77777777" w:rsidR="00E37734" w:rsidRPr="004032F4" w:rsidRDefault="00E37734" w:rsidP="00E37734">
            <w:pPr>
              <w:tabs>
                <w:tab w:val="left" w:pos="993"/>
              </w:tabs>
              <w:rPr>
                <w:sz w:val="16"/>
                <w:szCs w:val="16"/>
              </w:rPr>
            </w:pPr>
            <w:r w:rsidRPr="004032F4">
              <w:rPr>
                <w:sz w:val="16"/>
                <w:szCs w:val="16"/>
              </w:rPr>
              <w:t>(другие региональные проекты 2024 года)</w:t>
            </w:r>
          </w:p>
        </w:tc>
        <w:tc>
          <w:tcPr>
            <w:tcW w:w="989" w:type="dxa"/>
            <w:vAlign w:val="center"/>
          </w:tcPr>
          <w:p w14:paraId="7ADB2762" w14:textId="77777777" w:rsidR="00E37734" w:rsidRPr="004032F4" w:rsidRDefault="00E37734" w:rsidP="00E37734">
            <w:pPr>
              <w:tabs>
                <w:tab w:val="left" w:pos="993"/>
              </w:tabs>
              <w:jc w:val="right"/>
              <w:rPr>
                <w:sz w:val="16"/>
                <w:szCs w:val="16"/>
              </w:rPr>
            </w:pPr>
            <w:r w:rsidRPr="004032F4">
              <w:rPr>
                <w:sz w:val="16"/>
                <w:szCs w:val="16"/>
              </w:rPr>
              <w:t>9 806,7</w:t>
            </w:r>
          </w:p>
        </w:tc>
        <w:tc>
          <w:tcPr>
            <w:tcW w:w="983" w:type="dxa"/>
            <w:vAlign w:val="center"/>
          </w:tcPr>
          <w:p w14:paraId="4482DC9A" w14:textId="77777777" w:rsidR="00E37734" w:rsidRPr="004032F4" w:rsidRDefault="00E37734" w:rsidP="00E37734">
            <w:pPr>
              <w:tabs>
                <w:tab w:val="left" w:pos="993"/>
              </w:tabs>
              <w:jc w:val="right"/>
              <w:rPr>
                <w:b/>
                <w:sz w:val="16"/>
                <w:szCs w:val="16"/>
              </w:rPr>
            </w:pPr>
            <w:r w:rsidRPr="004032F4">
              <w:rPr>
                <w:b/>
                <w:sz w:val="16"/>
                <w:szCs w:val="16"/>
              </w:rPr>
              <w:t>х</w:t>
            </w:r>
          </w:p>
        </w:tc>
        <w:tc>
          <w:tcPr>
            <w:tcW w:w="706" w:type="dxa"/>
            <w:vAlign w:val="center"/>
          </w:tcPr>
          <w:p w14:paraId="6B55DF7A" w14:textId="77777777" w:rsidR="00E37734" w:rsidRPr="004032F4" w:rsidRDefault="00E37734" w:rsidP="00E37734">
            <w:pPr>
              <w:tabs>
                <w:tab w:val="left" w:pos="993"/>
              </w:tabs>
              <w:jc w:val="right"/>
              <w:rPr>
                <w:i/>
                <w:sz w:val="16"/>
                <w:szCs w:val="16"/>
              </w:rPr>
            </w:pPr>
            <w:r w:rsidRPr="004032F4">
              <w:rPr>
                <w:i/>
                <w:sz w:val="16"/>
                <w:szCs w:val="16"/>
              </w:rPr>
              <w:t>х</w:t>
            </w:r>
          </w:p>
        </w:tc>
        <w:tc>
          <w:tcPr>
            <w:tcW w:w="983" w:type="dxa"/>
            <w:vAlign w:val="center"/>
          </w:tcPr>
          <w:p w14:paraId="586B3BDD" w14:textId="77777777" w:rsidR="00E37734" w:rsidRPr="004032F4" w:rsidRDefault="00E37734" w:rsidP="00E37734">
            <w:pPr>
              <w:tabs>
                <w:tab w:val="left" w:pos="993"/>
              </w:tabs>
              <w:jc w:val="right"/>
              <w:rPr>
                <w:b/>
                <w:sz w:val="16"/>
                <w:szCs w:val="16"/>
              </w:rPr>
            </w:pPr>
            <w:r w:rsidRPr="004032F4">
              <w:rPr>
                <w:b/>
                <w:sz w:val="16"/>
                <w:szCs w:val="16"/>
              </w:rPr>
              <w:t>х</w:t>
            </w:r>
          </w:p>
        </w:tc>
        <w:tc>
          <w:tcPr>
            <w:tcW w:w="706" w:type="dxa"/>
            <w:vAlign w:val="center"/>
          </w:tcPr>
          <w:p w14:paraId="24E46088" w14:textId="77777777" w:rsidR="00E37734" w:rsidRPr="004032F4" w:rsidRDefault="00E37734" w:rsidP="00E37734">
            <w:pPr>
              <w:tabs>
                <w:tab w:val="left" w:pos="993"/>
              </w:tabs>
              <w:jc w:val="right"/>
              <w:rPr>
                <w:i/>
                <w:sz w:val="16"/>
                <w:szCs w:val="16"/>
              </w:rPr>
            </w:pPr>
            <w:r w:rsidRPr="004032F4">
              <w:rPr>
                <w:i/>
                <w:sz w:val="16"/>
                <w:szCs w:val="16"/>
              </w:rPr>
              <w:t>х</w:t>
            </w:r>
          </w:p>
        </w:tc>
        <w:tc>
          <w:tcPr>
            <w:tcW w:w="885" w:type="dxa"/>
            <w:vAlign w:val="center"/>
          </w:tcPr>
          <w:p w14:paraId="685813AD" w14:textId="77777777" w:rsidR="00E37734" w:rsidRPr="004032F4" w:rsidRDefault="00E37734" w:rsidP="00E37734">
            <w:pPr>
              <w:tabs>
                <w:tab w:val="left" w:pos="993"/>
              </w:tabs>
              <w:jc w:val="right"/>
              <w:rPr>
                <w:b/>
                <w:sz w:val="16"/>
                <w:szCs w:val="16"/>
              </w:rPr>
            </w:pPr>
            <w:r w:rsidRPr="004032F4">
              <w:rPr>
                <w:b/>
                <w:sz w:val="16"/>
                <w:szCs w:val="16"/>
              </w:rPr>
              <w:t>х</w:t>
            </w:r>
          </w:p>
        </w:tc>
        <w:tc>
          <w:tcPr>
            <w:tcW w:w="716" w:type="dxa"/>
            <w:vAlign w:val="center"/>
          </w:tcPr>
          <w:p w14:paraId="15F7BEA0" w14:textId="77777777" w:rsidR="00E37734" w:rsidRPr="004032F4" w:rsidRDefault="00E37734" w:rsidP="00E37734">
            <w:pPr>
              <w:tabs>
                <w:tab w:val="left" w:pos="993"/>
              </w:tabs>
              <w:jc w:val="right"/>
              <w:rPr>
                <w:i/>
                <w:sz w:val="16"/>
                <w:szCs w:val="16"/>
              </w:rPr>
            </w:pPr>
            <w:r w:rsidRPr="004032F4">
              <w:rPr>
                <w:i/>
                <w:sz w:val="16"/>
                <w:szCs w:val="16"/>
              </w:rPr>
              <w:t>х</w:t>
            </w:r>
          </w:p>
        </w:tc>
      </w:tr>
      <w:tr w:rsidR="00E37734" w:rsidRPr="004032F4" w14:paraId="04EC2B6A" w14:textId="77777777" w:rsidTr="00E37734">
        <w:trPr>
          <w:cantSplit/>
        </w:trPr>
        <w:tc>
          <w:tcPr>
            <w:tcW w:w="3754" w:type="dxa"/>
            <w:shd w:val="clear" w:color="auto" w:fill="FBE4D5" w:themeFill="accent2" w:themeFillTint="33"/>
            <w:vAlign w:val="center"/>
          </w:tcPr>
          <w:p w14:paraId="5100575A" w14:textId="77777777" w:rsidR="00E37734" w:rsidRPr="004032F4" w:rsidRDefault="00E37734" w:rsidP="00E37734">
            <w:pPr>
              <w:tabs>
                <w:tab w:val="left" w:pos="993"/>
              </w:tabs>
              <w:rPr>
                <w:b/>
                <w:sz w:val="16"/>
                <w:szCs w:val="16"/>
              </w:rPr>
            </w:pPr>
            <w:r w:rsidRPr="004032F4">
              <w:rPr>
                <w:b/>
                <w:sz w:val="16"/>
                <w:szCs w:val="16"/>
              </w:rPr>
              <w:t>ВСЕГО</w:t>
            </w:r>
          </w:p>
        </w:tc>
        <w:tc>
          <w:tcPr>
            <w:tcW w:w="989" w:type="dxa"/>
            <w:shd w:val="clear" w:color="auto" w:fill="FBE4D5" w:themeFill="accent2" w:themeFillTint="33"/>
            <w:vAlign w:val="center"/>
          </w:tcPr>
          <w:p w14:paraId="1523EDDE" w14:textId="77777777" w:rsidR="00E37734" w:rsidRPr="004032F4" w:rsidRDefault="00E37734" w:rsidP="00E37734">
            <w:pPr>
              <w:tabs>
                <w:tab w:val="left" w:pos="993"/>
              </w:tabs>
              <w:jc w:val="right"/>
              <w:rPr>
                <w:sz w:val="16"/>
                <w:szCs w:val="16"/>
              </w:rPr>
            </w:pPr>
            <w:r w:rsidRPr="004032F4">
              <w:rPr>
                <w:sz w:val="16"/>
                <w:szCs w:val="16"/>
              </w:rPr>
              <w:t>15 217,9</w:t>
            </w:r>
          </w:p>
        </w:tc>
        <w:tc>
          <w:tcPr>
            <w:tcW w:w="983" w:type="dxa"/>
            <w:shd w:val="clear" w:color="auto" w:fill="FBE4D5" w:themeFill="accent2" w:themeFillTint="33"/>
            <w:vAlign w:val="center"/>
          </w:tcPr>
          <w:p w14:paraId="1E690CC8" w14:textId="77777777" w:rsidR="00E37734" w:rsidRPr="004032F4" w:rsidRDefault="00E37734" w:rsidP="00E37734">
            <w:pPr>
              <w:tabs>
                <w:tab w:val="left" w:pos="993"/>
              </w:tabs>
              <w:jc w:val="right"/>
              <w:rPr>
                <w:b/>
                <w:sz w:val="16"/>
                <w:szCs w:val="16"/>
              </w:rPr>
            </w:pPr>
            <w:r w:rsidRPr="004032F4">
              <w:rPr>
                <w:b/>
                <w:sz w:val="16"/>
                <w:szCs w:val="16"/>
              </w:rPr>
              <w:t>2 448,9</w:t>
            </w:r>
          </w:p>
        </w:tc>
        <w:tc>
          <w:tcPr>
            <w:tcW w:w="706" w:type="dxa"/>
            <w:shd w:val="clear" w:color="auto" w:fill="FBE4D5" w:themeFill="accent2" w:themeFillTint="33"/>
            <w:vAlign w:val="center"/>
          </w:tcPr>
          <w:p w14:paraId="3F1C11CC" w14:textId="77777777" w:rsidR="00E37734" w:rsidRPr="004032F4" w:rsidRDefault="00E37734" w:rsidP="00E37734">
            <w:pPr>
              <w:tabs>
                <w:tab w:val="left" w:pos="993"/>
              </w:tabs>
              <w:jc w:val="right"/>
              <w:rPr>
                <w:b/>
                <w:i/>
                <w:sz w:val="16"/>
                <w:szCs w:val="16"/>
              </w:rPr>
            </w:pPr>
            <w:r w:rsidRPr="004032F4">
              <w:rPr>
                <w:b/>
                <w:i/>
                <w:sz w:val="16"/>
                <w:szCs w:val="16"/>
              </w:rPr>
              <w:t>-83,9%</w:t>
            </w:r>
          </w:p>
        </w:tc>
        <w:tc>
          <w:tcPr>
            <w:tcW w:w="983" w:type="dxa"/>
            <w:shd w:val="clear" w:color="auto" w:fill="FBE4D5" w:themeFill="accent2" w:themeFillTint="33"/>
            <w:vAlign w:val="center"/>
          </w:tcPr>
          <w:p w14:paraId="32E3A157" w14:textId="77777777" w:rsidR="00E37734" w:rsidRPr="004032F4" w:rsidRDefault="00E37734" w:rsidP="00E37734">
            <w:pPr>
              <w:tabs>
                <w:tab w:val="left" w:pos="993"/>
              </w:tabs>
              <w:jc w:val="right"/>
              <w:rPr>
                <w:b/>
                <w:sz w:val="16"/>
                <w:szCs w:val="16"/>
              </w:rPr>
            </w:pPr>
            <w:r w:rsidRPr="004032F4">
              <w:rPr>
                <w:b/>
                <w:sz w:val="16"/>
                <w:szCs w:val="16"/>
              </w:rPr>
              <w:t>1 582,5</w:t>
            </w:r>
          </w:p>
        </w:tc>
        <w:tc>
          <w:tcPr>
            <w:tcW w:w="706" w:type="dxa"/>
            <w:shd w:val="clear" w:color="auto" w:fill="FBE4D5" w:themeFill="accent2" w:themeFillTint="33"/>
            <w:vAlign w:val="center"/>
          </w:tcPr>
          <w:p w14:paraId="61B16577" w14:textId="77777777" w:rsidR="00E37734" w:rsidRPr="004032F4" w:rsidRDefault="00E37734" w:rsidP="00E37734">
            <w:pPr>
              <w:tabs>
                <w:tab w:val="left" w:pos="993"/>
              </w:tabs>
              <w:jc w:val="right"/>
              <w:rPr>
                <w:b/>
                <w:i/>
                <w:sz w:val="16"/>
                <w:szCs w:val="16"/>
              </w:rPr>
            </w:pPr>
            <w:r w:rsidRPr="004032F4">
              <w:rPr>
                <w:b/>
                <w:i/>
                <w:sz w:val="16"/>
                <w:szCs w:val="16"/>
              </w:rPr>
              <w:t>-35,4%</w:t>
            </w:r>
          </w:p>
        </w:tc>
        <w:tc>
          <w:tcPr>
            <w:tcW w:w="885" w:type="dxa"/>
            <w:shd w:val="clear" w:color="auto" w:fill="FBE4D5" w:themeFill="accent2" w:themeFillTint="33"/>
            <w:vAlign w:val="center"/>
          </w:tcPr>
          <w:p w14:paraId="6D8E5E6B" w14:textId="77777777" w:rsidR="00E37734" w:rsidRPr="004032F4" w:rsidRDefault="00E37734" w:rsidP="00E37734">
            <w:pPr>
              <w:tabs>
                <w:tab w:val="left" w:pos="993"/>
              </w:tabs>
              <w:jc w:val="right"/>
              <w:rPr>
                <w:b/>
                <w:sz w:val="16"/>
                <w:szCs w:val="16"/>
                <w:lang w:val="en-US"/>
              </w:rPr>
            </w:pPr>
            <w:r w:rsidRPr="004032F4">
              <w:rPr>
                <w:b/>
                <w:sz w:val="16"/>
                <w:szCs w:val="16"/>
              </w:rPr>
              <w:t>1 583,0</w:t>
            </w:r>
          </w:p>
        </w:tc>
        <w:tc>
          <w:tcPr>
            <w:tcW w:w="716" w:type="dxa"/>
            <w:shd w:val="clear" w:color="auto" w:fill="FBE4D5" w:themeFill="accent2" w:themeFillTint="33"/>
            <w:vAlign w:val="center"/>
          </w:tcPr>
          <w:p w14:paraId="09C9270F" w14:textId="77777777" w:rsidR="00E37734" w:rsidRPr="004032F4" w:rsidRDefault="00E37734" w:rsidP="00E37734">
            <w:pPr>
              <w:tabs>
                <w:tab w:val="left" w:pos="993"/>
              </w:tabs>
              <w:jc w:val="right"/>
              <w:rPr>
                <w:b/>
                <w:i/>
                <w:sz w:val="16"/>
                <w:szCs w:val="16"/>
              </w:rPr>
            </w:pPr>
            <w:r w:rsidRPr="004032F4">
              <w:rPr>
                <w:b/>
                <w:i/>
                <w:sz w:val="16"/>
                <w:szCs w:val="16"/>
              </w:rPr>
              <w:t>+0,03%</w:t>
            </w:r>
          </w:p>
        </w:tc>
      </w:tr>
    </w:tbl>
    <w:p w14:paraId="5BC2D4B0" w14:textId="40495986" w:rsidR="002D1414" w:rsidRPr="004032F4" w:rsidRDefault="002D1414" w:rsidP="00E37734">
      <w:pPr>
        <w:tabs>
          <w:tab w:val="left" w:pos="993"/>
        </w:tabs>
        <w:spacing w:before="120" w:after="12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 xml:space="preserve">Объемы бюджетных ассигнований и их доли в общем объеме бюджетных ассигнований, предусматриваемых на </w:t>
      </w:r>
      <w:r w:rsidR="00EE4E01" w:rsidRPr="004032F4">
        <w:rPr>
          <w:rFonts w:ascii="Times New Roman" w:eastAsia="Times New Roman" w:hAnsi="Times New Roman" w:cs="Times New Roman"/>
          <w:sz w:val="28"/>
          <w:szCs w:val="28"/>
          <w:lang w:eastAsia="ru-RU"/>
        </w:rPr>
        <w:t>финансирование</w:t>
      </w:r>
      <w:r w:rsidRPr="004032F4">
        <w:rPr>
          <w:rFonts w:ascii="Times New Roman" w:eastAsia="Times New Roman" w:hAnsi="Times New Roman" w:cs="Times New Roman"/>
          <w:sz w:val="28"/>
          <w:szCs w:val="28"/>
          <w:lang w:eastAsia="ru-RU"/>
        </w:rPr>
        <w:t xml:space="preserve"> региональных проектов в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 xml:space="preserve"> году, представлены на диаграмме.</w:t>
      </w:r>
    </w:p>
    <w:p w14:paraId="034F94A3" w14:textId="7C923FED" w:rsidR="00E37734" w:rsidRPr="004032F4" w:rsidRDefault="00E37734" w:rsidP="00E37734">
      <w:pPr>
        <w:tabs>
          <w:tab w:val="left" w:pos="993"/>
        </w:tabs>
        <w:spacing w:before="120" w:after="120" w:line="240" w:lineRule="auto"/>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noProof/>
          <w:sz w:val="28"/>
          <w:szCs w:val="28"/>
          <w:lang w:eastAsia="ru-RU"/>
        </w:rPr>
        <w:drawing>
          <wp:inline distT="0" distB="0" distL="0" distR="0" wp14:anchorId="11AB6A4D" wp14:editId="7819C18B">
            <wp:extent cx="5772150" cy="34956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473530" w14:textId="7C4D1F44" w:rsidR="00E37734" w:rsidRPr="004032F4" w:rsidRDefault="00E37734" w:rsidP="00E37734">
      <w:pPr>
        <w:widowControl w:val="0"/>
        <w:tabs>
          <w:tab w:val="left" w:pos="993"/>
        </w:tabs>
        <w:spacing w:before="120"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Как видно из диаграммы, основной объем расходов, предусматриваемых в 2025 году на реализацию региональных проектов, приходится на четыре региональных проекта, доля которых в совокупности составляет 98,5% от общего объема расходов на реализацию региональных проектов. Три из четырех указанных региональных проектов с общим объемом финансирования в 2025 году в сумме 2 304,2 млн. рублей разработаны в рамках национального проекта «И» «Инфраструктура для жизни». Преобладание бюджетных ассигнований на данные три региональных проекта сохраняется и в плановом периоде 2026 и 2027 годов.</w:t>
      </w:r>
    </w:p>
    <w:p w14:paraId="32ED47A3" w14:textId="77777777" w:rsidR="00595A34" w:rsidRPr="004032F4" w:rsidRDefault="00595A34" w:rsidP="002B2848">
      <w:pPr>
        <w:keepNext/>
        <w:keepLines/>
        <w:pBdr>
          <w:bottom w:val="thinThickSmallGap" w:sz="18" w:space="10" w:color="auto"/>
        </w:pBdr>
        <w:suppressAutoHyphens/>
        <w:spacing w:before="240" w:after="0" w:line="240" w:lineRule="auto"/>
        <w:jc w:val="center"/>
        <w:rPr>
          <w:rFonts w:ascii="Times New Roman" w:eastAsia="Calibri" w:hAnsi="Times New Roman" w:cs="Times New Roman"/>
          <w:b/>
          <w:caps/>
          <w:spacing w:val="30"/>
          <w:w w:val="150"/>
          <w:sz w:val="24"/>
          <w:szCs w:val="24"/>
        </w:rPr>
      </w:pPr>
      <w:r w:rsidRPr="004032F4">
        <w:rPr>
          <w:rFonts w:ascii="Times New Roman" w:eastAsia="Calibri" w:hAnsi="Times New Roman" w:cs="Times New Roman"/>
          <w:b/>
          <w:caps/>
          <w:spacing w:val="30"/>
          <w:w w:val="150"/>
          <w:sz w:val="24"/>
          <w:szCs w:val="24"/>
        </w:rPr>
        <w:t>4. </w:t>
      </w:r>
      <w:r w:rsidR="00361B1B" w:rsidRPr="004032F4">
        <w:rPr>
          <w:rFonts w:ascii="Times New Roman" w:eastAsia="Calibri" w:hAnsi="Times New Roman" w:cs="Times New Roman"/>
          <w:b/>
          <w:caps/>
          <w:w w:val="150"/>
          <w:sz w:val="24"/>
          <w:szCs w:val="24"/>
        </w:rPr>
        <w:t>Межбюджетные трансферты, предоставляемые из бюджета области</w:t>
      </w:r>
    </w:p>
    <w:p w14:paraId="53E21161" w14:textId="283BA527" w:rsidR="00595A34" w:rsidRPr="004032F4" w:rsidRDefault="00595A34" w:rsidP="008F40CF">
      <w:pPr>
        <w:spacing w:before="120" w:after="0" w:line="240" w:lineRule="auto"/>
        <w:ind w:left="709"/>
        <w:jc w:val="both"/>
        <w:outlineLvl w:val="0"/>
        <w:rPr>
          <w:rFonts w:ascii="Times New Roman" w:eastAsia="Calibri" w:hAnsi="Times New Roman" w:cs="Times New Roman"/>
          <w:i/>
          <w:sz w:val="28"/>
          <w:szCs w:val="28"/>
        </w:rPr>
      </w:pPr>
      <w:r w:rsidRPr="004032F4">
        <w:rPr>
          <w:rFonts w:ascii="Times New Roman" w:eastAsia="Calibri" w:hAnsi="Times New Roman" w:cs="Times New Roman"/>
          <w:b/>
          <w:sz w:val="28"/>
          <w:szCs w:val="28"/>
        </w:rPr>
        <w:t>4.1.</w:t>
      </w:r>
      <w:r w:rsidRPr="004032F4">
        <w:rPr>
          <w:rFonts w:ascii="Times New Roman" w:eastAsia="Calibri" w:hAnsi="Times New Roman" w:cs="Times New Roman"/>
          <w:sz w:val="28"/>
          <w:szCs w:val="28"/>
        </w:rPr>
        <w:t> </w:t>
      </w:r>
      <w:r w:rsidRPr="004032F4">
        <w:rPr>
          <w:rFonts w:ascii="Times New Roman" w:eastAsia="Calibri" w:hAnsi="Times New Roman" w:cs="Times New Roman"/>
          <w:i/>
          <w:sz w:val="28"/>
          <w:szCs w:val="28"/>
        </w:rPr>
        <w:t>Взаимоотношения бюджета об</w:t>
      </w:r>
      <w:r w:rsidR="00AE7D43" w:rsidRPr="004032F4">
        <w:rPr>
          <w:rFonts w:ascii="Times New Roman" w:eastAsia="Calibri" w:hAnsi="Times New Roman" w:cs="Times New Roman"/>
          <w:i/>
          <w:sz w:val="28"/>
          <w:szCs w:val="28"/>
        </w:rPr>
        <w:t xml:space="preserve">ласти с бюджетами муниципальных </w:t>
      </w:r>
      <w:r w:rsidRPr="004032F4">
        <w:rPr>
          <w:rFonts w:ascii="Times New Roman" w:eastAsia="Calibri" w:hAnsi="Times New Roman" w:cs="Times New Roman"/>
          <w:i/>
          <w:sz w:val="28"/>
          <w:szCs w:val="28"/>
        </w:rPr>
        <w:t>образований</w:t>
      </w:r>
    </w:p>
    <w:p w14:paraId="7F7A11A2" w14:textId="12AB0C9B" w:rsidR="00CB123C" w:rsidRPr="004032F4" w:rsidRDefault="00595A34" w:rsidP="00657B47">
      <w:pPr>
        <w:spacing w:after="0" w:line="240" w:lineRule="auto"/>
        <w:ind w:firstLine="709"/>
        <w:jc w:val="both"/>
        <w:outlineLvl w:val="0"/>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Прогнозирование доходов бюджетов муниципальных образований на </w:t>
      </w:r>
      <w:r w:rsidR="00933509" w:rsidRPr="004032F4">
        <w:rPr>
          <w:rFonts w:ascii="Times New Roman" w:eastAsia="Calibri" w:hAnsi="Times New Roman" w:cs="Times New Roman"/>
          <w:sz w:val="28"/>
          <w:szCs w:val="28"/>
        </w:rPr>
        <w:t>2025</w:t>
      </w:r>
      <w:r w:rsidRPr="004032F4">
        <w:rPr>
          <w:rFonts w:ascii="Times New Roman" w:eastAsia="Calibri" w:hAnsi="Times New Roman" w:cs="Times New Roman"/>
          <w:sz w:val="28"/>
          <w:szCs w:val="28"/>
        </w:rPr>
        <w:t>-</w:t>
      </w:r>
      <w:r w:rsidR="00933509" w:rsidRPr="004032F4">
        <w:rPr>
          <w:rFonts w:ascii="Times New Roman" w:eastAsia="Calibri" w:hAnsi="Times New Roman" w:cs="Times New Roman"/>
          <w:sz w:val="28"/>
          <w:szCs w:val="28"/>
        </w:rPr>
        <w:t>202</w:t>
      </w:r>
      <w:r w:rsidR="00337693" w:rsidRPr="004032F4">
        <w:rPr>
          <w:rFonts w:ascii="Times New Roman" w:eastAsia="Calibri" w:hAnsi="Times New Roman" w:cs="Times New Roman"/>
          <w:sz w:val="28"/>
          <w:szCs w:val="28"/>
        </w:rPr>
        <w:t>7</w:t>
      </w:r>
      <w:r w:rsidRPr="004032F4">
        <w:rPr>
          <w:rFonts w:ascii="Times New Roman" w:eastAsia="Calibri" w:hAnsi="Times New Roman" w:cs="Times New Roman"/>
          <w:sz w:val="28"/>
          <w:szCs w:val="28"/>
        </w:rPr>
        <w:t xml:space="preserve"> годы осуществлялось в соответствии с положениями бюджетного законодательства</w:t>
      </w:r>
      <w:r w:rsidR="00BC6AD3" w:rsidRPr="004032F4">
        <w:rPr>
          <w:rFonts w:ascii="Times New Roman" w:eastAsia="Calibri" w:hAnsi="Times New Roman" w:cs="Times New Roman"/>
          <w:sz w:val="28"/>
          <w:szCs w:val="28"/>
        </w:rPr>
        <w:t xml:space="preserve">: </w:t>
      </w:r>
      <w:r w:rsidRPr="004032F4">
        <w:rPr>
          <w:rFonts w:ascii="Times New Roman" w:eastAsia="Calibri" w:hAnsi="Times New Roman" w:cs="Times New Roman"/>
          <w:sz w:val="28"/>
          <w:szCs w:val="28"/>
        </w:rPr>
        <w:t xml:space="preserve">БК РФ, Закона </w:t>
      </w:r>
      <w:r w:rsidR="00DA2E87" w:rsidRPr="004032F4">
        <w:rPr>
          <w:rFonts w:ascii="Times New Roman" w:eastAsia="Calibri" w:hAnsi="Times New Roman" w:cs="Times New Roman"/>
          <w:sz w:val="28"/>
          <w:szCs w:val="28"/>
        </w:rPr>
        <w:t xml:space="preserve">области </w:t>
      </w:r>
      <w:r w:rsidRPr="004032F4">
        <w:rPr>
          <w:rFonts w:ascii="Times New Roman" w:eastAsia="Calibri" w:hAnsi="Times New Roman" w:cs="Times New Roman"/>
          <w:sz w:val="28"/>
          <w:szCs w:val="28"/>
        </w:rPr>
        <w:t>о межбюджетных отн</w:t>
      </w:r>
      <w:r w:rsidR="00F04B55" w:rsidRPr="004032F4">
        <w:rPr>
          <w:rFonts w:ascii="Times New Roman" w:eastAsia="Calibri" w:hAnsi="Times New Roman" w:cs="Times New Roman"/>
          <w:sz w:val="28"/>
          <w:szCs w:val="28"/>
        </w:rPr>
        <w:t>ошениях</w:t>
      </w:r>
      <w:r w:rsidR="00BC6AD3" w:rsidRPr="004032F4">
        <w:rPr>
          <w:rFonts w:ascii="Times New Roman" w:eastAsia="Calibri" w:hAnsi="Times New Roman" w:cs="Times New Roman"/>
          <w:sz w:val="28"/>
          <w:szCs w:val="28"/>
        </w:rPr>
        <w:t>.</w:t>
      </w:r>
      <w:r w:rsidR="00CB123C" w:rsidRPr="004032F4">
        <w:rPr>
          <w:rFonts w:ascii="Times New Roman" w:eastAsia="Calibri" w:hAnsi="Times New Roman" w:cs="Times New Roman"/>
          <w:sz w:val="28"/>
          <w:szCs w:val="28"/>
        </w:rPr>
        <w:t xml:space="preserve"> </w:t>
      </w:r>
    </w:p>
    <w:p w14:paraId="29088916" w14:textId="7839F023" w:rsidR="005A265A" w:rsidRPr="004032F4" w:rsidRDefault="005A265A" w:rsidP="005A265A">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4032F4">
        <w:rPr>
          <w:rFonts w:ascii="Times New Roman" w:eastAsia="Times New Roman" w:hAnsi="Times New Roman" w:cs="Times New Roman"/>
          <w:snapToGrid w:val="0"/>
          <w:sz w:val="28"/>
          <w:szCs w:val="28"/>
          <w:lang w:eastAsia="ru-RU"/>
        </w:rPr>
        <w:lastRenderedPageBreak/>
        <w:t>При формировании бюджета учтены изменения</w:t>
      </w:r>
      <w:r w:rsidR="0054788A" w:rsidRPr="004032F4">
        <w:rPr>
          <w:rFonts w:ascii="Times New Roman" w:eastAsia="Times New Roman" w:hAnsi="Times New Roman" w:cs="Times New Roman"/>
          <w:snapToGrid w:val="0"/>
          <w:sz w:val="28"/>
          <w:szCs w:val="28"/>
          <w:lang w:eastAsia="ru-RU"/>
        </w:rPr>
        <w:t xml:space="preserve"> регионального законодательства</w:t>
      </w:r>
      <w:r w:rsidRPr="004032F4">
        <w:rPr>
          <w:rFonts w:ascii="Times New Roman" w:eastAsia="Times New Roman" w:hAnsi="Times New Roman" w:cs="Times New Roman"/>
          <w:snapToGrid w:val="0"/>
          <w:sz w:val="28"/>
          <w:szCs w:val="28"/>
          <w:lang w:eastAsia="ru-RU"/>
        </w:rPr>
        <w:t xml:space="preserve">, вступающие в силу с </w:t>
      </w:r>
      <w:r w:rsidRPr="004032F4">
        <w:rPr>
          <w:rFonts w:ascii="Times New Roman" w:eastAsia="Calibri" w:hAnsi="Times New Roman" w:cs="Times New Roman"/>
          <w:sz w:val="28"/>
          <w:szCs w:val="28"/>
        </w:rPr>
        <w:t>01 января 2025 года:</w:t>
      </w:r>
    </w:p>
    <w:p w14:paraId="30D7DA05" w14:textId="2AF3A92B" w:rsidR="00604EA3" w:rsidRPr="004032F4" w:rsidRDefault="00604EA3" w:rsidP="00604EA3">
      <w:pPr>
        <w:autoSpaceDE w:val="0"/>
        <w:autoSpaceDN w:val="0"/>
        <w:adjustRightInd w:val="0"/>
        <w:spacing w:after="0" w:line="240" w:lineRule="auto"/>
        <w:ind w:firstLine="709"/>
        <w:jc w:val="both"/>
        <w:rPr>
          <w:rFonts w:ascii="Times New Roman" w:hAnsi="Times New Roman" w:cs="Times New Roman"/>
          <w:sz w:val="28"/>
          <w:szCs w:val="28"/>
        </w:rPr>
      </w:pPr>
      <w:r w:rsidRPr="004032F4">
        <w:rPr>
          <w:rFonts w:ascii="Times New Roman" w:eastAsia="Calibri" w:hAnsi="Times New Roman" w:cs="Times New Roman"/>
          <w:sz w:val="28"/>
          <w:szCs w:val="28"/>
        </w:rPr>
        <w:t xml:space="preserve">– в связи с введением прогрессивной шкалы налогообложения по налогу </w:t>
      </w:r>
      <w:r w:rsidRPr="004032F4">
        <w:rPr>
          <w:rFonts w:ascii="Times New Roman" w:hAnsi="Times New Roman" w:cs="Times New Roman"/>
          <w:sz w:val="28"/>
          <w:szCs w:val="28"/>
        </w:rPr>
        <w:t xml:space="preserve">на доходы физических лиц </w:t>
      </w:r>
      <w:r w:rsidRPr="004032F4">
        <w:rPr>
          <w:rFonts w:ascii="Times New Roman" w:hAnsi="Times New Roman" w:cs="Times New Roman"/>
        </w:rPr>
        <w:t>(в соответствии с Федеральным законом от 13.07.2024 №177</w:t>
      </w:r>
      <w:r w:rsidRPr="004032F4">
        <w:rPr>
          <w:rFonts w:ascii="Times New Roman" w:hAnsi="Times New Roman" w:cs="Times New Roman"/>
        </w:rPr>
        <w:noBreakHyphen/>
        <w:t>ФЗ</w:t>
      </w:r>
      <w:r w:rsidRPr="004032F4">
        <w:rPr>
          <w:rStyle w:val="a5"/>
          <w:rFonts w:ascii="Times New Roman" w:hAnsi="Times New Roman" w:cs="Times New Roman"/>
        </w:rPr>
        <w:footnoteReference w:id="25"/>
      </w:r>
      <w:r w:rsidRPr="004032F4">
        <w:rPr>
          <w:rFonts w:ascii="Times New Roman" w:hAnsi="Times New Roman" w:cs="Times New Roman"/>
        </w:rPr>
        <w:t>)</w:t>
      </w:r>
      <w:r w:rsidRPr="004032F4">
        <w:rPr>
          <w:rFonts w:ascii="Times New Roman" w:hAnsi="Times New Roman" w:cs="Times New Roman"/>
          <w:sz w:val="28"/>
          <w:szCs w:val="28"/>
        </w:rPr>
        <w:t xml:space="preserve"> установлены нормативы отчислений в бюджеты муниципальных районов, муниципальных округов, городских округов (далее также</w:t>
      </w:r>
      <w:r w:rsidR="00B71485" w:rsidRPr="004032F4">
        <w:rPr>
          <w:rFonts w:ascii="Times New Roman" w:hAnsi="Times New Roman" w:cs="Times New Roman"/>
          <w:sz w:val="28"/>
          <w:szCs w:val="28"/>
        </w:rPr>
        <w:t xml:space="preserve"> –</w:t>
      </w:r>
      <w:r w:rsidRPr="004032F4">
        <w:rPr>
          <w:rFonts w:ascii="Times New Roman" w:hAnsi="Times New Roman" w:cs="Times New Roman"/>
          <w:sz w:val="28"/>
          <w:szCs w:val="28"/>
        </w:rPr>
        <w:t xml:space="preserve"> муниципальные образования, МО);</w:t>
      </w:r>
    </w:p>
    <w:p w14:paraId="27D05FE3" w14:textId="50FE1CDC" w:rsidR="00114629" w:rsidRPr="004032F4" w:rsidRDefault="005A265A" w:rsidP="005A26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 в связи с наделением муниципального образования город Ефремов статусом муниципального округа </w:t>
      </w:r>
      <w:r w:rsidRPr="004032F4">
        <w:rPr>
          <w:rFonts w:ascii="Times New Roman" w:eastAsia="Calibri" w:hAnsi="Times New Roman" w:cs="Times New Roman"/>
          <w:sz w:val="24"/>
          <w:szCs w:val="24"/>
        </w:rPr>
        <w:t xml:space="preserve">(проект закона Тульской области принят </w:t>
      </w:r>
      <w:r w:rsidR="00114629" w:rsidRPr="004032F4">
        <w:rPr>
          <w:rFonts w:ascii="Times New Roman" w:eastAsia="Calibri" w:hAnsi="Times New Roman" w:cs="Times New Roman"/>
          <w:sz w:val="24"/>
          <w:szCs w:val="24"/>
        </w:rPr>
        <w:t xml:space="preserve">Тульской областной Думой </w:t>
      </w:r>
      <w:r w:rsidRPr="004032F4">
        <w:rPr>
          <w:rFonts w:ascii="Times New Roman" w:eastAsia="Calibri" w:hAnsi="Times New Roman" w:cs="Times New Roman"/>
          <w:sz w:val="24"/>
          <w:szCs w:val="24"/>
        </w:rPr>
        <w:t xml:space="preserve">в первом чтении </w:t>
      </w:r>
      <w:r w:rsidR="00114629" w:rsidRPr="004032F4">
        <w:rPr>
          <w:rFonts w:ascii="Times New Roman" w:eastAsia="Calibri" w:hAnsi="Times New Roman" w:cs="Times New Roman"/>
          <w:sz w:val="24"/>
          <w:szCs w:val="24"/>
        </w:rPr>
        <w:t>24.10.2024)</w:t>
      </w:r>
      <w:r w:rsidR="00114629" w:rsidRPr="004032F4">
        <w:rPr>
          <w:rFonts w:ascii="Times New Roman" w:eastAsia="Calibri" w:hAnsi="Times New Roman" w:cs="Times New Roman"/>
          <w:sz w:val="28"/>
          <w:szCs w:val="28"/>
        </w:rPr>
        <w:t xml:space="preserve"> </w:t>
      </w:r>
      <w:r w:rsidR="00EC7F0C" w:rsidRPr="004032F4">
        <w:rPr>
          <w:rFonts w:ascii="Times New Roman" w:eastAsia="Calibri" w:hAnsi="Times New Roman" w:cs="Times New Roman"/>
          <w:sz w:val="28"/>
          <w:szCs w:val="28"/>
        </w:rPr>
        <w:t>уст</w:t>
      </w:r>
      <w:r w:rsidRPr="004032F4">
        <w:rPr>
          <w:rFonts w:ascii="Times New Roman" w:eastAsia="Calibri" w:hAnsi="Times New Roman" w:cs="Times New Roman"/>
          <w:sz w:val="28"/>
          <w:szCs w:val="28"/>
        </w:rPr>
        <w:t>а</w:t>
      </w:r>
      <w:r w:rsidR="00EC7F0C" w:rsidRPr="004032F4">
        <w:rPr>
          <w:rFonts w:ascii="Times New Roman" w:eastAsia="Calibri" w:hAnsi="Times New Roman" w:cs="Times New Roman"/>
          <w:sz w:val="28"/>
          <w:szCs w:val="28"/>
        </w:rPr>
        <w:t>новлены</w:t>
      </w:r>
      <w:r w:rsidRPr="004032F4">
        <w:rPr>
          <w:rFonts w:ascii="Times New Roman" w:eastAsia="Calibri" w:hAnsi="Times New Roman" w:cs="Times New Roman"/>
          <w:sz w:val="28"/>
          <w:szCs w:val="28"/>
        </w:rPr>
        <w:t xml:space="preserve"> нормативы отчислений</w:t>
      </w:r>
      <w:r w:rsidR="00114629" w:rsidRPr="004032F4">
        <w:rPr>
          <w:rFonts w:ascii="Times New Roman" w:eastAsia="Calibri" w:hAnsi="Times New Roman" w:cs="Times New Roman"/>
          <w:sz w:val="28"/>
          <w:szCs w:val="28"/>
        </w:rPr>
        <w:t xml:space="preserve"> </w:t>
      </w:r>
      <w:r w:rsidR="0054788A" w:rsidRPr="004032F4">
        <w:rPr>
          <w:rFonts w:ascii="Times New Roman" w:eastAsia="Calibri" w:hAnsi="Times New Roman" w:cs="Times New Roman"/>
          <w:sz w:val="28"/>
          <w:szCs w:val="28"/>
        </w:rPr>
        <w:t>для бюджета муниципального округа</w:t>
      </w:r>
      <w:r w:rsidR="00C1420D" w:rsidRPr="004032F4">
        <w:rPr>
          <w:rStyle w:val="a5"/>
          <w:rFonts w:ascii="Times New Roman" w:eastAsia="Calibri" w:hAnsi="Times New Roman" w:cs="Times New Roman"/>
          <w:sz w:val="28"/>
          <w:szCs w:val="28"/>
        </w:rPr>
        <w:footnoteReference w:id="26"/>
      </w:r>
      <w:r w:rsidR="0054788A" w:rsidRPr="004032F4">
        <w:rPr>
          <w:rFonts w:ascii="Times New Roman" w:eastAsia="Calibri" w:hAnsi="Times New Roman" w:cs="Times New Roman"/>
          <w:sz w:val="28"/>
          <w:szCs w:val="28"/>
        </w:rPr>
        <w:t xml:space="preserve"> </w:t>
      </w:r>
      <w:r w:rsidR="0054788A" w:rsidRPr="004032F4">
        <w:rPr>
          <w:rFonts w:ascii="Times New Roman" w:eastAsia="Calibri" w:hAnsi="Times New Roman" w:cs="Times New Roman"/>
          <w:sz w:val="24"/>
          <w:szCs w:val="24"/>
        </w:rPr>
        <w:t>(</w:t>
      </w:r>
      <w:r w:rsidR="00114629" w:rsidRPr="004032F4">
        <w:rPr>
          <w:rFonts w:ascii="Times New Roman" w:eastAsia="Calibri" w:hAnsi="Times New Roman" w:cs="Times New Roman"/>
          <w:sz w:val="24"/>
          <w:szCs w:val="24"/>
        </w:rPr>
        <w:t>на уровне размеров отчислений для бюджетов муниципальных районов</w:t>
      </w:r>
      <w:r w:rsidR="0054788A" w:rsidRPr="004032F4">
        <w:rPr>
          <w:rFonts w:ascii="Times New Roman" w:eastAsia="Calibri" w:hAnsi="Times New Roman" w:cs="Times New Roman"/>
          <w:sz w:val="24"/>
          <w:szCs w:val="24"/>
        </w:rPr>
        <w:t>)</w:t>
      </w:r>
      <w:r w:rsidR="00C1420D" w:rsidRPr="004032F4">
        <w:rPr>
          <w:rFonts w:ascii="Times New Roman" w:eastAsia="Calibri" w:hAnsi="Times New Roman" w:cs="Times New Roman"/>
          <w:sz w:val="28"/>
          <w:szCs w:val="28"/>
        </w:rPr>
        <w:t xml:space="preserve">, что позволит бюджету МО </w:t>
      </w:r>
      <w:proofErr w:type="spellStart"/>
      <w:r w:rsidR="00C1420D" w:rsidRPr="004032F4">
        <w:rPr>
          <w:rFonts w:ascii="Times New Roman" w:eastAsia="Calibri" w:hAnsi="Times New Roman" w:cs="Times New Roman"/>
          <w:sz w:val="28"/>
          <w:szCs w:val="28"/>
        </w:rPr>
        <w:t>г.Ефремов</w:t>
      </w:r>
      <w:proofErr w:type="spellEnd"/>
      <w:r w:rsidR="00C1420D" w:rsidRPr="004032F4">
        <w:rPr>
          <w:rFonts w:ascii="Times New Roman" w:eastAsia="Calibri" w:hAnsi="Times New Roman" w:cs="Times New Roman"/>
          <w:sz w:val="28"/>
          <w:szCs w:val="28"/>
        </w:rPr>
        <w:t xml:space="preserve"> в 2025, 2026, 2027 годах увеличить доходы </w:t>
      </w:r>
      <w:r w:rsidR="00757D1D" w:rsidRPr="004032F4">
        <w:rPr>
          <w:rFonts w:ascii="Times New Roman" w:eastAsia="Calibri" w:hAnsi="Times New Roman" w:cs="Times New Roman"/>
          <w:sz w:val="28"/>
          <w:szCs w:val="28"/>
        </w:rPr>
        <w:t xml:space="preserve">на 118,0 млн. рублей, 127,3 млн. рублей, 138,1 млн. рублей </w:t>
      </w:r>
      <w:r w:rsidR="00B71485" w:rsidRPr="004032F4">
        <w:rPr>
          <w:rFonts w:ascii="Times New Roman" w:eastAsia="Calibri" w:hAnsi="Times New Roman" w:cs="Times New Roman"/>
          <w:sz w:val="28"/>
          <w:szCs w:val="28"/>
        </w:rPr>
        <w:t>соответственно</w:t>
      </w:r>
      <w:r w:rsidR="00114629" w:rsidRPr="004032F4">
        <w:rPr>
          <w:rFonts w:ascii="Times New Roman" w:eastAsia="Calibri" w:hAnsi="Times New Roman" w:cs="Times New Roman"/>
          <w:sz w:val="28"/>
          <w:szCs w:val="28"/>
        </w:rPr>
        <w:t>;</w:t>
      </w:r>
    </w:p>
    <w:p w14:paraId="1BD22E1F" w14:textId="4C6994C0" w:rsidR="00B26E9E" w:rsidRPr="004032F4" w:rsidRDefault="006935AE" w:rsidP="006A262A">
      <w:pPr>
        <w:autoSpaceDE w:val="0"/>
        <w:autoSpaceDN w:val="0"/>
        <w:adjustRightInd w:val="0"/>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 xml:space="preserve">– в соответствии со статьей 58 БК РФ </w:t>
      </w:r>
      <w:r w:rsidR="003677FE" w:rsidRPr="004032F4">
        <w:rPr>
          <w:rFonts w:ascii="Times New Roman" w:hAnsi="Times New Roman" w:cs="Times New Roman"/>
          <w:sz w:val="28"/>
          <w:szCs w:val="28"/>
        </w:rPr>
        <w:t xml:space="preserve">Законопроектом </w:t>
      </w:r>
      <w:r w:rsidRPr="004032F4">
        <w:rPr>
          <w:rFonts w:ascii="Times New Roman" w:hAnsi="Times New Roman" w:cs="Times New Roman"/>
          <w:sz w:val="28"/>
          <w:szCs w:val="28"/>
        </w:rPr>
        <w:t>устан</w:t>
      </w:r>
      <w:r w:rsidR="003677FE" w:rsidRPr="004032F4">
        <w:rPr>
          <w:rFonts w:ascii="Times New Roman" w:hAnsi="Times New Roman" w:cs="Times New Roman"/>
          <w:sz w:val="28"/>
          <w:szCs w:val="28"/>
        </w:rPr>
        <w:t>авливаются</w:t>
      </w:r>
      <w:r w:rsidRPr="004032F4">
        <w:rPr>
          <w:rFonts w:ascii="Times New Roman" w:hAnsi="Times New Roman" w:cs="Times New Roman"/>
          <w:sz w:val="28"/>
          <w:szCs w:val="28"/>
        </w:rPr>
        <w:t xml:space="preserve"> дифференцированные нормативы отчислений в бюджеты муниципальных образований от налога, взимаемого в связи с применением упрощенной системы налогообложения, подлежащего зачислению в бюджет Тульской области</w:t>
      </w:r>
      <w:r w:rsidR="0054788A" w:rsidRPr="004032F4">
        <w:rPr>
          <w:rFonts w:ascii="Times New Roman" w:hAnsi="Times New Roman" w:cs="Times New Roman"/>
          <w:sz w:val="28"/>
          <w:szCs w:val="28"/>
        </w:rPr>
        <w:t xml:space="preserve">. </w:t>
      </w:r>
      <w:r w:rsidR="00C1420D" w:rsidRPr="004032F4">
        <w:rPr>
          <w:rFonts w:ascii="Times New Roman" w:hAnsi="Times New Roman" w:cs="Times New Roman"/>
          <w:sz w:val="28"/>
          <w:szCs w:val="28"/>
        </w:rPr>
        <w:t xml:space="preserve">Расчет дифференцированных нормативов </w:t>
      </w:r>
      <w:r w:rsidR="00BA274A" w:rsidRPr="004032F4">
        <w:rPr>
          <w:rFonts w:ascii="Times New Roman" w:hAnsi="Times New Roman" w:cs="Times New Roman"/>
          <w:sz w:val="28"/>
          <w:szCs w:val="28"/>
        </w:rPr>
        <w:t xml:space="preserve">осуществлен </w:t>
      </w:r>
      <w:r w:rsidR="00C1420D" w:rsidRPr="004032F4">
        <w:rPr>
          <w:rFonts w:ascii="Times New Roman" w:hAnsi="Times New Roman" w:cs="Times New Roman"/>
          <w:sz w:val="28"/>
          <w:szCs w:val="28"/>
        </w:rPr>
        <w:t xml:space="preserve">исходя из среднесписочной численности работников малых и средних предприятий в каждом муниципальном образовании. </w:t>
      </w:r>
      <w:r w:rsidR="0054788A" w:rsidRPr="004032F4">
        <w:rPr>
          <w:rFonts w:ascii="Times New Roman" w:hAnsi="Times New Roman" w:cs="Times New Roman"/>
          <w:sz w:val="28"/>
          <w:szCs w:val="28"/>
        </w:rPr>
        <w:t xml:space="preserve">Согласно представленным расчетам, дополнительно </w:t>
      </w:r>
      <w:r w:rsidR="00C1420D" w:rsidRPr="004032F4">
        <w:rPr>
          <w:rFonts w:ascii="Times New Roman" w:hAnsi="Times New Roman" w:cs="Times New Roman"/>
          <w:sz w:val="28"/>
          <w:szCs w:val="28"/>
        </w:rPr>
        <w:t xml:space="preserve">в бюджеты МО </w:t>
      </w:r>
      <w:r w:rsidR="000B0115" w:rsidRPr="004032F4">
        <w:rPr>
          <w:rFonts w:ascii="Times New Roman" w:hAnsi="Times New Roman" w:cs="Times New Roman"/>
          <w:sz w:val="28"/>
          <w:szCs w:val="28"/>
        </w:rPr>
        <w:t>по налогу, взимаемому в связи с применением упрощенной системы налогообложения</w:t>
      </w:r>
      <w:r w:rsidR="00BA274A" w:rsidRPr="004032F4">
        <w:rPr>
          <w:rFonts w:ascii="Times New Roman" w:hAnsi="Times New Roman" w:cs="Times New Roman"/>
          <w:sz w:val="28"/>
          <w:szCs w:val="28"/>
        </w:rPr>
        <w:t>,</w:t>
      </w:r>
      <w:r w:rsidR="000B0115" w:rsidRPr="004032F4">
        <w:rPr>
          <w:rFonts w:ascii="Times New Roman" w:hAnsi="Times New Roman" w:cs="Times New Roman"/>
          <w:sz w:val="28"/>
          <w:szCs w:val="28"/>
        </w:rPr>
        <w:t xml:space="preserve"> </w:t>
      </w:r>
      <w:r w:rsidR="0054788A" w:rsidRPr="004032F4">
        <w:rPr>
          <w:rFonts w:ascii="Times New Roman" w:hAnsi="Times New Roman" w:cs="Times New Roman"/>
          <w:sz w:val="28"/>
          <w:szCs w:val="28"/>
        </w:rPr>
        <w:t>поступит доходов порядка</w:t>
      </w:r>
      <w:r w:rsidR="00C1420D" w:rsidRPr="004032F4">
        <w:rPr>
          <w:rFonts w:ascii="Times New Roman" w:hAnsi="Times New Roman" w:cs="Times New Roman"/>
          <w:sz w:val="28"/>
          <w:szCs w:val="28"/>
        </w:rPr>
        <w:t xml:space="preserve"> 700-970 млн. рублей </w:t>
      </w:r>
      <w:r w:rsidR="00047686" w:rsidRPr="004032F4">
        <w:rPr>
          <w:rFonts w:ascii="Times New Roman" w:hAnsi="Times New Roman" w:cs="Times New Roman"/>
          <w:sz w:val="28"/>
          <w:szCs w:val="28"/>
        </w:rPr>
        <w:t xml:space="preserve">ежегодно </w:t>
      </w:r>
      <w:r w:rsidR="00C1420D" w:rsidRPr="004032F4">
        <w:rPr>
          <w:rFonts w:ascii="Times New Roman" w:hAnsi="Times New Roman" w:cs="Times New Roman"/>
          <w:sz w:val="28"/>
          <w:szCs w:val="28"/>
        </w:rPr>
        <w:t>в 2025-2027 годах</w:t>
      </w:r>
      <w:r w:rsidR="000B0115" w:rsidRPr="004032F4">
        <w:rPr>
          <w:rStyle w:val="a5"/>
          <w:rFonts w:ascii="Times New Roman" w:hAnsi="Times New Roman" w:cs="Times New Roman"/>
          <w:sz w:val="28"/>
          <w:szCs w:val="28"/>
        </w:rPr>
        <w:footnoteReference w:id="27"/>
      </w:r>
      <w:r w:rsidR="00C1420D" w:rsidRPr="004032F4">
        <w:rPr>
          <w:rFonts w:ascii="Times New Roman" w:hAnsi="Times New Roman" w:cs="Times New Roman"/>
          <w:sz w:val="24"/>
          <w:szCs w:val="24"/>
        </w:rPr>
        <w:t>)</w:t>
      </w:r>
      <w:r w:rsidR="00B26E9E" w:rsidRPr="004032F4">
        <w:rPr>
          <w:rFonts w:ascii="Times New Roman" w:hAnsi="Times New Roman" w:cs="Times New Roman"/>
          <w:sz w:val="24"/>
          <w:szCs w:val="24"/>
        </w:rPr>
        <w:t>;</w:t>
      </w:r>
    </w:p>
    <w:p w14:paraId="3AA47060" w14:textId="009744F7" w:rsidR="006935AE" w:rsidRPr="004032F4" w:rsidRDefault="00B26E9E" w:rsidP="006A262A">
      <w:pPr>
        <w:autoSpaceDE w:val="0"/>
        <w:autoSpaceDN w:val="0"/>
        <w:adjustRightInd w:val="0"/>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 xml:space="preserve">– изменение нормативов отчислений от акцизов на нефтепродукты, зачисляемые в бюджет области: в 2025–2026 годах в бюджеты МО </w:t>
      </w:r>
      <w:r w:rsidR="00905D1E" w:rsidRPr="004032F4">
        <w:rPr>
          <w:rFonts w:ascii="Times New Roman" w:hAnsi="Times New Roman" w:cs="Times New Roman"/>
          <w:sz w:val="28"/>
          <w:szCs w:val="28"/>
        </w:rPr>
        <w:t>предусматривается направить</w:t>
      </w:r>
      <w:r w:rsidRPr="004032F4">
        <w:rPr>
          <w:rFonts w:ascii="Times New Roman" w:hAnsi="Times New Roman" w:cs="Times New Roman"/>
          <w:sz w:val="28"/>
          <w:szCs w:val="28"/>
        </w:rPr>
        <w:t xml:space="preserve"> 30%</w:t>
      </w:r>
      <w:r w:rsidR="006935AE" w:rsidRPr="004032F4">
        <w:rPr>
          <w:rFonts w:ascii="Times New Roman" w:hAnsi="Times New Roman" w:cs="Times New Roman"/>
          <w:sz w:val="28"/>
          <w:szCs w:val="28"/>
        </w:rPr>
        <w:t xml:space="preserve"> </w:t>
      </w:r>
      <w:r w:rsidRPr="004032F4">
        <w:rPr>
          <w:rFonts w:ascii="Times New Roman" w:hAnsi="Times New Roman" w:cs="Times New Roman"/>
          <w:sz w:val="28"/>
          <w:szCs w:val="28"/>
        </w:rPr>
        <w:t>поступивших доходов от акцизов на нефтепродукты</w:t>
      </w:r>
      <w:r w:rsidR="00905D1E" w:rsidRPr="004032F4">
        <w:rPr>
          <w:rFonts w:ascii="Times New Roman" w:hAnsi="Times New Roman" w:cs="Times New Roman"/>
          <w:sz w:val="28"/>
          <w:szCs w:val="28"/>
        </w:rPr>
        <w:t xml:space="preserve"> (как и в 2024 году)</w:t>
      </w:r>
      <w:r w:rsidRPr="004032F4">
        <w:rPr>
          <w:rFonts w:ascii="Times New Roman" w:hAnsi="Times New Roman" w:cs="Times New Roman"/>
          <w:sz w:val="28"/>
          <w:szCs w:val="28"/>
        </w:rPr>
        <w:t>; в 2027 году – 2</w:t>
      </w:r>
      <w:r w:rsidR="005C6E9F" w:rsidRPr="004032F4">
        <w:rPr>
          <w:rFonts w:ascii="Times New Roman" w:hAnsi="Times New Roman" w:cs="Times New Roman"/>
          <w:sz w:val="28"/>
          <w:szCs w:val="28"/>
        </w:rPr>
        <w:t>3</w:t>
      </w:r>
      <w:r w:rsidRPr="004032F4">
        <w:rPr>
          <w:rFonts w:ascii="Times New Roman" w:hAnsi="Times New Roman" w:cs="Times New Roman"/>
          <w:sz w:val="28"/>
          <w:szCs w:val="28"/>
        </w:rPr>
        <w:t>%</w:t>
      </w:r>
      <w:r w:rsidR="00C52AAF" w:rsidRPr="004032F4">
        <w:rPr>
          <w:rStyle w:val="a5"/>
          <w:rFonts w:ascii="Times New Roman" w:hAnsi="Times New Roman" w:cs="Times New Roman"/>
          <w:sz w:val="28"/>
          <w:szCs w:val="28"/>
        </w:rPr>
        <w:footnoteReference w:id="28"/>
      </w:r>
      <w:r w:rsidRPr="004032F4">
        <w:rPr>
          <w:rFonts w:ascii="Times New Roman" w:hAnsi="Times New Roman" w:cs="Times New Roman"/>
          <w:sz w:val="28"/>
          <w:szCs w:val="28"/>
        </w:rPr>
        <w:t>.</w:t>
      </w:r>
    </w:p>
    <w:p w14:paraId="235417E0" w14:textId="5D061673" w:rsidR="00604EA3" w:rsidRPr="004032F4" w:rsidRDefault="00604EA3" w:rsidP="006A262A">
      <w:pPr>
        <w:autoSpaceDE w:val="0"/>
        <w:autoSpaceDN w:val="0"/>
        <w:adjustRightInd w:val="0"/>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Таким образом, увеличение нормативов отчислений от налогов, зачисляемых в бюджет области, позволит бюджетам муниципальных районов, муниципальных округов, городских округов в новом бюджетном цикле получить</w:t>
      </w:r>
      <w:r w:rsidR="00BA274A" w:rsidRPr="004032F4">
        <w:rPr>
          <w:rFonts w:ascii="Times New Roman" w:hAnsi="Times New Roman" w:cs="Times New Roman"/>
          <w:sz w:val="28"/>
          <w:szCs w:val="28"/>
        </w:rPr>
        <w:t xml:space="preserve"> дополнительно</w:t>
      </w:r>
      <w:r w:rsidRPr="004032F4">
        <w:rPr>
          <w:rFonts w:ascii="Times New Roman" w:hAnsi="Times New Roman" w:cs="Times New Roman"/>
          <w:sz w:val="28"/>
          <w:szCs w:val="28"/>
        </w:rPr>
        <w:t xml:space="preserve"> порядка 815 млн. рублей в 2025 году, 950 млн. рублей в 2026 году, 730 млн. рублей в 2027 году </w:t>
      </w:r>
      <w:r w:rsidRPr="004032F4">
        <w:rPr>
          <w:rFonts w:ascii="Times New Roman" w:hAnsi="Times New Roman" w:cs="Times New Roman"/>
          <w:sz w:val="24"/>
          <w:szCs w:val="24"/>
        </w:rPr>
        <w:t>(с учетом уменьшения норматива по акцизам на нефтепродукты).</w:t>
      </w:r>
    </w:p>
    <w:p w14:paraId="690B1CCA" w14:textId="0AC78FD6" w:rsidR="0059446B" w:rsidRPr="004032F4" w:rsidRDefault="0059446B" w:rsidP="007E0556">
      <w:pPr>
        <w:spacing w:before="120" w:after="6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lastRenderedPageBreak/>
        <w:t xml:space="preserve">Объемы бюджетных ассигнований на предоставление межбюджетных </w:t>
      </w:r>
      <w:r w:rsidR="008D35CD" w:rsidRPr="004032F4">
        <w:rPr>
          <w:rFonts w:ascii="Times New Roman" w:eastAsia="Calibri" w:hAnsi="Times New Roman" w:cs="Times New Roman"/>
          <w:sz w:val="28"/>
          <w:szCs w:val="28"/>
        </w:rPr>
        <w:t>трансфертов</w:t>
      </w:r>
      <w:r w:rsidRPr="004032F4">
        <w:rPr>
          <w:rFonts w:ascii="Times New Roman" w:eastAsia="Calibri" w:hAnsi="Times New Roman" w:cs="Times New Roman"/>
          <w:sz w:val="28"/>
          <w:szCs w:val="28"/>
        </w:rPr>
        <w:t xml:space="preserve"> в бюджеты муниципальных </w:t>
      </w:r>
      <w:r w:rsidR="00047686" w:rsidRPr="004032F4">
        <w:rPr>
          <w:rFonts w:ascii="Times New Roman" w:eastAsia="Calibri" w:hAnsi="Times New Roman" w:cs="Times New Roman"/>
          <w:sz w:val="28"/>
          <w:szCs w:val="28"/>
        </w:rPr>
        <w:t>образований</w:t>
      </w:r>
      <w:r w:rsidRPr="004032F4">
        <w:rPr>
          <w:rFonts w:ascii="Times New Roman" w:eastAsia="Calibri" w:hAnsi="Times New Roman" w:cs="Times New Roman"/>
          <w:sz w:val="28"/>
          <w:szCs w:val="28"/>
        </w:rPr>
        <w:t xml:space="preserve"> в 202</w:t>
      </w:r>
      <w:r w:rsidR="000B0115" w:rsidRPr="004032F4">
        <w:rPr>
          <w:rFonts w:ascii="Times New Roman" w:eastAsia="Calibri" w:hAnsi="Times New Roman" w:cs="Times New Roman"/>
          <w:sz w:val="28"/>
          <w:szCs w:val="28"/>
        </w:rPr>
        <w:t>4</w:t>
      </w:r>
      <w:r w:rsidRPr="004032F4">
        <w:rPr>
          <w:rFonts w:ascii="Times New Roman" w:eastAsia="Calibri" w:hAnsi="Times New Roman" w:cs="Times New Roman"/>
          <w:sz w:val="28"/>
          <w:szCs w:val="28"/>
        </w:rPr>
        <w:t>–</w:t>
      </w:r>
      <w:r w:rsidR="00933509" w:rsidRPr="004032F4">
        <w:rPr>
          <w:rFonts w:ascii="Times New Roman" w:eastAsia="Calibri" w:hAnsi="Times New Roman" w:cs="Times New Roman"/>
          <w:sz w:val="28"/>
          <w:szCs w:val="28"/>
        </w:rPr>
        <w:t>2027</w:t>
      </w:r>
      <w:r w:rsidRPr="004032F4">
        <w:rPr>
          <w:rFonts w:ascii="Times New Roman" w:eastAsia="Calibri" w:hAnsi="Times New Roman" w:cs="Times New Roman"/>
          <w:sz w:val="28"/>
          <w:szCs w:val="28"/>
        </w:rPr>
        <w:t xml:space="preserve"> годах представлены в таблице.</w:t>
      </w:r>
    </w:p>
    <w:tbl>
      <w:tblPr>
        <w:tblW w:w="9781" w:type="dxa"/>
        <w:jc w:val="right"/>
        <w:tblLayout w:type="fixed"/>
        <w:tblLook w:val="04A0" w:firstRow="1" w:lastRow="0" w:firstColumn="1" w:lastColumn="0" w:noHBand="0" w:noVBand="1"/>
      </w:tblPr>
      <w:tblGrid>
        <w:gridCol w:w="1413"/>
        <w:gridCol w:w="1706"/>
        <w:gridCol w:w="1417"/>
        <w:gridCol w:w="1418"/>
        <w:gridCol w:w="1417"/>
        <w:gridCol w:w="1418"/>
        <w:gridCol w:w="992"/>
      </w:tblGrid>
      <w:tr w:rsidR="00373B19" w:rsidRPr="004032F4" w14:paraId="3CB4D2FA" w14:textId="77777777" w:rsidTr="007E0556">
        <w:trPr>
          <w:trHeight w:val="300"/>
          <w:tblHeader/>
          <w:jc w:val="right"/>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F3B018" w14:textId="77777777" w:rsidR="00373B19" w:rsidRPr="004032F4" w:rsidRDefault="00373B19" w:rsidP="00B24A6B">
            <w:pPr>
              <w:spacing w:before="120" w:after="0" w:line="240" w:lineRule="auto"/>
              <w:ind w:left="-57" w:right="-57"/>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Межбюджетные трансферты</w:t>
            </w:r>
          </w:p>
        </w:tc>
        <w:tc>
          <w:tcPr>
            <w:tcW w:w="1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A07477" w14:textId="0EA3F12F" w:rsidR="000009AA" w:rsidRPr="004032F4" w:rsidRDefault="00373B19" w:rsidP="00B24A6B">
            <w:pPr>
              <w:spacing w:after="0" w:line="240" w:lineRule="auto"/>
              <w:ind w:left="-57" w:right="-57"/>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Закон о бюджете области на 202</w:t>
            </w:r>
            <w:r w:rsidR="000B0115" w:rsidRPr="004032F4">
              <w:rPr>
                <w:rFonts w:ascii="Times New Roman" w:eastAsia="Times New Roman" w:hAnsi="Times New Roman" w:cs="Times New Roman"/>
                <w:color w:val="000000"/>
                <w:sz w:val="18"/>
                <w:szCs w:val="18"/>
                <w:lang w:eastAsia="ru-RU"/>
              </w:rPr>
              <w:t>4</w:t>
            </w:r>
            <w:r w:rsidRPr="004032F4">
              <w:rPr>
                <w:rFonts w:ascii="Times New Roman" w:eastAsia="Times New Roman" w:hAnsi="Times New Roman" w:cs="Times New Roman"/>
                <w:color w:val="000000"/>
                <w:sz w:val="18"/>
                <w:szCs w:val="18"/>
                <w:lang w:eastAsia="ru-RU"/>
              </w:rPr>
              <w:t xml:space="preserve"> год</w:t>
            </w:r>
            <w:r w:rsidR="000009AA" w:rsidRPr="004032F4">
              <w:rPr>
                <w:rFonts w:ascii="Times New Roman" w:eastAsia="Times New Roman" w:hAnsi="Times New Roman" w:cs="Times New Roman"/>
                <w:color w:val="000000"/>
                <w:sz w:val="18"/>
                <w:szCs w:val="18"/>
                <w:lang w:eastAsia="ru-RU"/>
              </w:rPr>
              <w:t xml:space="preserve"> </w:t>
            </w:r>
          </w:p>
          <w:p w14:paraId="7DB77B35" w14:textId="75A423E5" w:rsidR="00373B19" w:rsidRPr="004032F4" w:rsidRDefault="000009AA" w:rsidP="000B0115">
            <w:pPr>
              <w:spacing w:after="0" w:line="240" w:lineRule="auto"/>
              <w:ind w:left="-57" w:right="-57"/>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 xml:space="preserve">(в ред. от </w:t>
            </w:r>
            <w:r w:rsidR="000B0115" w:rsidRPr="004032F4">
              <w:rPr>
                <w:rFonts w:ascii="Times New Roman" w:eastAsia="Times New Roman" w:hAnsi="Times New Roman" w:cs="Times New Roman"/>
                <w:color w:val="000000"/>
                <w:sz w:val="18"/>
                <w:szCs w:val="18"/>
                <w:lang w:eastAsia="ru-RU"/>
              </w:rPr>
              <w:t>07.10.2024</w:t>
            </w:r>
            <w:r w:rsidRPr="004032F4">
              <w:rPr>
                <w:rFonts w:ascii="Times New Roman" w:eastAsia="Times New Roman" w:hAnsi="Times New Roman" w:cs="Times New Roman"/>
                <w:color w:val="000000"/>
                <w:sz w:val="18"/>
                <w:szCs w:val="18"/>
                <w:lang w:eastAsia="ru-RU"/>
              </w:rPr>
              <w:t>)</w:t>
            </w:r>
            <w:r w:rsidR="00373B19" w:rsidRPr="004032F4">
              <w:rPr>
                <w:rFonts w:ascii="Times New Roman" w:eastAsia="Times New Roman" w:hAnsi="Times New Roman" w:cs="Times New Roman"/>
                <w:color w:val="000000"/>
                <w:sz w:val="18"/>
                <w:szCs w:val="18"/>
                <w:lang w:eastAsia="ru-RU"/>
              </w:rPr>
              <w:t>, руб</w:t>
            </w:r>
            <w:r w:rsidRPr="004032F4">
              <w:rPr>
                <w:rFonts w:ascii="Times New Roman" w:eastAsia="Times New Roman" w:hAnsi="Times New Roman" w:cs="Times New Roman"/>
                <w:color w:val="000000"/>
                <w:sz w:val="18"/>
                <w:szCs w:val="18"/>
                <w:lang w:eastAsia="ru-RU"/>
              </w:rPr>
              <w:t>.</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02FE8F14" w14:textId="77777777" w:rsidR="00373B19" w:rsidRPr="004032F4" w:rsidRDefault="00373B19" w:rsidP="00B24A6B">
            <w:pPr>
              <w:spacing w:after="0" w:line="240" w:lineRule="auto"/>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Законопроект</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7AC39840" w14:textId="11F5E3E7" w:rsidR="00373B19" w:rsidRPr="004032F4" w:rsidRDefault="00373B19" w:rsidP="00B622B3">
            <w:pPr>
              <w:spacing w:after="0" w:line="240" w:lineRule="auto"/>
              <w:ind w:left="-113" w:right="-113"/>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 xml:space="preserve">Изменение </w:t>
            </w:r>
            <w:r w:rsidR="00933509" w:rsidRPr="004032F4">
              <w:rPr>
                <w:rFonts w:ascii="Times New Roman" w:eastAsia="Times New Roman" w:hAnsi="Times New Roman" w:cs="Times New Roman"/>
                <w:color w:val="000000"/>
                <w:sz w:val="18"/>
                <w:szCs w:val="18"/>
                <w:lang w:eastAsia="ru-RU"/>
              </w:rPr>
              <w:t>2025</w:t>
            </w:r>
            <w:r w:rsidRPr="004032F4">
              <w:rPr>
                <w:rFonts w:ascii="Times New Roman" w:eastAsia="Times New Roman" w:hAnsi="Times New Roman" w:cs="Times New Roman"/>
                <w:color w:val="000000"/>
                <w:sz w:val="18"/>
                <w:szCs w:val="18"/>
                <w:lang w:eastAsia="ru-RU"/>
              </w:rPr>
              <w:t xml:space="preserve"> года к 202</w:t>
            </w:r>
            <w:r w:rsidR="00B622B3" w:rsidRPr="004032F4">
              <w:rPr>
                <w:rFonts w:ascii="Times New Roman" w:eastAsia="Times New Roman" w:hAnsi="Times New Roman" w:cs="Times New Roman"/>
                <w:color w:val="000000"/>
                <w:sz w:val="18"/>
                <w:szCs w:val="18"/>
                <w:lang w:eastAsia="ru-RU"/>
              </w:rPr>
              <w:t>4</w:t>
            </w:r>
            <w:r w:rsidR="00657B47" w:rsidRPr="004032F4">
              <w:rPr>
                <w:rFonts w:ascii="Times New Roman" w:eastAsia="Times New Roman" w:hAnsi="Times New Roman" w:cs="Times New Roman"/>
                <w:color w:val="000000"/>
                <w:sz w:val="18"/>
                <w:szCs w:val="18"/>
                <w:lang w:eastAsia="ru-RU"/>
              </w:rPr>
              <w:t xml:space="preserve"> г.</w:t>
            </w:r>
          </w:p>
        </w:tc>
      </w:tr>
      <w:tr w:rsidR="00373B19" w:rsidRPr="004032F4" w14:paraId="54627659" w14:textId="77777777" w:rsidTr="007E0556">
        <w:trPr>
          <w:trHeight w:val="525"/>
          <w:tblHeader/>
          <w:jc w:val="right"/>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00E97D1" w14:textId="77777777" w:rsidR="00373B19" w:rsidRPr="004032F4" w:rsidRDefault="00373B19" w:rsidP="00373B19">
            <w:pPr>
              <w:spacing w:after="0" w:line="240" w:lineRule="auto"/>
              <w:rPr>
                <w:rFonts w:ascii="Times New Roman" w:eastAsia="Times New Roman" w:hAnsi="Times New Roman" w:cs="Times New Roman"/>
                <w:color w:val="000000"/>
                <w:sz w:val="18"/>
                <w:szCs w:val="18"/>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4AE2DBFB" w14:textId="77777777" w:rsidR="00373B19" w:rsidRPr="004032F4" w:rsidRDefault="00373B19" w:rsidP="00373B19">
            <w:pPr>
              <w:spacing w:after="0" w:line="240" w:lineRule="auto"/>
              <w:rPr>
                <w:rFonts w:ascii="Times New Roman" w:eastAsia="Times New Roman" w:hAnsi="Times New Roman" w:cs="Times New Roman"/>
                <w:color w:val="000000"/>
                <w:sz w:val="18"/>
                <w:szCs w:val="18"/>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C1E08B8" w14:textId="4ADE4D24" w:rsidR="00373B19" w:rsidRPr="004032F4" w:rsidRDefault="00373B19" w:rsidP="003116B6">
            <w:pPr>
              <w:spacing w:after="0" w:line="240" w:lineRule="auto"/>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 xml:space="preserve">на </w:t>
            </w:r>
            <w:r w:rsidR="00933509" w:rsidRPr="004032F4">
              <w:rPr>
                <w:rFonts w:ascii="Times New Roman" w:eastAsia="Times New Roman" w:hAnsi="Times New Roman" w:cs="Times New Roman"/>
                <w:color w:val="000000"/>
                <w:sz w:val="18"/>
                <w:szCs w:val="18"/>
                <w:lang w:eastAsia="ru-RU"/>
              </w:rPr>
              <w:t>2025</w:t>
            </w:r>
            <w:r w:rsidRPr="004032F4">
              <w:rPr>
                <w:rFonts w:ascii="Times New Roman" w:eastAsia="Times New Roman" w:hAnsi="Times New Roman" w:cs="Times New Roman"/>
                <w:color w:val="000000"/>
                <w:sz w:val="18"/>
                <w:szCs w:val="18"/>
                <w:lang w:eastAsia="ru-RU"/>
              </w:rPr>
              <w:t xml:space="preserve"> год, рублей </w:t>
            </w:r>
          </w:p>
        </w:tc>
        <w:tc>
          <w:tcPr>
            <w:tcW w:w="1418" w:type="dxa"/>
            <w:tcBorders>
              <w:top w:val="nil"/>
              <w:left w:val="nil"/>
              <w:bottom w:val="single" w:sz="4" w:space="0" w:color="auto"/>
              <w:right w:val="single" w:sz="4" w:space="0" w:color="auto"/>
            </w:tcBorders>
            <w:shd w:val="clear" w:color="auto" w:fill="auto"/>
            <w:vAlign w:val="center"/>
            <w:hideMark/>
          </w:tcPr>
          <w:p w14:paraId="27416ED6" w14:textId="2BAA9657" w:rsidR="00373B19" w:rsidRPr="004032F4" w:rsidRDefault="00373B19" w:rsidP="003116B6">
            <w:pPr>
              <w:spacing w:after="0" w:line="240" w:lineRule="auto"/>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 xml:space="preserve">на </w:t>
            </w:r>
            <w:r w:rsidR="00933509" w:rsidRPr="004032F4">
              <w:rPr>
                <w:rFonts w:ascii="Times New Roman" w:eastAsia="Times New Roman" w:hAnsi="Times New Roman" w:cs="Times New Roman"/>
                <w:color w:val="000000"/>
                <w:sz w:val="18"/>
                <w:szCs w:val="18"/>
                <w:lang w:eastAsia="ru-RU"/>
              </w:rPr>
              <w:t>2026</w:t>
            </w:r>
            <w:r w:rsidRPr="004032F4">
              <w:rPr>
                <w:rFonts w:ascii="Times New Roman" w:eastAsia="Times New Roman" w:hAnsi="Times New Roman" w:cs="Times New Roman"/>
                <w:color w:val="000000"/>
                <w:sz w:val="18"/>
                <w:szCs w:val="18"/>
                <w:lang w:eastAsia="ru-RU"/>
              </w:rPr>
              <w:t xml:space="preserve"> год, рублей</w:t>
            </w:r>
          </w:p>
        </w:tc>
        <w:tc>
          <w:tcPr>
            <w:tcW w:w="1417" w:type="dxa"/>
            <w:tcBorders>
              <w:top w:val="nil"/>
              <w:left w:val="nil"/>
              <w:bottom w:val="single" w:sz="4" w:space="0" w:color="auto"/>
              <w:right w:val="single" w:sz="4" w:space="0" w:color="auto"/>
            </w:tcBorders>
            <w:shd w:val="clear" w:color="auto" w:fill="auto"/>
            <w:vAlign w:val="center"/>
            <w:hideMark/>
          </w:tcPr>
          <w:p w14:paraId="1445C21D" w14:textId="3FC8DF56" w:rsidR="00373B19" w:rsidRPr="004032F4" w:rsidRDefault="00373B19" w:rsidP="003116B6">
            <w:pPr>
              <w:spacing w:after="0" w:line="240" w:lineRule="auto"/>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 xml:space="preserve">на </w:t>
            </w:r>
            <w:r w:rsidR="00933509" w:rsidRPr="004032F4">
              <w:rPr>
                <w:rFonts w:ascii="Times New Roman" w:eastAsia="Times New Roman" w:hAnsi="Times New Roman" w:cs="Times New Roman"/>
                <w:color w:val="000000"/>
                <w:sz w:val="18"/>
                <w:szCs w:val="18"/>
                <w:lang w:eastAsia="ru-RU"/>
              </w:rPr>
              <w:t>2027</w:t>
            </w:r>
            <w:r w:rsidRPr="004032F4">
              <w:rPr>
                <w:rFonts w:ascii="Times New Roman" w:eastAsia="Times New Roman" w:hAnsi="Times New Roman" w:cs="Times New Roman"/>
                <w:color w:val="000000"/>
                <w:sz w:val="18"/>
                <w:szCs w:val="18"/>
                <w:lang w:eastAsia="ru-RU"/>
              </w:rPr>
              <w:t xml:space="preserve"> год, рублей</w:t>
            </w:r>
          </w:p>
        </w:tc>
        <w:tc>
          <w:tcPr>
            <w:tcW w:w="1418" w:type="dxa"/>
            <w:tcBorders>
              <w:top w:val="nil"/>
              <w:left w:val="nil"/>
              <w:bottom w:val="single" w:sz="4" w:space="0" w:color="auto"/>
              <w:right w:val="single" w:sz="4" w:space="0" w:color="auto"/>
            </w:tcBorders>
            <w:shd w:val="clear" w:color="auto" w:fill="auto"/>
            <w:vAlign w:val="center"/>
            <w:hideMark/>
          </w:tcPr>
          <w:p w14:paraId="5334991E" w14:textId="77777777" w:rsidR="00373B19" w:rsidRPr="004032F4" w:rsidRDefault="00373B19" w:rsidP="00373B19">
            <w:pPr>
              <w:spacing w:after="0" w:line="240" w:lineRule="auto"/>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рублей</w:t>
            </w:r>
          </w:p>
        </w:tc>
        <w:tc>
          <w:tcPr>
            <w:tcW w:w="992" w:type="dxa"/>
            <w:tcBorders>
              <w:top w:val="nil"/>
              <w:left w:val="nil"/>
              <w:bottom w:val="single" w:sz="4" w:space="0" w:color="auto"/>
              <w:right w:val="single" w:sz="4" w:space="0" w:color="auto"/>
            </w:tcBorders>
            <w:shd w:val="clear" w:color="auto" w:fill="auto"/>
            <w:vAlign w:val="center"/>
            <w:hideMark/>
          </w:tcPr>
          <w:p w14:paraId="23E2F1C9" w14:textId="77777777" w:rsidR="00373B19" w:rsidRPr="004032F4" w:rsidRDefault="00373B19" w:rsidP="00373B19">
            <w:pPr>
              <w:spacing w:after="0" w:line="240" w:lineRule="auto"/>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w:t>
            </w:r>
          </w:p>
        </w:tc>
      </w:tr>
      <w:tr w:rsidR="00373B19" w:rsidRPr="004032F4" w14:paraId="1B50C3A3" w14:textId="77777777" w:rsidTr="007E0556">
        <w:trPr>
          <w:trHeight w:val="136"/>
          <w:tblHeader/>
          <w:jc w:val="right"/>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063155D" w14:textId="77777777" w:rsidR="00373B19" w:rsidRPr="004032F4" w:rsidRDefault="00373B19" w:rsidP="00373B19">
            <w:pPr>
              <w:spacing w:after="0" w:line="240" w:lineRule="auto"/>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1</w:t>
            </w:r>
          </w:p>
        </w:tc>
        <w:tc>
          <w:tcPr>
            <w:tcW w:w="1706" w:type="dxa"/>
            <w:tcBorders>
              <w:top w:val="nil"/>
              <w:left w:val="nil"/>
              <w:bottom w:val="single" w:sz="4" w:space="0" w:color="auto"/>
              <w:right w:val="single" w:sz="4" w:space="0" w:color="auto"/>
            </w:tcBorders>
            <w:shd w:val="clear" w:color="auto" w:fill="auto"/>
            <w:vAlign w:val="center"/>
            <w:hideMark/>
          </w:tcPr>
          <w:p w14:paraId="5437733D" w14:textId="77777777" w:rsidR="00373B19" w:rsidRPr="004032F4" w:rsidRDefault="00373B19" w:rsidP="00373B19">
            <w:pPr>
              <w:spacing w:after="0" w:line="240" w:lineRule="auto"/>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6E4CDEEC" w14:textId="77777777" w:rsidR="00373B19" w:rsidRPr="004032F4" w:rsidRDefault="00373B19" w:rsidP="00373B19">
            <w:pPr>
              <w:spacing w:after="0" w:line="240" w:lineRule="auto"/>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14:paraId="1610F5EE" w14:textId="77777777" w:rsidR="00373B19" w:rsidRPr="004032F4" w:rsidRDefault="00373B19" w:rsidP="00373B19">
            <w:pPr>
              <w:spacing w:after="0" w:line="240" w:lineRule="auto"/>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14:paraId="23B7580C" w14:textId="77777777" w:rsidR="00373B19" w:rsidRPr="004032F4" w:rsidRDefault="00373B19" w:rsidP="00373B19">
            <w:pPr>
              <w:spacing w:after="0" w:line="240" w:lineRule="auto"/>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14:paraId="4BB97AC2" w14:textId="77777777" w:rsidR="00373B19" w:rsidRPr="004032F4" w:rsidRDefault="00373B19" w:rsidP="00373B19">
            <w:pPr>
              <w:spacing w:after="0" w:line="240" w:lineRule="auto"/>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6=гр.3-гр.2</w:t>
            </w:r>
          </w:p>
        </w:tc>
        <w:tc>
          <w:tcPr>
            <w:tcW w:w="992" w:type="dxa"/>
            <w:tcBorders>
              <w:top w:val="nil"/>
              <w:left w:val="nil"/>
              <w:bottom w:val="single" w:sz="4" w:space="0" w:color="auto"/>
              <w:right w:val="single" w:sz="4" w:space="0" w:color="auto"/>
            </w:tcBorders>
            <w:shd w:val="clear" w:color="auto" w:fill="auto"/>
            <w:noWrap/>
            <w:vAlign w:val="center"/>
            <w:hideMark/>
          </w:tcPr>
          <w:p w14:paraId="25A7395F" w14:textId="77777777" w:rsidR="00373B19" w:rsidRPr="004032F4" w:rsidRDefault="00373B19" w:rsidP="005F0305">
            <w:pPr>
              <w:spacing w:after="0" w:line="240" w:lineRule="auto"/>
              <w:ind w:left="-113" w:right="-113"/>
              <w:jc w:val="center"/>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7=гр.6/гр.2</w:t>
            </w:r>
          </w:p>
        </w:tc>
      </w:tr>
      <w:tr w:rsidR="00B622B3" w:rsidRPr="004032F4" w14:paraId="125DE298" w14:textId="77777777" w:rsidTr="007E0556">
        <w:trPr>
          <w:trHeight w:val="300"/>
          <w:jc w:val="right"/>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14:paraId="046DFAB1" w14:textId="77777777" w:rsidR="00B622B3" w:rsidRPr="004032F4" w:rsidRDefault="00B622B3" w:rsidP="00B622B3">
            <w:pPr>
              <w:spacing w:after="0" w:line="240" w:lineRule="auto"/>
              <w:ind w:left="-113" w:right="-108"/>
              <w:jc w:val="both"/>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Дотации</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70DCE" w14:textId="48491D1D"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3 270 286 892,84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93F78" w14:textId="7569F7C3"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3 333 248 806,67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4E22B" w14:textId="44C72D00"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3 464 696 242,43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563F6" w14:textId="0B4CD33D"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3 644 911 203,37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8B420" w14:textId="6E8C1BE0"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62 961 913,83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30EDB" w14:textId="6F0D0DE1"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1,9%</w:t>
            </w:r>
          </w:p>
        </w:tc>
      </w:tr>
      <w:tr w:rsidR="00B622B3" w:rsidRPr="004032F4" w14:paraId="55671E03" w14:textId="77777777" w:rsidTr="007E0556">
        <w:trPr>
          <w:trHeight w:val="300"/>
          <w:jc w:val="right"/>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14:paraId="36CA9E70" w14:textId="77777777" w:rsidR="00B622B3" w:rsidRPr="004032F4" w:rsidRDefault="00B622B3" w:rsidP="00B622B3">
            <w:pPr>
              <w:spacing w:after="0" w:line="240" w:lineRule="auto"/>
              <w:ind w:left="-113" w:right="-108"/>
              <w:jc w:val="both"/>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Субсидии</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2CF187" w14:textId="5D4C3B66"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11 555 972 219,88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53A7C6B" w14:textId="71F0612C"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6 285 744 476,63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FC3ED70" w14:textId="74EBA7D2"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3 842 037 351,69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A78AFFC" w14:textId="3422845F"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3 167 259 226,63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044FA1" w14:textId="43E8D1EE"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-5 270 227 743,25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6FC1B5" w14:textId="7250BE20"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w:t>
            </w:r>
            <w:r w:rsidR="00874778" w:rsidRPr="004032F4">
              <w:rPr>
                <w:rFonts w:ascii="Times New Roman" w:eastAsia="Times New Roman" w:hAnsi="Times New Roman" w:cs="Times New Roman"/>
                <w:color w:val="000000"/>
                <w:sz w:val="16"/>
                <w:szCs w:val="16"/>
                <w:lang w:eastAsia="ru-RU"/>
              </w:rPr>
              <w:t>45,6</w:t>
            </w:r>
            <w:r w:rsidRPr="004032F4">
              <w:rPr>
                <w:rFonts w:ascii="Times New Roman" w:eastAsia="Times New Roman" w:hAnsi="Times New Roman" w:cs="Times New Roman"/>
                <w:color w:val="000000"/>
                <w:sz w:val="16"/>
                <w:szCs w:val="16"/>
                <w:lang w:eastAsia="ru-RU"/>
              </w:rPr>
              <w:t>%</w:t>
            </w:r>
          </w:p>
        </w:tc>
      </w:tr>
      <w:tr w:rsidR="00B622B3" w:rsidRPr="004032F4" w14:paraId="5455EF5F" w14:textId="77777777" w:rsidTr="007E0556">
        <w:trPr>
          <w:trHeight w:val="300"/>
          <w:jc w:val="right"/>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14:paraId="6FF72A16" w14:textId="77777777" w:rsidR="00B622B3" w:rsidRPr="004032F4" w:rsidRDefault="00B622B3" w:rsidP="00B622B3">
            <w:pPr>
              <w:spacing w:after="0" w:line="240" w:lineRule="auto"/>
              <w:ind w:left="-113" w:right="-108"/>
              <w:jc w:val="both"/>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Субвенции</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8167564" w14:textId="3021A140"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25 237 116 173,88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0A270A5" w14:textId="2449B923"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27 660 793 218,36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C83266" w14:textId="7254A285"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30 120 139 882,38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5423F56" w14:textId="5D394D98"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32 095 202 543,52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847646" w14:textId="546BF17F"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2 423 677 044,48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BA1F77" w14:textId="2F55404C" w:rsidR="00B622B3" w:rsidRPr="004032F4" w:rsidRDefault="009A32BB"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9</w:t>
            </w:r>
            <w:r w:rsidR="00B622B3" w:rsidRPr="004032F4">
              <w:rPr>
                <w:rFonts w:ascii="Times New Roman" w:eastAsia="Times New Roman" w:hAnsi="Times New Roman" w:cs="Times New Roman"/>
                <w:color w:val="000000"/>
                <w:sz w:val="16"/>
                <w:szCs w:val="16"/>
                <w:lang w:eastAsia="ru-RU"/>
              </w:rPr>
              <w:t>,</w:t>
            </w:r>
            <w:r w:rsidRPr="004032F4">
              <w:rPr>
                <w:rFonts w:ascii="Times New Roman" w:eastAsia="Times New Roman" w:hAnsi="Times New Roman" w:cs="Times New Roman"/>
                <w:color w:val="000000"/>
                <w:sz w:val="16"/>
                <w:szCs w:val="16"/>
                <w:lang w:eastAsia="ru-RU"/>
              </w:rPr>
              <w:t>6</w:t>
            </w:r>
            <w:r w:rsidR="00B622B3" w:rsidRPr="004032F4">
              <w:rPr>
                <w:rFonts w:ascii="Times New Roman" w:eastAsia="Times New Roman" w:hAnsi="Times New Roman" w:cs="Times New Roman"/>
                <w:color w:val="000000"/>
                <w:sz w:val="16"/>
                <w:szCs w:val="16"/>
                <w:lang w:eastAsia="ru-RU"/>
              </w:rPr>
              <w:t>%</w:t>
            </w:r>
          </w:p>
        </w:tc>
      </w:tr>
      <w:tr w:rsidR="00B622B3" w:rsidRPr="004032F4" w14:paraId="348FFB73" w14:textId="77777777" w:rsidTr="007E0556">
        <w:trPr>
          <w:trHeight w:val="300"/>
          <w:jc w:val="right"/>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14:paraId="7FCCF2DD" w14:textId="77777777" w:rsidR="00B622B3" w:rsidRPr="004032F4" w:rsidRDefault="00B622B3" w:rsidP="00B622B3">
            <w:pPr>
              <w:spacing w:after="0" w:line="240" w:lineRule="auto"/>
              <w:ind w:left="-113" w:right="-108"/>
              <w:rPr>
                <w:rFonts w:ascii="Times New Roman" w:eastAsia="Times New Roman" w:hAnsi="Times New Roman" w:cs="Times New Roman"/>
                <w:color w:val="000000"/>
                <w:sz w:val="18"/>
                <w:szCs w:val="18"/>
                <w:lang w:eastAsia="ru-RU"/>
              </w:rPr>
            </w:pPr>
            <w:r w:rsidRPr="004032F4">
              <w:rPr>
                <w:rFonts w:ascii="Times New Roman" w:eastAsia="Times New Roman" w:hAnsi="Times New Roman" w:cs="Times New Roman"/>
                <w:color w:val="000000"/>
                <w:sz w:val="18"/>
                <w:szCs w:val="18"/>
                <w:lang w:eastAsia="ru-RU"/>
              </w:rPr>
              <w:t>Иные межбюджетные трансферты</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8E02F1" w14:textId="036463FD"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7 562 136 267,09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713BEBB" w14:textId="10468E95"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2 646 830 461,17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B88C40F" w14:textId="73033B7A"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555 298 361,34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8D628CC" w14:textId="3543F189"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508 509 020,70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E80088" w14:textId="7878AE65"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-4 915 305 805,92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696D39" w14:textId="2D279569" w:rsidR="00B622B3" w:rsidRPr="004032F4" w:rsidRDefault="00B622B3" w:rsidP="00B622B3">
            <w:pPr>
              <w:spacing w:after="0" w:line="240" w:lineRule="auto"/>
              <w:jc w:val="right"/>
              <w:rPr>
                <w:rFonts w:ascii="Times New Roman" w:eastAsia="Times New Roman" w:hAnsi="Times New Roman" w:cs="Times New Roman"/>
                <w:color w:val="000000"/>
                <w:sz w:val="16"/>
                <w:szCs w:val="16"/>
                <w:lang w:eastAsia="ru-RU"/>
              </w:rPr>
            </w:pPr>
            <w:r w:rsidRPr="004032F4">
              <w:rPr>
                <w:rFonts w:ascii="Times New Roman" w:eastAsia="Times New Roman" w:hAnsi="Times New Roman" w:cs="Times New Roman"/>
                <w:color w:val="000000"/>
                <w:sz w:val="16"/>
                <w:szCs w:val="16"/>
                <w:lang w:eastAsia="ru-RU"/>
              </w:rPr>
              <w:t>-</w:t>
            </w:r>
            <w:r w:rsidR="009A32BB" w:rsidRPr="004032F4">
              <w:rPr>
                <w:rFonts w:ascii="Times New Roman" w:eastAsia="Times New Roman" w:hAnsi="Times New Roman" w:cs="Times New Roman"/>
                <w:color w:val="000000"/>
                <w:sz w:val="16"/>
                <w:szCs w:val="16"/>
                <w:lang w:eastAsia="ru-RU"/>
              </w:rPr>
              <w:t>65,0</w:t>
            </w:r>
            <w:r w:rsidRPr="004032F4">
              <w:rPr>
                <w:rFonts w:ascii="Times New Roman" w:eastAsia="Times New Roman" w:hAnsi="Times New Roman" w:cs="Times New Roman"/>
                <w:color w:val="000000"/>
                <w:sz w:val="16"/>
                <w:szCs w:val="16"/>
                <w:lang w:eastAsia="ru-RU"/>
              </w:rPr>
              <w:t>%</w:t>
            </w:r>
          </w:p>
        </w:tc>
      </w:tr>
      <w:tr w:rsidR="00B622B3" w:rsidRPr="004032F4" w14:paraId="6A0A3721" w14:textId="77777777" w:rsidTr="007E0556">
        <w:trPr>
          <w:trHeight w:val="403"/>
          <w:jc w:val="right"/>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12AE3928" w14:textId="77777777" w:rsidR="00B622B3" w:rsidRPr="004032F4" w:rsidRDefault="00B622B3" w:rsidP="00B622B3">
            <w:pPr>
              <w:spacing w:after="0" w:line="240" w:lineRule="auto"/>
              <w:ind w:left="-113"/>
              <w:rPr>
                <w:rFonts w:ascii="Times New Roman" w:eastAsia="Times New Roman" w:hAnsi="Times New Roman" w:cs="Times New Roman"/>
                <w:b/>
                <w:bCs/>
                <w:color w:val="000000"/>
                <w:sz w:val="18"/>
                <w:szCs w:val="18"/>
                <w:lang w:eastAsia="ru-RU"/>
              </w:rPr>
            </w:pPr>
            <w:r w:rsidRPr="004032F4">
              <w:rPr>
                <w:rFonts w:ascii="Times New Roman" w:eastAsia="Times New Roman" w:hAnsi="Times New Roman" w:cs="Times New Roman"/>
                <w:b/>
                <w:bCs/>
                <w:color w:val="000000"/>
                <w:sz w:val="18"/>
                <w:szCs w:val="18"/>
                <w:lang w:eastAsia="ru-RU"/>
              </w:rPr>
              <w:t>Итого</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0D366DB" w14:textId="2533BA70" w:rsidR="00B622B3" w:rsidRPr="004032F4" w:rsidRDefault="00B622B3" w:rsidP="00B622B3">
            <w:pPr>
              <w:spacing w:after="0" w:line="240" w:lineRule="auto"/>
              <w:jc w:val="right"/>
              <w:rPr>
                <w:rFonts w:ascii="Times New Roman" w:eastAsia="Times New Roman" w:hAnsi="Times New Roman" w:cs="Times New Roman"/>
                <w:b/>
                <w:color w:val="000000"/>
                <w:sz w:val="16"/>
                <w:szCs w:val="16"/>
                <w:lang w:eastAsia="ru-RU"/>
              </w:rPr>
            </w:pPr>
            <w:r w:rsidRPr="004032F4">
              <w:rPr>
                <w:rFonts w:ascii="Times New Roman" w:eastAsia="Times New Roman" w:hAnsi="Times New Roman" w:cs="Times New Roman"/>
                <w:b/>
                <w:color w:val="000000"/>
                <w:sz w:val="16"/>
                <w:szCs w:val="16"/>
                <w:lang w:eastAsia="ru-RU"/>
              </w:rPr>
              <w:t>47 625 511 553,69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91DC9A9" w14:textId="7D1712F7" w:rsidR="00B622B3" w:rsidRPr="004032F4" w:rsidRDefault="00B622B3" w:rsidP="00B622B3">
            <w:pPr>
              <w:spacing w:after="0" w:line="240" w:lineRule="auto"/>
              <w:jc w:val="right"/>
              <w:rPr>
                <w:rFonts w:ascii="Times New Roman" w:eastAsia="Times New Roman" w:hAnsi="Times New Roman" w:cs="Times New Roman"/>
                <w:b/>
                <w:color w:val="000000"/>
                <w:sz w:val="16"/>
                <w:szCs w:val="16"/>
                <w:lang w:eastAsia="ru-RU"/>
              </w:rPr>
            </w:pPr>
            <w:r w:rsidRPr="004032F4">
              <w:rPr>
                <w:rFonts w:ascii="Times New Roman" w:eastAsia="Times New Roman" w:hAnsi="Times New Roman" w:cs="Times New Roman"/>
                <w:b/>
                <w:color w:val="000000"/>
                <w:sz w:val="16"/>
                <w:szCs w:val="16"/>
                <w:lang w:eastAsia="ru-RU"/>
              </w:rPr>
              <w:t>39 926 616 962,83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6CE13A9" w14:textId="4F4381A1" w:rsidR="00B622B3" w:rsidRPr="004032F4" w:rsidRDefault="00B622B3" w:rsidP="00B622B3">
            <w:pPr>
              <w:spacing w:after="0" w:line="240" w:lineRule="auto"/>
              <w:jc w:val="right"/>
              <w:rPr>
                <w:rFonts w:ascii="Times New Roman" w:eastAsia="Times New Roman" w:hAnsi="Times New Roman" w:cs="Times New Roman"/>
                <w:b/>
                <w:color w:val="000000"/>
                <w:sz w:val="16"/>
                <w:szCs w:val="16"/>
                <w:lang w:eastAsia="ru-RU"/>
              </w:rPr>
            </w:pPr>
            <w:r w:rsidRPr="004032F4">
              <w:rPr>
                <w:rFonts w:ascii="Times New Roman" w:eastAsia="Times New Roman" w:hAnsi="Times New Roman" w:cs="Times New Roman"/>
                <w:b/>
                <w:color w:val="000000"/>
                <w:sz w:val="16"/>
                <w:szCs w:val="16"/>
                <w:lang w:eastAsia="ru-RU"/>
              </w:rPr>
              <w:t>37 982 171 837,84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AD52E3C" w14:textId="31635136" w:rsidR="00B622B3" w:rsidRPr="004032F4" w:rsidRDefault="00B622B3" w:rsidP="00B622B3">
            <w:pPr>
              <w:spacing w:after="0" w:line="240" w:lineRule="auto"/>
              <w:jc w:val="right"/>
              <w:rPr>
                <w:rFonts w:ascii="Times New Roman" w:eastAsia="Times New Roman" w:hAnsi="Times New Roman" w:cs="Times New Roman"/>
                <w:b/>
                <w:color w:val="000000"/>
                <w:sz w:val="16"/>
                <w:szCs w:val="16"/>
                <w:lang w:eastAsia="ru-RU"/>
              </w:rPr>
            </w:pPr>
            <w:r w:rsidRPr="004032F4">
              <w:rPr>
                <w:rFonts w:ascii="Times New Roman" w:eastAsia="Times New Roman" w:hAnsi="Times New Roman" w:cs="Times New Roman"/>
                <w:b/>
                <w:color w:val="000000"/>
                <w:sz w:val="16"/>
                <w:szCs w:val="16"/>
                <w:lang w:eastAsia="ru-RU"/>
              </w:rPr>
              <w:t>39 415 881 994,22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5B8698" w14:textId="23D22DB2" w:rsidR="00B622B3" w:rsidRPr="004032F4" w:rsidRDefault="00B622B3" w:rsidP="00B622B3">
            <w:pPr>
              <w:spacing w:after="0" w:line="240" w:lineRule="auto"/>
              <w:jc w:val="right"/>
              <w:rPr>
                <w:rFonts w:ascii="Times New Roman" w:eastAsia="Times New Roman" w:hAnsi="Times New Roman" w:cs="Times New Roman"/>
                <w:b/>
                <w:color w:val="000000"/>
                <w:sz w:val="16"/>
                <w:szCs w:val="16"/>
                <w:lang w:eastAsia="ru-RU"/>
              </w:rPr>
            </w:pPr>
            <w:r w:rsidRPr="004032F4">
              <w:rPr>
                <w:rFonts w:ascii="Times New Roman" w:eastAsia="Times New Roman" w:hAnsi="Times New Roman" w:cs="Times New Roman"/>
                <w:b/>
                <w:color w:val="000000"/>
                <w:sz w:val="16"/>
                <w:szCs w:val="16"/>
                <w:lang w:eastAsia="ru-RU"/>
              </w:rPr>
              <w:t>-7 698 894 590,86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47440C" w14:textId="6DBCDD73" w:rsidR="00B622B3" w:rsidRPr="004032F4" w:rsidRDefault="00B622B3" w:rsidP="00B622B3">
            <w:pPr>
              <w:spacing w:after="0" w:line="240" w:lineRule="auto"/>
              <w:jc w:val="right"/>
              <w:rPr>
                <w:rFonts w:ascii="Times New Roman" w:eastAsia="Times New Roman" w:hAnsi="Times New Roman" w:cs="Times New Roman"/>
                <w:b/>
                <w:color w:val="000000"/>
                <w:sz w:val="16"/>
                <w:szCs w:val="16"/>
                <w:lang w:eastAsia="ru-RU"/>
              </w:rPr>
            </w:pPr>
            <w:r w:rsidRPr="004032F4">
              <w:rPr>
                <w:rFonts w:ascii="Times New Roman" w:eastAsia="Times New Roman" w:hAnsi="Times New Roman" w:cs="Times New Roman"/>
                <w:b/>
                <w:color w:val="000000"/>
                <w:sz w:val="16"/>
                <w:szCs w:val="16"/>
                <w:lang w:eastAsia="ru-RU"/>
              </w:rPr>
              <w:t>-</w:t>
            </w:r>
            <w:r w:rsidR="009A32BB" w:rsidRPr="004032F4">
              <w:rPr>
                <w:rFonts w:ascii="Times New Roman" w:eastAsia="Times New Roman" w:hAnsi="Times New Roman" w:cs="Times New Roman"/>
                <w:b/>
                <w:color w:val="000000"/>
                <w:sz w:val="16"/>
                <w:szCs w:val="16"/>
                <w:lang w:eastAsia="ru-RU"/>
              </w:rPr>
              <w:t>16,2</w:t>
            </w:r>
            <w:r w:rsidRPr="004032F4">
              <w:rPr>
                <w:rFonts w:ascii="Times New Roman" w:eastAsia="Times New Roman" w:hAnsi="Times New Roman" w:cs="Times New Roman"/>
                <w:b/>
                <w:color w:val="000000"/>
                <w:sz w:val="16"/>
                <w:szCs w:val="16"/>
                <w:lang w:eastAsia="ru-RU"/>
              </w:rPr>
              <w:t>%</w:t>
            </w:r>
          </w:p>
        </w:tc>
      </w:tr>
    </w:tbl>
    <w:p w14:paraId="04583531" w14:textId="6536E036" w:rsidR="007449C4" w:rsidRPr="004032F4" w:rsidRDefault="007449C4" w:rsidP="00C52AAF">
      <w:pPr>
        <w:spacing w:before="120" w:after="0" w:line="240" w:lineRule="auto"/>
        <w:ind w:firstLine="709"/>
        <w:jc w:val="both"/>
        <w:rPr>
          <w:rFonts w:ascii="Times New Roman" w:eastAsia="Calibri" w:hAnsi="Times New Roman" w:cs="Times New Roman"/>
          <w:spacing w:val="-4"/>
          <w:sz w:val="28"/>
          <w:szCs w:val="28"/>
        </w:rPr>
      </w:pPr>
      <w:r w:rsidRPr="004032F4">
        <w:rPr>
          <w:rFonts w:ascii="Times New Roman" w:eastAsia="Calibri" w:hAnsi="Times New Roman" w:cs="Times New Roman"/>
          <w:spacing w:val="-4"/>
          <w:sz w:val="28"/>
          <w:szCs w:val="28"/>
        </w:rPr>
        <w:t xml:space="preserve">Доля расходов бюджета области на межбюджетные трансферты в общем объеме расходов бюджета области в </w:t>
      </w:r>
      <w:r w:rsidR="00933509" w:rsidRPr="004032F4">
        <w:rPr>
          <w:rFonts w:ascii="Times New Roman" w:eastAsia="Calibri" w:hAnsi="Times New Roman" w:cs="Times New Roman"/>
          <w:spacing w:val="-4"/>
          <w:sz w:val="28"/>
          <w:szCs w:val="28"/>
        </w:rPr>
        <w:t>2025</w:t>
      </w:r>
      <w:r w:rsidRPr="004032F4">
        <w:rPr>
          <w:rFonts w:ascii="Times New Roman" w:eastAsia="Calibri" w:hAnsi="Times New Roman" w:cs="Times New Roman"/>
          <w:spacing w:val="-4"/>
          <w:sz w:val="28"/>
          <w:szCs w:val="28"/>
        </w:rPr>
        <w:t xml:space="preserve"> году составит </w:t>
      </w:r>
      <w:r w:rsidR="00F67479" w:rsidRPr="004032F4">
        <w:rPr>
          <w:rFonts w:ascii="Times New Roman" w:eastAsia="Calibri" w:hAnsi="Times New Roman" w:cs="Times New Roman"/>
          <w:spacing w:val="-4"/>
          <w:sz w:val="28"/>
          <w:szCs w:val="28"/>
        </w:rPr>
        <w:t>30,2</w:t>
      </w:r>
      <w:r w:rsidRPr="004032F4">
        <w:rPr>
          <w:rFonts w:ascii="Times New Roman" w:eastAsia="Calibri" w:hAnsi="Times New Roman" w:cs="Times New Roman"/>
          <w:spacing w:val="-4"/>
          <w:sz w:val="28"/>
          <w:szCs w:val="28"/>
        </w:rPr>
        <w:t>% (</w:t>
      </w:r>
      <w:r w:rsidR="00F67479" w:rsidRPr="004032F4">
        <w:rPr>
          <w:rFonts w:ascii="Times New Roman" w:eastAsia="Calibri" w:hAnsi="Times New Roman" w:cs="Times New Roman"/>
          <w:spacing w:val="-4"/>
          <w:sz w:val="28"/>
          <w:szCs w:val="28"/>
        </w:rPr>
        <w:t>в 2024 году – аналогичный показатель составляет 31,7%</w:t>
      </w:r>
      <w:r w:rsidRPr="004032F4">
        <w:rPr>
          <w:rFonts w:ascii="Times New Roman" w:eastAsia="Calibri" w:hAnsi="Times New Roman" w:cs="Times New Roman"/>
          <w:spacing w:val="-4"/>
          <w:sz w:val="28"/>
          <w:szCs w:val="28"/>
        </w:rPr>
        <w:t xml:space="preserve">), в плановом периоде </w:t>
      </w:r>
      <w:r w:rsidR="00933509" w:rsidRPr="004032F4">
        <w:rPr>
          <w:rFonts w:ascii="Times New Roman" w:eastAsia="Calibri" w:hAnsi="Times New Roman" w:cs="Times New Roman"/>
          <w:spacing w:val="-4"/>
          <w:sz w:val="28"/>
          <w:szCs w:val="28"/>
        </w:rPr>
        <w:t>2026</w:t>
      </w:r>
      <w:r w:rsidRPr="004032F4">
        <w:rPr>
          <w:rFonts w:ascii="Times New Roman" w:eastAsia="Calibri" w:hAnsi="Times New Roman" w:cs="Times New Roman"/>
          <w:spacing w:val="-4"/>
          <w:sz w:val="28"/>
          <w:szCs w:val="28"/>
        </w:rPr>
        <w:t xml:space="preserve"> и </w:t>
      </w:r>
      <w:r w:rsidR="00933509" w:rsidRPr="004032F4">
        <w:rPr>
          <w:rFonts w:ascii="Times New Roman" w:eastAsia="Calibri" w:hAnsi="Times New Roman" w:cs="Times New Roman"/>
          <w:spacing w:val="-4"/>
          <w:sz w:val="28"/>
          <w:szCs w:val="28"/>
        </w:rPr>
        <w:t>2027</w:t>
      </w:r>
      <w:r w:rsidRPr="004032F4">
        <w:rPr>
          <w:rFonts w:ascii="Times New Roman" w:eastAsia="Calibri" w:hAnsi="Times New Roman" w:cs="Times New Roman"/>
          <w:spacing w:val="-4"/>
          <w:sz w:val="28"/>
          <w:szCs w:val="28"/>
        </w:rPr>
        <w:t xml:space="preserve"> годов – </w:t>
      </w:r>
      <w:r w:rsidR="00F67479" w:rsidRPr="004032F4">
        <w:rPr>
          <w:rFonts w:ascii="Times New Roman" w:eastAsia="Calibri" w:hAnsi="Times New Roman" w:cs="Times New Roman"/>
          <w:spacing w:val="-4"/>
          <w:sz w:val="28"/>
          <w:szCs w:val="28"/>
        </w:rPr>
        <w:t>29%</w:t>
      </w:r>
      <w:r w:rsidRPr="004032F4">
        <w:rPr>
          <w:rFonts w:ascii="Times New Roman" w:eastAsia="Calibri" w:hAnsi="Times New Roman" w:cs="Times New Roman"/>
          <w:spacing w:val="-4"/>
          <w:sz w:val="28"/>
          <w:szCs w:val="28"/>
        </w:rPr>
        <w:t xml:space="preserve"> и </w:t>
      </w:r>
      <w:r w:rsidR="00C80684" w:rsidRPr="004032F4">
        <w:rPr>
          <w:rFonts w:ascii="Times New Roman" w:eastAsia="Calibri" w:hAnsi="Times New Roman" w:cs="Times New Roman"/>
          <w:spacing w:val="-4"/>
          <w:sz w:val="28"/>
          <w:szCs w:val="28"/>
        </w:rPr>
        <w:t>29,</w:t>
      </w:r>
      <w:r w:rsidR="00F67479" w:rsidRPr="004032F4">
        <w:rPr>
          <w:rFonts w:ascii="Times New Roman" w:eastAsia="Calibri" w:hAnsi="Times New Roman" w:cs="Times New Roman"/>
          <w:spacing w:val="-4"/>
          <w:sz w:val="28"/>
          <w:szCs w:val="28"/>
        </w:rPr>
        <w:t>2</w:t>
      </w:r>
      <w:r w:rsidRPr="004032F4">
        <w:rPr>
          <w:rFonts w:ascii="Times New Roman" w:eastAsia="Calibri" w:hAnsi="Times New Roman" w:cs="Times New Roman"/>
          <w:spacing w:val="-4"/>
          <w:sz w:val="28"/>
          <w:szCs w:val="28"/>
        </w:rPr>
        <w:t xml:space="preserve">% </w:t>
      </w:r>
      <w:r w:rsidR="002B6F54" w:rsidRPr="004032F4">
        <w:rPr>
          <w:rFonts w:ascii="Times New Roman" w:eastAsia="Calibri" w:hAnsi="Times New Roman" w:cs="Times New Roman"/>
          <w:spacing w:val="-4"/>
          <w:sz w:val="28"/>
          <w:szCs w:val="28"/>
        </w:rPr>
        <w:t xml:space="preserve">соответственно </w:t>
      </w:r>
      <w:r w:rsidRPr="004032F4">
        <w:rPr>
          <w:rFonts w:ascii="Times New Roman" w:eastAsia="Calibri" w:hAnsi="Times New Roman" w:cs="Times New Roman"/>
          <w:spacing w:val="-4"/>
          <w:sz w:val="28"/>
          <w:szCs w:val="28"/>
        </w:rPr>
        <w:t>(без условно утверждаемых расходов).</w:t>
      </w:r>
    </w:p>
    <w:p w14:paraId="0552BBAD" w14:textId="6E45F6BE" w:rsidR="008503AE" w:rsidRPr="004032F4" w:rsidRDefault="004E5979" w:rsidP="00657B47">
      <w:pPr>
        <w:spacing w:after="0" w:line="240" w:lineRule="auto"/>
        <w:ind w:firstLine="709"/>
        <w:jc w:val="both"/>
        <w:rPr>
          <w:rFonts w:ascii="Times New Roman" w:eastAsia="Times New Roman" w:hAnsi="Times New Roman" w:cs="Times New Roman"/>
          <w:spacing w:val="-4"/>
          <w:sz w:val="16"/>
          <w:szCs w:val="16"/>
          <w:lang w:eastAsia="ru-RU"/>
        </w:rPr>
      </w:pPr>
      <w:r w:rsidRPr="004032F4">
        <w:rPr>
          <w:rFonts w:ascii="Times New Roman" w:eastAsia="Times New Roman" w:hAnsi="Times New Roman" w:cs="Times New Roman"/>
          <w:spacing w:val="-4"/>
          <w:sz w:val="28"/>
          <w:szCs w:val="28"/>
          <w:lang w:eastAsia="ru-RU"/>
        </w:rPr>
        <w:t>Структура распределения межбюджетных трансфертов по формам их предоставления бюджетам муниципальных образований в 202</w:t>
      </w:r>
      <w:r w:rsidR="008503AE" w:rsidRPr="004032F4">
        <w:rPr>
          <w:rFonts w:ascii="Times New Roman" w:eastAsia="Times New Roman" w:hAnsi="Times New Roman" w:cs="Times New Roman"/>
          <w:spacing w:val="-4"/>
          <w:sz w:val="28"/>
          <w:szCs w:val="28"/>
          <w:lang w:eastAsia="ru-RU"/>
        </w:rPr>
        <w:t>4</w:t>
      </w:r>
      <w:r w:rsidRPr="004032F4">
        <w:rPr>
          <w:rFonts w:ascii="Times New Roman" w:eastAsia="Times New Roman" w:hAnsi="Times New Roman" w:cs="Times New Roman"/>
          <w:spacing w:val="-4"/>
          <w:sz w:val="28"/>
          <w:szCs w:val="28"/>
          <w:lang w:eastAsia="ru-RU"/>
        </w:rPr>
        <w:t>-</w:t>
      </w:r>
      <w:r w:rsidR="00933509" w:rsidRPr="004032F4">
        <w:rPr>
          <w:rFonts w:ascii="Times New Roman" w:eastAsia="Times New Roman" w:hAnsi="Times New Roman" w:cs="Times New Roman"/>
          <w:spacing w:val="-4"/>
          <w:sz w:val="28"/>
          <w:szCs w:val="28"/>
          <w:lang w:eastAsia="ru-RU"/>
        </w:rPr>
        <w:t>2027</w:t>
      </w:r>
      <w:r w:rsidRPr="004032F4">
        <w:rPr>
          <w:rFonts w:ascii="Times New Roman" w:eastAsia="Times New Roman" w:hAnsi="Times New Roman" w:cs="Times New Roman"/>
          <w:spacing w:val="-4"/>
          <w:sz w:val="28"/>
          <w:szCs w:val="28"/>
          <w:lang w:eastAsia="ru-RU"/>
        </w:rPr>
        <w:t xml:space="preserve"> годах представлена на следующей диаграмме (%).</w:t>
      </w:r>
    </w:p>
    <w:p w14:paraId="51F689A1" w14:textId="2A855F06" w:rsidR="008503AE" w:rsidRPr="004032F4" w:rsidRDefault="008503AE" w:rsidP="008503AE">
      <w:pPr>
        <w:spacing w:after="0" w:line="240" w:lineRule="auto"/>
        <w:jc w:val="both"/>
        <w:rPr>
          <w:rFonts w:ascii="Times New Roman" w:eastAsia="Times New Roman" w:hAnsi="Times New Roman" w:cs="Times New Roman"/>
          <w:spacing w:val="-4"/>
          <w:sz w:val="28"/>
          <w:szCs w:val="28"/>
          <w:lang w:eastAsia="ru-RU"/>
        </w:rPr>
      </w:pPr>
      <w:r w:rsidRPr="004032F4">
        <w:rPr>
          <w:noProof/>
          <w:lang w:eastAsia="ru-RU"/>
        </w:rPr>
        <w:drawing>
          <wp:inline distT="0" distB="0" distL="0" distR="0" wp14:anchorId="599B3C59" wp14:editId="5BB1581C">
            <wp:extent cx="5705475" cy="17811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50E76B" w14:textId="5AABDEAA" w:rsidR="004E5979" w:rsidRPr="004032F4" w:rsidRDefault="004E5979" w:rsidP="004E5979">
      <w:pPr>
        <w:spacing w:before="240" w:after="0" w:line="240" w:lineRule="auto"/>
        <w:jc w:val="both"/>
        <w:rPr>
          <w:rFonts w:ascii="Times New Roman" w:eastAsia="Times New Roman" w:hAnsi="Times New Roman" w:cs="Times New Roman"/>
          <w:sz w:val="16"/>
          <w:szCs w:val="16"/>
          <w:lang w:eastAsia="ru-RU"/>
        </w:rPr>
      </w:pPr>
    </w:p>
    <w:p w14:paraId="4C1E0438" w14:textId="24E5C868" w:rsidR="007449C4" w:rsidRPr="004032F4" w:rsidRDefault="007449C4" w:rsidP="002B2848">
      <w:pPr>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z w:val="28"/>
          <w:szCs w:val="28"/>
          <w:lang w:eastAsia="ru-RU"/>
        </w:rPr>
        <w:t>Как и в предыдущие годы, основная доля межбюджетных трансфертов, предоставляемых бюджетам муниципальных образований</w:t>
      </w:r>
      <w:r w:rsidR="00047686" w:rsidRPr="004032F4">
        <w:rPr>
          <w:rFonts w:ascii="Times New Roman" w:eastAsia="Times New Roman" w:hAnsi="Times New Roman" w:cs="Times New Roman"/>
          <w:sz w:val="28"/>
          <w:szCs w:val="28"/>
          <w:lang w:eastAsia="ru-RU"/>
        </w:rPr>
        <w:t>,</w:t>
      </w:r>
      <w:r w:rsidRPr="004032F4">
        <w:rPr>
          <w:rFonts w:ascii="Times New Roman" w:eastAsia="Times New Roman" w:hAnsi="Times New Roman" w:cs="Times New Roman"/>
          <w:sz w:val="28"/>
          <w:szCs w:val="28"/>
          <w:lang w:eastAsia="ru-RU"/>
        </w:rPr>
        <w:t xml:space="preserve"> запланирована в форме субвенций и субсидий. </w:t>
      </w:r>
    </w:p>
    <w:p w14:paraId="3F0517D2" w14:textId="1BF21DAC" w:rsidR="007449C4" w:rsidRPr="004032F4" w:rsidRDefault="007449C4" w:rsidP="00657B47">
      <w:pPr>
        <w:spacing w:after="0" w:line="240" w:lineRule="auto"/>
        <w:ind w:firstLine="709"/>
        <w:jc w:val="both"/>
        <w:rPr>
          <w:rFonts w:ascii="Times New Roman" w:eastAsia="Times New Roman" w:hAnsi="Times New Roman" w:cs="Times New Roman"/>
          <w:strike/>
          <w:sz w:val="28"/>
          <w:szCs w:val="28"/>
          <w:lang w:eastAsia="ru-RU"/>
        </w:rPr>
      </w:pPr>
      <w:r w:rsidRPr="004032F4">
        <w:rPr>
          <w:rFonts w:ascii="Times New Roman" w:eastAsia="Times New Roman" w:hAnsi="Times New Roman" w:cs="Times New Roman"/>
          <w:sz w:val="28"/>
          <w:szCs w:val="28"/>
          <w:lang w:eastAsia="ru-RU"/>
        </w:rPr>
        <w:t xml:space="preserve">В </w:t>
      </w:r>
      <w:r w:rsidR="00933509" w:rsidRPr="004032F4">
        <w:rPr>
          <w:rFonts w:ascii="Times New Roman" w:eastAsia="Times New Roman" w:hAnsi="Times New Roman" w:cs="Times New Roman"/>
          <w:sz w:val="28"/>
          <w:szCs w:val="28"/>
          <w:lang w:eastAsia="ru-RU"/>
        </w:rPr>
        <w:t>2025</w:t>
      </w:r>
      <w:r w:rsidRPr="004032F4">
        <w:rPr>
          <w:rFonts w:ascii="Times New Roman" w:eastAsia="Times New Roman" w:hAnsi="Times New Roman" w:cs="Times New Roman"/>
          <w:sz w:val="28"/>
          <w:szCs w:val="28"/>
          <w:lang w:eastAsia="ru-RU"/>
        </w:rPr>
        <w:t>-</w:t>
      </w:r>
      <w:r w:rsidR="00933509" w:rsidRPr="004032F4">
        <w:rPr>
          <w:rFonts w:ascii="Times New Roman" w:eastAsia="Times New Roman" w:hAnsi="Times New Roman" w:cs="Times New Roman"/>
          <w:sz w:val="28"/>
          <w:szCs w:val="28"/>
          <w:lang w:eastAsia="ru-RU"/>
        </w:rPr>
        <w:t>2027</w:t>
      </w:r>
      <w:r w:rsidRPr="004032F4">
        <w:rPr>
          <w:rFonts w:ascii="Times New Roman" w:eastAsia="Times New Roman" w:hAnsi="Times New Roman" w:cs="Times New Roman"/>
          <w:sz w:val="28"/>
          <w:szCs w:val="28"/>
          <w:lang w:eastAsia="ru-RU"/>
        </w:rPr>
        <w:t xml:space="preserve"> годах отмечается постепенное увеличение доли дотаций, предоставляемых бюджетам муниципальных образований, в объеме межбюджетных трансфертов</w:t>
      </w:r>
      <w:r w:rsidR="00454A5E" w:rsidRPr="004032F4">
        <w:rPr>
          <w:rFonts w:ascii="Times New Roman" w:eastAsia="Times New Roman" w:hAnsi="Times New Roman" w:cs="Times New Roman"/>
          <w:sz w:val="28"/>
          <w:szCs w:val="28"/>
          <w:lang w:eastAsia="ru-RU"/>
        </w:rPr>
        <w:t xml:space="preserve">: с </w:t>
      </w:r>
      <w:r w:rsidR="008503AE" w:rsidRPr="004032F4">
        <w:rPr>
          <w:rFonts w:ascii="Times New Roman" w:eastAsia="Times New Roman" w:hAnsi="Times New Roman" w:cs="Times New Roman"/>
          <w:sz w:val="28"/>
          <w:szCs w:val="28"/>
          <w:lang w:eastAsia="ru-RU"/>
        </w:rPr>
        <w:t>6,9</w:t>
      </w:r>
      <w:r w:rsidR="00454A5E" w:rsidRPr="004032F4">
        <w:rPr>
          <w:rFonts w:ascii="Times New Roman" w:eastAsia="Times New Roman" w:hAnsi="Times New Roman" w:cs="Times New Roman"/>
          <w:sz w:val="28"/>
          <w:szCs w:val="28"/>
          <w:lang w:eastAsia="ru-RU"/>
        </w:rPr>
        <w:t>% в 202</w:t>
      </w:r>
      <w:r w:rsidR="008503AE" w:rsidRPr="004032F4">
        <w:rPr>
          <w:rFonts w:ascii="Times New Roman" w:eastAsia="Times New Roman" w:hAnsi="Times New Roman" w:cs="Times New Roman"/>
          <w:sz w:val="28"/>
          <w:szCs w:val="28"/>
          <w:lang w:eastAsia="ru-RU"/>
        </w:rPr>
        <w:t>4</w:t>
      </w:r>
      <w:r w:rsidR="00454A5E" w:rsidRPr="004032F4">
        <w:rPr>
          <w:rFonts w:ascii="Times New Roman" w:eastAsia="Times New Roman" w:hAnsi="Times New Roman" w:cs="Times New Roman"/>
          <w:sz w:val="28"/>
          <w:szCs w:val="28"/>
          <w:lang w:eastAsia="ru-RU"/>
        </w:rPr>
        <w:t xml:space="preserve"> году до </w:t>
      </w:r>
      <w:r w:rsidR="002076CE" w:rsidRPr="004032F4">
        <w:rPr>
          <w:rFonts w:ascii="Times New Roman" w:eastAsia="Times New Roman" w:hAnsi="Times New Roman" w:cs="Times New Roman"/>
          <w:sz w:val="28"/>
          <w:szCs w:val="28"/>
          <w:lang w:eastAsia="ru-RU"/>
        </w:rPr>
        <w:t>9,</w:t>
      </w:r>
      <w:r w:rsidR="008503AE" w:rsidRPr="004032F4">
        <w:rPr>
          <w:rFonts w:ascii="Times New Roman" w:eastAsia="Times New Roman" w:hAnsi="Times New Roman" w:cs="Times New Roman"/>
          <w:sz w:val="28"/>
          <w:szCs w:val="28"/>
          <w:lang w:eastAsia="ru-RU"/>
        </w:rPr>
        <w:t>2</w:t>
      </w:r>
      <w:r w:rsidR="00454A5E" w:rsidRPr="004032F4">
        <w:rPr>
          <w:rFonts w:ascii="Times New Roman" w:eastAsia="Times New Roman" w:hAnsi="Times New Roman" w:cs="Times New Roman"/>
          <w:sz w:val="28"/>
          <w:szCs w:val="28"/>
          <w:lang w:eastAsia="ru-RU"/>
        </w:rPr>
        <w:t xml:space="preserve">% в </w:t>
      </w:r>
      <w:r w:rsidR="00933509" w:rsidRPr="004032F4">
        <w:rPr>
          <w:rFonts w:ascii="Times New Roman" w:eastAsia="Times New Roman" w:hAnsi="Times New Roman" w:cs="Times New Roman"/>
          <w:sz w:val="28"/>
          <w:szCs w:val="28"/>
          <w:lang w:eastAsia="ru-RU"/>
        </w:rPr>
        <w:t>2027</w:t>
      </w:r>
      <w:r w:rsidR="00454A5E" w:rsidRPr="004032F4">
        <w:rPr>
          <w:rFonts w:ascii="Times New Roman" w:eastAsia="Times New Roman" w:hAnsi="Times New Roman" w:cs="Times New Roman"/>
          <w:sz w:val="28"/>
          <w:szCs w:val="28"/>
          <w:lang w:eastAsia="ru-RU"/>
        </w:rPr>
        <w:t xml:space="preserve"> году</w:t>
      </w:r>
      <w:r w:rsidRPr="004032F4">
        <w:rPr>
          <w:rFonts w:ascii="Times New Roman" w:eastAsia="Times New Roman" w:hAnsi="Times New Roman" w:cs="Times New Roman"/>
          <w:sz w:val="28"/>
          <w:szCs w:val="28"/>
          <w:lang w:eastAsia="ru-RU"/>
        </w:rPr>
        <w:t>.</w:t>
      </w:r>
      <w:r w:rsidR="00202BB3" w:rsidRPr="004032F4">
        <w:rPr>
          <w:rFonts w:ascii="Times New Roman" w:eastAsia="Times New Roman" w:hAnsi="Times New Roman" w:cs="Times New Roman"/>
          <w:sz w:val="28"/>
          <w:szCs w:val="28"/>
          <w:lang w:eastAsia="ru-RU"/>
        </w:rPr>
        <w:t xml:space="preserve"> Д</w:t>
      </w:r>
      <w:r w:rsidRPr="004032F4">
        <w:rPr>
          <w:rFonts w:ascii="Times New Roman" w:eastAsia="Times New Roman" w:hAnsi="Times New Roman" w:cs="Times New Roman"/>
          <w:sz w:val="28"/>
          <w:szCs w:val="28"/>
          <w:lang w:eastAsia="ru-RU"/>
        </w:rPr>
        <w:t xml:space="preserve">оля целевых межбюджетных трансфертов, предоставляемых бюджетам муниципальных образований, </w:t>
      </w:r>
      <w:r w:rsidR="00202BB3" w:rsidRPr="004032F4">
        <w:rPr>
          <w:rFonts w:ascii="Times New Roman" w:eastAsia="Times New Roman" w:hAnsi="Times New Roman" w:cs="Times New Roman"/>
          <w:sz w:val="28"/>
          <w:szCs w:val="28"/>
          <w:lang w:eastAsia="ru-RU"/>
        </w:rPr>
        <w:t xml:space="preserve">в </w:t>
      </w:r>
      <w:r w:rsidR="00933509" w:rsidRPr="004032F4">
        <w:rPr>
          <w:rFonts w:ascii="Times New Roman" w:eastAsia="Times New Roman" w:hAnsi="Times New Roman" w:cs="Times New Roman"/>
          <w:sz w:val="28"/>
          <w:szCs w:val="28"/>
          <w:lang w:eastAsia="ru-RU"/>
        </w:rPr>
        <w:t>2025</w:t>
      </w:r>
      <w:r w:rsidR="00202BB3" w:rsidRPr="004032F4">
        <w:rPr>
          <w:rFonts w:ascii="Times New Roman" w:eastAsia="Times New Roman" w:hAnsi="Times New Roman" w:cs="Times New Roman"/>
          <w:sz w:val="28"/>
          <w:szCs w:val="28"/>
          <w:lang w:eastAsia="ru-RU"/>
        </w:rPr>
        <w:t>-</w:t>
      </w:r>
      <w:r w:rsidR="00933509" w:rsidRPr="004032F4">
        <w:rPr>
          <w:rFonts w:ascii="Times New Roman" w:eastAsia="Times New Roman" w:hAnsi="Times New Roman" w:cs="Times New Roman"/>
          <w:sz w:val="28"/>
          <w:szCs w:val="28"/>
          <w:lang w:eastAsia="ru-RU"/>
        </w:rPr>
        <w:t>2027</w:t>
      </w:r>
      <w:r w:rsidR="00202BB3" w:rsidRPr="004032F4">
        <w:rPr>
          <w:rFonts w:ascii="Times New Roman" w:eastAsia="Times New Roman" w:hAnsi="Times New Roman" w:cs="Times New Roman"/>
          <w:sz w:val="28"/>
          <w:szCs w:val="28"/>
          <w:lang w:eastAsia="ru-RU"/>
        </w:rPr>
        <w:t xml:space="preserve"> годах </w:t>
      </w:r>
      <w:r w:rsidRPr="004032F4">
        <w:rPr>
          <w:rFonts w:ascii="Times New Roman" w:eastAsia="Times New Roman" w:hAnsi="Times New Roman" w:cs="Times New Roman"/>
          <w:sz w:val="28"/>
          <w:szCs w:val="28"/>
          <w:lang w:eastAsia="ru-RU"/>
        </w:rPr>
        <w:t>сохранится на высоком уровне 9</w:t>
      </w:r>
      <w:r w:rsidR="008503AE" w:rsidRPr="004032F4">
        <w:rPr>
          <w:rFonts w:ascii="Times New Roman" w:eastAsia="Times New Roman" w:hAnsi="Times New Roman" w:cs="Times New Roman"/>
          <w:sz w:val="28"/>
          <w:szCs w:val="28"/>
          <w:lang w:eastAsia="ru-RU"/>
        </w:rPr>
        <w:t>3,1</w:t>
      </w:r>
      <w:r w:rsidRPr="004032F4">
        <w:rPr>
          <w:rFonts w:ascii="Times New Roman" w:eastAsia="Times New Roman" w:hAnsi="Times New Roman" w:cs="Times New Roman"/>
          <w:sz w:val="28"/>
          <w:szCs w:val="28"/>
          <w:lang w:eastAsia="ru-RU"/>
        </w:rPr>
        <w:t xml:space="preserve">% </w:t>
      </w:r>
      <w:r w:rsidR="00202BB3" w:rsidRPr="004032F4">
        <w:rPr>
          <w:rFonts w:ascii="Times New Roman" w:eastAsia="Times New Roman" w:hAnsi="Times New Roman" w:cs="Times New Roman"/>
          <w:sz w:val="28"/>
          <w:szCs w:val="28"/>
          <w:lang w:eastAsia="ru-RU"/>
        </w:rPr>
        <w:t xml:space="preserve">– </w:t>
      </w:r>
      <w:r w:rsidRPr="004032F4">
        <w:rPr>
          <w:rFonts w:ascii="Times New Roman" w:eastAsia="Times New Roman" w:hAnsi="Times New Roman" w:cs="Times New Roman"/>
          <w:sz w:val="28"/>
          <w:szCs w:val="28"/>
          <w:lang w:eastAsia="ru-RU"/>
        </w:rPr>
        <w:t>90,</w:t>
      </w:r>
      <w:r w:rsidR="008503AE" w:rsidRPr="004032F4">
        <w:rPr>
          <w:rFonts w:ascii="Times New Roman" w:eastAsia="Times New Roman" w:hAnsi="Times New Roman" w:cs="Times New Roman"/>
          <w:sz w:val="28"/>
          <w:szCs w:val="28"/>
          <w:lang w:eastAsia="ru-RU"/>
        </w:rPr>
        <w:t>8</w:t>
      </w:r>
      <w:r w:rsidRPr="004032F4">
        <w:rPr>
          <w:rFonts w:ascii="Times New Roman" w:eastAsia="Times New Roman" w:hAnsi="Times New Roman" w:cs="Times New Roman"/>
          <w:sz w:val="28"/>
          <w:szCs w:val="28"/>
          <w:lang w:eastAsia="ru-RU"/>
        </w:rPr>
        <w:t>%</w:t>
      </w:r>
      <w:r w:rsidR="00202BB3" w:rsidRPr="004032F4">
        <w:rPr>
          <w:rFonts w:ascii="Times New Roman" w:eastAsia="Times New Roman" w:hAnsi="Times New Roman" w:cs="Times New Roman"/>
          <w:sz w:val="28"/>
          <w:szCs w:val="28"/>
          <w:lang w:eastAsia="ru-RU"/>
        </w:rPr>
        <w:t>.</w:t>
      </w:r>
      <w:r w:rsidRPr="004032F4">
        <w:rPr>
          <w:rFonts w:ascii="Times New Roman" w:eastAsia="Times New Roman" w:hAnsi="Times New Roman" w:cs="Times New Roman"/>
          <w:strike/>
          <w:sz w:val="28"/>
          <w:szCs w:val="28"/>
          <w:lang w:eastAsia="ru-RU"/>
        </w:rPr>
        <w:t xml:space="preserve"> </w:t>
      </w:r>
    </w:p>
    <w:p w14:paraId="3A44EEFC" w14:textId="22A29455" w:rsidR="00571DE4" w:rsidRPr="004032F4" w:rsidRDefault="00571DE4" w:rsidP="00657B47">
      <w:pPr>
        <w:spacing w:after="0" w:line="240" w:lineRule="auto"/>
        <w:ind w:firstLine="709"/>
        <w:jc w:val="both"/>
        <w:rPr>
          <w:rFonts w:ascii="Times New Roman" w:eastAsia="Times New Roman" w:hAnsi="Times New Roman" w:cs="Times New Roman"/>
          <w:spacing w:val="4"/>
          <w:sz w:val="28"/>
          <w:szCs w:val="28"/>
          <w:lang w:eastAsia="ru-RU"/>
        </w:rPr>
      </w:pPr>
      <w:r w:rsidRPr="004032F4">
        <w:rPr>
          <w:rFonts w:ascii="Times New Roman" w:eastAsia="Times New Roman" w:hAnsi="Times New Roman" w:cs="Times New Roman"/>
          <w:spacing w:val="4"/>
          <w:sz w:val="28"/>
          <w:szCs w:val="28"/>
          <w:lang w:eastAsia="ru-RU"/>
        </w:rPr>
        <w:t>В соответствии со статьей 184.2 БК РФ и статьей 16 Закона о бюджетном процессе области одновременно с Законопроектом представлены методики (проекты методик), определяющие порядок предоставления и распределения и расчеты объемов межбюджетных трансфертов местным бюджетам (прил</w:t>
      </w:r>
      <w:r w:rsidR="00C503F3" w:rsidRPr="004032F4">
        <w:rPr>
          <w:rFonts w:ascii="Times New Roman" w:eastAsia="Times New Roman" w:hAnsi="Times New Roman" w:cs="Times New Roman"/>
          <w:spacing w:val="4"/>
          <w:sz w:val="28"/>
          <w:szCs w:val="28"/>
          <w:lang w:eastAsia="ru-RU"/>
        </w:rPr>
        <w:t>ожение №12 к письму Губернатора</w:t>
      </w:r>
      <w:r w:rsidRPr="004032F4">
        <w:rPr>
          <w:rFonts w:ascii="Times New Roman" w:eastAsia="Times New Roman" w:hAnsi="Times New Roman" w:cs="Times New Roman"/>
          <w:spacing w:val="4"/>
          <w:sz w:val="28"/>
          <w:szCs w:val="28"/>
          <w:lang w:eastAsia="ru-RU"/>
        </w:rPr>
        <w:t>).</w:t>
      </w:r>
    </w:p>
    <w:p w14:paraId="6218717C" w14:textId="6AB74055" w:rsidR="00571DE4" w:rsidRPr="004032F4" w:rsidRDefault="00571DE4" w:rsidP="00657B47">
      <w:pPr>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Times New Roman" w:hAnsi="Times New Roman" w:cs="Times New Roman"/>
          <w:spacing w:val="4"/>
          <w:sz w:val="28"/>
          <w:szCs w:val="28"/>
          <w:lang w:eastAsia="ru-RU"/>
        </w:rPr>
        <w:t xml:space="preserve">Анализ представленных методик (проектов методик) на соответствие действующим нормативным правовым актам, определяющим порядок </w:t>
      </w:r>
      <w:r w:rsidRPr="004032F4">
        <w:rPr>
          <w:rFonts w:ascii="Times New Roman" w:eastAsia="Times New Roman" w:hAnsi="Times New Roman" w:cs="Times New Roman"/>
          <w:spacing w:val="4"/>
          <w:sz w:val="28"/>
          <w:szCs w:val="28"/>
          <w:lang w:eastAsia="ru-RU"/>
        </w:rPr>
        <w:lastRenderedPageBreak/>
        <w:t>предоставления и распределения каждого межбюджетного трансферта, показал, что</w:t>
      </w:r>
      <w:r w:rsidRPr="004032F4">
        <w:rPr>
          <w:rFonts w:ascii="Times New Roman" w:eastAsia="Times New Roman" w:hAnsi="Times New Roman" w:cs="Times New Roman"/>
          <w:sz w:val="28"/>
          <w:szCs w:val="28"/>
          <w:lang w:eastAsia="ru-RU"/>
        </w:rPr>
        <w:t xml:space="preserve"> по всем видам межбюджетных трансфертов приняты нормативно-правовые акты или разработаны соответствующие проекты.</w:t>
      </w:r>
    </w:p>
    <w:p w14:paraId="486B4E4B" w14:textId="03E389A3" w:rsidR="00454A5E" w:rsidRPr="004032F4" w:rsidRDefault="00454A5E" w:rsidP="00657B47">
      <w:pPr>
        <w:spacing w:after="0" w:line="240" w:lineRule="auto"/>
        <w:ind w:firstLine="709"/>
        <w:jc w:val="both"/>
        <w:rPr>
          <w:rFonts w:ascii="Times New Roman" w:eastAsia="Calibri" w:hAnsi="Times New Roman" w:cs="Times New Roman"/>
          <w:sz w:val="28"/>
          <w:szCs w:val="28"/>
        </w:rPr>
      </w:pPr>
      <w:r w:rsidRPr="004032F4">
        <w:rPr>
          <w:rFonts w:ascii="Times New Roman" w:eastAsia="Calibri" w:hAnsi="Times New Roman" w:cs="Times New Roman"/>
          <w:sz w:val="28"/>
          <w:szCs w:val="28"/>
        </w:rPr>
        <w:t xml:space="preserve">Сведения об объемах межбюджетных трансфертов, распределяемых бюджетам муниципальных образований на </w:t>
      </w:r>
      <w:r w:rsidR="00933509" w:rsidRPr="004032F4">
        <w:rPr>
          <w:rFonts w:ascii="Times New Roman" w:eastAsia="Calibri" w:hAnsi="Times New Roman" w:cs="Times New Roman"/>
          <w:sz w:val="28"/>
          <w:szCs w:val="28"/>
        </w:rPr>
        <w:t>2025</w:t>
      </w:r>
      <w:r w:rsidRPr="004032F4">
        <w:rPr>
          <w:rFonts w:ascii="Times New Roman" w:eastAsia="Calibri" w:hAnsi="Times New Roman" w:cs="Times New Roman"/>
          <w:sz w:val="28"/>
          <w:szCs w:val="28"/>
        </w:rPr>
        <w:t xml:space="preserve"> год, представлены в приложении №</w:t>
      </w:r>
      <w:r w:rsidR="002D450F" w:rsidRPr="004032F4">
        <w:rPr>
          <w:rFonts w:ascii="Times New Roman" w:eastAsia="Calibri" w:hAnsi="Times New Roman" w:cs="Times New Roman"/>
          <w:sz w:val="28"/>
          <w:szCs w:val="28"/>
        </w:rPr>
        <w:t>9</w:t>
      </w:r>
      <w:r w:rsidR="00C503F3" w:rsidRPr="004032F4">
        <w:rPr>
          <w:rFonts w:ascii="Times New Roman" w:eastAsia="Calibri" w:hAnsi="Times New Roman" w:cs="Times New Roman"/>
          <w:sz w:val="28"/>
          <w:szCs w:val="28"/>
        </w:rPr>
        <w:t xml:space="preserve"> к настоящему заключению</w:t>
      </w:r>
      <w:r w:rsidRPr="004032F4">
        <w:rPr>
          <w:rFonts w:ascii="Times New Roman" w:eastAsia="Calibri" w:hAnsi="Times New Roman" w:cs="Times New Roman"/>
          <w:sz w:val="28"/>
          <w:szCs w:val="28"/>
        </w:rPr>
        <w:t xml:space="preserve">. </w:t>
      </w:r>
    </w:p>
    <w:p w14:paraId="6988E38A" w14:textId="4521407E" w:rsidR="00E7584D" w:rsidRPr="004032F4" w:rsidRDefault="00E7584D" w:rsidP="00657B47">
      <w:pPr>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Calibri" w:hAnsi="Times New Roman" w:cs="Times New Roman"/>
          <w:spacing w:val="-4"/>
          <w:sz w:val="28"/>
          <w:szCs w:val="28"/>
        </w:rPr>
        <w:t xml:space="preserve">Анализ распределенных межбюджетных трансфертов </w:t>
      </w:r>
      <w:r w:rsidRPr="004032F4">
        <w:rPr>
          <w:rFonts w:ascii="Times New Roman" w:eastAsia="Times New Roman" w:hAnsi="Times New Roman" w:cs="Times New Roman"/>
          <w:sz w:val="28"/>
          <w:szCs w:val="28"/>
          <w:lang w:eastAsia="ru-RU"/>
        </w:rPr>
        <w:t>(</w:t>
      </w:r>
      <w:r w:rsidR="00C503F3" w:rsidRPr="004032F4">
        <w:rPr>
          <w:rFonts w:ascii="Times New Roman" w:eastAsia="Calibri" w:hAnsi="Times New Roman" w:cs="Times New Roman"/>
          <w:sz w:val="28"/>
          <w:szCs w:val="28"/>
        </w:rPr>
        <w:t>52</w:t>
      </w:r>
      <w:r w:rsidRPr="004032F4">
        <w:rPr>
          <w:rFonts w:ascii="Times New Roman" w:eastAsia="Calibri" w:hAnsi="Times New Roman" w:cs="Times New Roman"/>
          <w:sz w:val="28"/>
          <w:szCs w:val="28"/>
        </w:rPr>
        <w:t xml:space="preserve"> вид</w:t>
      </w:r>
      <w:r w:rsidR="00047686" w:rsidRPr="004032F4">
        <w:rPr>
          <w:rFonts w:ascii="Times New Roman" w:eastAsia="Calibri" w:hAnsi="Times New Roman" w:cs="Times New Roman"/>
          <w:sz w:val="28"/>
          <w:szCs w:val="28"/>
        </w:rPr>
        <w:t>а</w:t>
      </w:r>
      <w:r w:rsidRPr="004032F4">
        <w:rPr>
          <w:rFonts w:ascii="Times New Roman" w:eastAsia="Calibri" w:hAnsi="Times New Roman" w:cs="Times New Roman"/>
          <w:sz w:val="28"/>
          <w:szCs w:val="28"/>
        </w:rPr>
        <w:t xml:space="preserve"> межбюджетных трансфертов) </w:t>
      </w:r>
      <w:r w:rsidRPr="004032F4">
        <w:rPr>
          <w:rFonts w:ascii="Times New Roman" w:eastAsia="Calibri" w:hAnsi="Times New Roman" w:cs="Times New Roman"/>
          <w:i/>
          <w:spacing w:val="-4"/>
          <w:sz w:val="28"/>
          <w:szCs w:val="28"/>
        </w:rPr>
        <w:t>в разрезе муниципальных образований</w:t>
      </w:r>
      <w:r w:rsidRPr="004032F4">
        <w:rPr>
          <w:rFonts w:ascii="Times New Roman" w:eastAsia="Calibri" w:hAnsi="Times New Roman" w:cs="Times New Roman"/>
          <w:spacing w:val="-4"/>
          <w:sz w:val="28"/>
          <w:szCs w:val="28"/>
        </w:rPr>
        <w:t xml:space="preserve"> показал, что наибольший объем (свыше 1,0 млрд. рублей) предусматривается направить 9-ти</w:t>
      </w:r>
      <w:r w:rsidRPr="004032F4">
        <w:rPr>
          <w:rFonts w:ascii="Times New Roman" w:eastAsia="Times New Roman" w:hAnsi="Times New Roman" w:cs="Times New Roman"/>
          <w:sz w:val="28"/>
          <w:szCs w:val="28"/>
          <w:lang w:eastAsia="ru-RU"/>
        </w:rPr>
        <w:t xml:space="preserve"> муниципальным образованиям: </w:t>
      </w:r>
    </w:p>
    <w:p w14:paraId="6083F0C9" w14:textId="173A78C0" w:rsidR="00B07EA0" w:rsidRPr="004032F4" w:rsidRDefault="00B07EA0" w:rsidP="00B07EA0">
      <w:pPr>
        <w:spacing w:after="0" w:line="240" w:lineRule="auto"/>
        <w:ind w:firstLine="709"/>
        <w:jc w:val="both"/>
        <w:rPr>
          <w:rFonts w:ascii="Times New Roman" w:eastAsia="Times New Roman" w:hAnsi="Times New Roman" w:cs="Times New Roman"/>
          <w:sz w:val="24"/>
          <w:szCs w:val="24"/>
          <w:lang w:eastAsia="ru-RU"/>
        </w:rPr>
      </w:pPr>
      <w:r w:rsidRPr="004032F4">
        <w:rPr>
          <w:rFonts w:ascii="Times New Roman" w:eastAsia="Times New Roman" w:hAnsi="Times New Roman" w:cs="Times New Roman"/>
          <w:sz w:val="24"/>
          <w:szCs w:val="24"/>
          <w:lang w:eastAsia="ru-RU"/>
        </w:rPr>
        <w:t>Богородицкий район – 1</w:t>
      </w:r>
      <w:r w:rsidR="00C503F3" w:rsidRPr="004032F4">
        <w:rPr>
          <w:rFonts w:ascii="Times New Roman" w:eastAsia="Times New Roman" w:hAnsi="Times New Roman" w:cs="Times New Roman"/>
          <w:sz w:val="24"/>
          <w:szCs w:val="24"/>
          <w:lang w:eastAsia="ru-RU"/>
        </w:rPr>
        <w:t> 049,0</w:t>
      </w:r>
      <w:r w:rsidRPr="004032F4">
        <w:rPr>
          <w:rFonts w:ascii="Times New Roman" w:eastAsia="Times New Roman" w:hAnsi="Times New Roman" w:cs="Times New Roman"/>
          <w:sz w:val="24"/>
          <w:szCs w:val="24"/>
          <w:lang w:eastAsia="ru-RU"/>
        </w:rPr>
        <w:t xml:space="preserve"> млн. рублей (2,9% от общего объема распределенных межбюджетных трансфертов);</w:t>
      </w:r>
    </w:p>
    <w:p w14:paraId="0C5AC5B2" w14:textId="77777777" w:rsidR="00C503F3" w:rsidRPr="004032F4" w:rsidRDefault="00C503F3" w:rsidP="00C503F3">
      <w:pPr>
        <w:spacing w:after="0" w:line="240" w:lineRule="auto"/>
        <w:ind w:firstLine="709"/>
        <w:jc w:val="both"/>
        <w:rPr>
          <w:rFonts w:ascii="Times New Roman" w:eastAsia="Times New Roman" w:hAnsi="Times New Roman" w:cs="Times New Roman"/>
          <w:sz w:val="24"/>
          <w:szCs w:val="24"/>
          <w:lang w:eastAsia="ru-RU"/>
        </w:rPr>
      </w:pPr>
      <w:r w:rsidRPr="004032F4">
        <w:rPr>
          <w:rFonts w:ascii="Times New Roman" w:eastAsia="Times New Roman" w:hAnsi="Times New Roman" w:cs="Times New Roman"/>
          <w:sz w:val="24"/>
          <w:szCs w:val="24"/>
          <w:lang w:eastAsia="ru-RU"/>
        </w:rPr>
        <w:t>город Ефремов – 1 281,2 млн. рублей (3,5%);</w:t>
      </w:r>
    </w:p>
    <w:p w14:paraId="63294209" w14:textId="77777777" w:rsidR="00C503F3" w:rsidRPr="004032F4" w:rsidRDefault="00C503F3" w:rsidP="00C503F3">
      <w:pPr>
        <w:spacing w:after="0" w:line="240" w:lineRule="auto"/>
        <w:ind w:firstLine="709"/>
        <w:jc w:val="both"/>
        <w:rPr>
          <w:rFonts w:ascii="Times New Roman" w:eastAsia="Times New Roman" w:hAnsi="Times New Roman" w:cs="Times New Roman"/>
          <w:sz w:val="24"/>
          <w:szCs w:val="24"/>
          <w:lang w:eastAsia="ru-RU"/>
        </w:rPr>
      </w:pPr>
      <w:r w:rsidRPr="004032F4">
        <w:rPr>
          <w:rFonts w:ascii="Times New Roman" w:eastAsia="Times New Roman" w:hAnsi="Times New Roman" w:cs="Times New Roman"/>
          <w:sz w:val="24"/>
          <w:szCs w:val="24"/>
          <w:lang w:eastAsia="ru-RU"/>
        </w:rPr>
        <w:t>город Донской – 1 303,6 млн. рублей (3,6%);</w:t>
      </w:r>
    </w:p>
    <w:p w14:paraId="6B820088" w14:textId="613D26C2" w:rsidR="00E7584D" w:rsidRPr="004032F4" w:rsidRDefault="00E7584D" w:rsidP="00E7584D">
      <w:pPr>
        <w:spacing w:after="0" w:line="240" w:lineRule="auto"/>
        <w:ind w:firstLine="709"/>
        <w:jc w:val="both"/>
        <w:rPr>
          <w:rFonts w:ascii="Times New Roman" w:eastAsia="Times New Roman" w:hAnsi="Times New Roman" w:cs="Times New Roman"/>
          <w:sz w:val="24"/>
          <w:szCs w:val="24"/>
          <w:lang w:eastAsia="ru-RU"/>
        </w:rPr>
      </w:pPr>
      <w:r w:rsidRPr="004032F4">
        <w:rPr>
          <w:rFonts w:ascii="Times New Roman" w:eastAsia="Times New Roman" w:hAnsi="Times New Roman" w:cs="Times New Roman"/>
          <w:sz w:val="24"/>
          <w:szCs w:val="24"/>
          <w:lang w:eastAsia="ru-RU"/>
        </w:rPr>
        <w:t>город Алексин – 1</w:t>
      </w:r>
      <w:r w:rsidR="00C503F3" w:rsidRPr="004032F4">
        <w:rPr>
          <w:rFonts w:ascii="Times New Roman" w:eastAsia="Times New Roman" w:hAnsi="Times New Roman" w:cs="Times New Roman"/>
          <w:sz w:val="24"/>
          <w:szCs w:val="24"/>
          <w:lang w:eastAsia="ru-RU"/>
        </w:rPr>
        <w:t> 331,4</w:t>
      </w:r>
      <w:r w:rsidRPr="004032F4">
        <w:rPr>
          <w:rFonts w:ascii="Times New Roman" w:eastAsia="Times New Roman" w:hAnsi="Times New Roman" w:cs="Times New Roman"/>
          <w:sz w:val="24"/>
          <w:szCs w:val="24"/>
          <w:lang w:eastAsia="ru-RU"/>
        </w:rPr>
        <w:t xml:space="preserve"> млн. рублей (3,</w:t>
      </w:r>
      <w:r w:rsidR="00C503F3" w:rsidRPr="004032F4">
        <w:rPr>
          <w:rFonts w:ascii="Times New Roman" w:eastAsia="Times New Roman" w:hAnsi="Times New Roman" w:cs="Times New Roman"/>
          <w:sz w:val="24"/>
          <w:szCs w:val="24"/>
          <w:lang w:eastAsia="ru-RU"/>
        </w:rPr>
        <w:t>6</w:t>
      </w:r>
      <w:r w:rsidRPr="004032F4">
        <w:rPr>
          <w:rFonts w:ascii="Times New Roman" w:eastAsia="Times New Roman" w:hAnsi="Times New Roman" w:cs="Times New Roman"/>
          <w:sz w:val="24"/>
          <w:szCs w:val="24"/>
          <w:lang w:eastAsia="ru-RU"/>
        </w:rPr>
        <w:t>%);</w:t>
      </w:r>
    </w:p>
    <w:p w14:paraId="0917AE1A" w14:textId="2502BBB3" w:rsidR="00B07EA0" w:rsidRPr="004032F4" w:rsidRDefault="00B07EA0" w:rsidP="00B07EA0">
      <w:pPr>
        <w:spacing w:after="0" w:line="240" w:lineRule="auto"/>
        <w:ind w:firstLine="709"/>
        <w:jc w:val="both"/>
        <w:rPr>
          <w:rFonts w:ascii="Times New Roman" w:eastAsia="Times New Roman" w:hAnsi="Times New Roman" w:cs="Times New Roman"/>
          <w:sz w:val="24"/>
          <w:szCs w:val="24"/>
          <w:lang w:eastAsia="ru-RU"/>
        </w:rPr>
      </w:pPr>
      <w:r w:rsidRPr="004032F4">
        <w:rPr>
          <w:rFonts w:ascii="Times New Roman" w:eastAsia="Times New Roman" w:hAnsi="Times New Roman" w:cs="Times New Roman"/>
          <w:sz w:val="24"/>
          <w:szCs w:val="24"/>
          <w:lang w:eastAsia="ru-RU"/>
        </w:rPr>
        <w:t>Киреевский район – 1</w:t>
      </w:r>
      <w:r w:rsidR="00C503F3" w:rsidRPr="004032F4">
        <w:rPr>
          <w:rFonts w:ascii="Times New Roman" w:eastAsia="Times New Roman" w:hAnsi="Times New Roman" w:cs="Times New Roman"/>
          <w:sz w:val="24"/>
          <w:szCs w:val="24"/>
          <w:lang w:eastAsia="ru-RU"/>
        </w:rPr>
        <w:t> 761,4</w:t>
      </w:r>
      <w:r w:rsidRPr="004032F4">
        <w:rPr>
          <w:rFonts w:ascii="Times New Roman" w:eastAsia="Times New Roman" w:hAnsi="Times New Roman" w:cs="Times New Roman"/>
          <w:sz w:val="24"/>
          <w:szCs w:val="24"/>
          <w:lang w:eastAsia="ru-RU"/>
        </w:rPr>
        <w:t xml:space="preserve"> млн. рублей (4,</w:t>
      </w:r>
      <w:r w:rsidR="00C503F3" w:rsidRPr="004032F4">
        <w:rPr>
          <w:rFonts w:ascii="Times New Roman" w:eastAsia="Times New Roman" w:hAnsi="Times New Roman" w:cs="Times New Roman"/>
          <w:sz w:val="24"/>
          <w:szCs w:val="24"/>
          <w:lang w:eastAsia="ru-RU"/>
        </w:rPr>
        <w:t>8</w:t>
      </w:r>
      <w:r w:rsidRPr="004032F4">
        <w:rPr>
          <w:rFonts w:ascii="Times New Roman" w:eastAsia="Times New Roman" w:hAnsi="Times New Roman" w:cs="Times New Roman"/>
          <w:sz w:val="24"/>
          <w:szCs w:val="24"/>
          <w:lang w:eastAsia="ru-RU"/>
        </w:rPr>
        <w:t>%);</w:t>
      </w:r>
    </w:p>
    <w:p w14:paraId="484846DA" w14:textId="77777777" w:rsidR="00C503F3" w:rsidRPr="004032F4" w:rsidRDefault="00C503F3" w:rsidP="00C503F3">
      <w:pPr>
        <w:spacing w:after="0" w:line="240" w:lineRule="auto"/>
        <w:ind w:firstLine="709"/>
        <w:jc w:val="both"/>
        <w:rPr>
          <w:rFonts w:ascii="Times New Roman" w:eastAsia="Times New Roman" w:hAnsi="Times New Roman" w:cs="Times New Roman"/>
          <w:sz w:val="24"/>
          <w:szCs w:val="24"/>
          <w:lang w:eastAsia="ru-RU"/>
        </w:rPr>
      </w:pPr>
      <w:r w:rsidRPr="004032F4">
        <w:rPr>
          <w:rFonts w:ascii="Times New Roman" w:eastAsia="Times New Roman" w:hAnsi="Times New Roman" w:cs="Times New Roman"/>
          <w:sz w:val="24"/>
          <w:szCs w:val="24"/>
          <w:lang w:eastAsia="ru-RU"/>
        </w:rPr>
        <w:t>Узловский район – 1 931,5 млн. рублей (5,3%);</w:t>
      </w:r>
    </w:p>
    <w:p w14:paraId="7BD67682" w14:textId="14A44121" w:rsidR="00E7584D" w:rsidRPr="004032F4" w:rsidRDefault="00E7584D" w:rsidP="00E7584D">
      <w:pPr>
        <w:spacing w:after="0" w:line="240" w:lineRule="auto"/>
        <w:ind w:firstLine="709"/>
        <w:jc w:val="both"/>
        <w:rPr>
          <w:rFonts w:ascii="Times New Roman" w:eastAsia="Times New Roman" w:hAnsi="Times New Roman" w:cs="Times New Roman"/>
          <w:sz w:val="24"/>
          <w:szCs w:val="24"/>
          <w:lang w:eastAsia="ru-RU"/>
        </w:rPr>
      </w:pPr>
      <w:r w:rsidRPr="004032F4">
        <w:rPr>
          <w:rFonts w:ascii="Times New Roman" w:eastAsia="Times New Roman" w:hAnsi="Times New Roman" w:cs="Times New Roman"/>
          <w:sz w:val="24"/>
          <w:szCs w:val="24"/>
          <w:lang w:eastAsia="ru-RU"/>
        </w:rPr>
        <w:t xml:space="preserve">Щекинский район – </w:t>
      </w:r>
      <w:r w:rsidR="00C503F3" w:rsidRPr="004032F4">
        <w:rPr>
          <w:rFonts w:ascii="Times New Roman" w:eastAsia="Times New Roman" w:hAnsi="Times New Roman" w:cs="Times New Roman"/>
          <w:sz w:val="24"/>
          <w:szCs w:val="24"/>
          <w:lang w:eastAsia="ru-RU"/>
        </w:rPr>
        <w:t>2 135,8</w:t>
      </w:r>
      <w:r w:rsidRPr="004032F4">
        <w:rPr>
          <w:rFonts w:ascii="Times New Roman" w:eastAsia="Times New Roman" w:hAnsi="Times New Roman" w:cs="Times New Roman"/>
          <w:sz w:val="24"/>
          <w:szCs w:val="24"/>
          <w:lang w:eastAsia="ru-RU"/>
        </w:rPr>
        <w:t xml:space="preserve"> млн. рублей (</w:t>
      </w:r>
      <w:r w:rsidR="00B07EA0" w:rsidRPr="004032F4">
        <w:rPr>
          <w:rFonts w:ascii="Times New Roman" w:eastAsia="Times New Roman" w:hAnsi="Times New Roman" w:cs="Times New Roman"/>
          <w:sz w:val="24"/>
          <w:szCs w:val="24"/>
          <w:lang w:eastAsia="ru-RU"/>
        </w:rPr>
        <w:t>5,</w:t>
      </w:r>
      <w:r w:rsidR="00C503F3" w:rsidRPr="004032F4">
        <w:rPr>
          <w:rFonts w:ascii="Times New Roman" w:eastAsia="Times New Roman" w:hAnsi="Times New Roman" w:cs="Times New Roman"/>
          <w:sz w:val="24"/>
          <w:szCs w:val="24"/>
          <w:lang w:eastAsia="ru-RU"/>
        </w:rPr>
        <w:t>8</w:t>
      </w:r>
      <w:r w:rsidRPr="004032F4">
        <w:rPr>
          <w:rFonts w:ascii="Times New Roman" w:eastAsia="Times New Roman" w:hAnsi="Times New Roman" w:cs="Times New Roman"/>
          <w:sz w:val="24"/>
          <w:szCs w:val="24"/>
          <w:lang w:eastAsia="ru-RU"/>
        </w:rPr>
        <w:t>%);</w:t>
      </w:r>
    </w:p>
    <w:p w14:paraId="0785A598" w14:textId="4E5D1D62" w:rsidR="00A33806" w:rsidRPr="004032F4" w:rsidRDefault="00A33806" w:rsidP="00A33806">
      <w:pPr>
        <w:spacing w:after="0" w:line="240" w:lineRule="auto"/>
        <w:ind w:firstLine="709"/>
        <w:jc w:val="both"/>
        <w:rPr>
          <w:rFonts w:ascii="Times New Roman" w:eastAsia="Times New Roman" w:hAnsi="Times New Roman" w:cs="Times New Roman"/>
          <w:sz w:val="24"/>
          <w:szCs w:val="24"/>
          <w:lang w:eastAsia="ru-RU"/>
        </w:rPr>
      </w:pPr>
      <w:r w:rsidRPr="004032F4">
        <w:rPr>
          <w:rFonts w:ascii="Times New Roman" w:eastAsia="Times New Roman" w:hAnsi="Times New Roman" w:cs="Times New Roman"/>
          <w:sz w:val="24"/>
          <w:szCs w:val="24"/>
          <w:lang w:eastAsia="ru-RU"/>
        </w:rPr>
        <w:t xml:space="preserve">город Новомосковск – </w:t>
      </w:r>
      <w:r w:rsidR="00C503F3" w:rsidRPr="004032F4">
        <w:rPr>
          <w:rFonts w:ascii="Times New Roman" w:eastAsia="Times New Roman" w:hAnsi="Times New Roman" w:cs="Times New Roman"/>
          <w:sz w:val="24"/>
          <w:szCs w:val="24"/>
          <w:lang w:eastAsia="ru-RU"/>
        </w:rPr>
        <w:t>3 189,0</w:t>
      </w:r>
      <w:r w:rsidRPr="004032F4">
        <w:rPr>
          <w:rFonts w:ascii="Times New Roman" w:eastAsia="Times New Roman" w:hAnsi="Times New Roman" w:cs="Times New Roman"/>
          <w:sz w:val="24"/>
          <w:szCs w:val="24"/>
          <w:lang w:eastAsia="ru-RU"/>
        </w:rPr>
        <w:t xml:space="preserve"> млн. рублей (</w:t>
      </w:r>
      <w:r w:rsidR="00C503F3" w:rsidRPr="004032F4">
        <w:rPr>
          <w:rFonts w:ascii="Times New Roman" w:eastAsia="Times New Roman" w:hAnsi="Times New Roman" w:cs="Times New Roman"/>
          <w:sz w:val="24"/>
          <w:szCs w:val="24"/>
          <w:lang w:eastAsia="ru-RU"/>
        </w:rPr>
        <w:t>8,7</w:t>
      </w:r>
      <w:r w:rsidRPr="004032F4">
        <w:rPr>
          <w:rFonts w:ascii="Times New Roman" w:eastAsia="Times New Roman" w:hAnsi="Times New Roman" w:cs="Times New Roman"/>
          <w:sz w:val="24"/>
          <w:szCs w:val="24"/>
          <w:lang w:eastAsia="ru-RU"/>
        </w:rPr>
        <w:t>%);</w:t>
      </w:r>
    </w:p>
    <w:p w14:paraId="2C2A7325" w14:textId="29DEE660" w:rsidR="00E7584D" w:rsidRPr="004032F4" w:rsidRDefault="00E7584D" w:rsidP="00E7584D">
      <w:pPr>
        <w:spacing w:after="0" w:line="240" w:lineRule="auto"/>
        <w:ind w:firstLine="709"/>
        <w:jc w:val="both"/>
        <w:rPr>
          <w:rFonts w:ascii="Times New Roman" w:eastAsia="Calibri" w:hAnsi="Times New Roman" w:cs="Times New Roman"/>
          <w:sz w:val="24"/>
          <w:szCs w:val="24"/>
        </w:rPr>
      </w:pPr>
      <w:r w:rsidRPr="004032F4">
        <w:rPr>
          <w:rFonts w:ascii="Times New Roman" w:eastAsia="Times New Roman" w:hAnsi="Times New Roman" w:cs="Times New Roman"/>
          <w:sz w:val="24"/>
          <w:szCs w:val="24"/>
          <w:lang w:eastAsia="ru-RU"/>
        </w:rPr>
        <w:t xml:space="preserve">город Тула – </w:t>
      </w:r>
      <w:r w:rsidR="00C503F3" w:rsidRPr="004032F4">
        <w:rPr>
          <w:rFonts w:ascii="Times New Roman" w:eastAsia="Times New Roman" w:hAnsi="Times New Roman" w:cs="Times New Roman"/>
          <w:sz w:val="24"/>
          <w:szCs w:val="24"/>
          <w:lang w:eastAsia="ru-RU"/>
        </w:rPr>
        <w:t>13 791,8</w:t>
      </w:r>
      <w:r w:rsidRPr="004032F4">
        <w:rPr>
          <w:rFonts w:ascii="Times New Roman" w:eastAsia="Times New Roman" w:hAnsi="Times New Roman" w:cs="Times New Roman"/>
          <w:sz w:val="24"/>
          <w:szCs w:val="24"/>
          <w:lang w:eastAsia="ru-RU"/>
        </w:rPr>
        <w:t xml:space="preserve"> млн. рублей (</w:t>
      </w:r>
      <w:r w:rsidR="00C503F3" w:rsidRPr="004032F4">
        <w:rPr>
          <w:rFonts w:ascii="Times New Roman" w:eastAsia="Times New Roman" w:hAnsi="Times New Roman" w:cs="Times New Roman"/>
          <w:sz w:val="24"/>
          <w:szCs w:val="24"/>
          <w:lang w:eastAsia="ru-RU"/>
        </w:rPr>
        <w:t>37</w:t>
      </w:r>
      <w:r w:rsidR="00A33806" w:rsidRPr="004032F4">
        <w:rPr>
          <w:rFonts w:ascii="Times New Roman" w:eastAsia="Times New Roman" w:hAnsi="Times New Roman" w:cs="Times New Roman"/>
          <w:sz w:val="24"/>
          <w:szCs w:val="24"/>
          <w:lang w:eastAsia="ru-RU"/>
        </w:rPr>
        <w:t>,6</w:t>
      </w:r>
      <w:r w:rsidRPr="004032F4">
        <w:rPr>
          <w:rFonts w:ascii="Times New Roman" w:eastAsia="Times New Roman" w:hAnsi="Times New Roman" w:cs="Times New Roman"/>
          <w:sz w:val="24"/>
          <w:szCs w:val="24"/>
          <w:lang w:eastAsia="ru-RU"/>
        </w:rPr>
        <w:t>%).</w:t>
      </w:r>
    </w:p>
    <w:p w14:paraId="77C9E1D2" w14:textId="1D28E4D0" w:rsidR="000936C2" w:rsidRPr="004032F4" w:rsidRDefault="000936C2" w:rsidP="000936C2">
      <w:pPr>
        <w:spacing w:before="120" w:after="0" w:line="240" w:lineRule="auto"/>
        <w:ind w:firstLine="709"/>
        <w:jc w:val="both"/>
        <w:rPr>
          <w:rFonts w:ascii="Times New Roman" w:eastAsia="Calibri" w:hAnsi="Times New Roman" w:cs="Times New Roman"/>
          <w:sz w:val="28"/>
          <w:szCs w:val="28"/>
        </w:rPr>
      </w:pPr>
      <w:r w:rsidRPr="004032F4">
        <w:rPr>
          <w:rFonts w:ascii="Times New Roman" w:eastAsia="Times New Roman" w:hAnsi="Times New Roman" w:cs="Times New Roman"/>
          <w:spacing w:val="4"/>
          <w:kern w:val="28"/>
          <w:sz w:val="28"/>
          <w:szCs w:val="28"/>
          <w:lang w:eastAsia="ru-RU"/>
        </w:rPr>
        <w:t xml:space="preserve">На </w:t>
      </w:r>
      <w:r w:rsidR="00933509" w:rsidRPr="004032F4">
        <w:rPr>
          <w:rFonts w:ascii="Times New Roman" w:eastAsia="Times New Roman" w:hAnsi="Times New Roman" w:cs="Times New Roman"/>
          <w:spacing w:val="4"/>
          <w:kern w:val="28"/>
          <w:sz w:val="28"/>
          <w:szCs w:val="28"/>
          <w:lang w:eastAsia="ru-RU"/>
        </w:rPr>
        <w:t>2025</w:t>
      </w:r>
      <w:r w:rsidRPr="004032F4">
        <w:rPr>
          <w:rFonts w:ascii="Times New Roman" w:eastAsia="Times New Roman" w:hAnsi="Times New Roman" w:cs="Times New Roman"/>
          <w:spacing w:val="4"/>
          <w:kern w:val="28"/>
          <w:sz w:val="28"/>
          <w:szCs w:val="28"/>
          <w:lang w:eastAsia="ru-RU"/>
        </w:rPr>
        <w:t xml:space="preserve"> год объем распределенных</w:t>
      </w:r>
      <w:r w:rsidRPr="004032F4">
        <w:rPr>
          <w:rFonts w:ascii="Times New Roman" w:eastAsia="Calibri" w:hAnsi="Times New Roman" w:cs="Times New Roman"/>
          <w:sz w:val="28"/>
          <w:szCs w:val="28"/>
        </w:rPr>
        <w:t xml:space="preserve"> межбюджетных трансфертов составляет </w:t>
      </w:r>
      <w:r w:rsidR="00206037" w:rsidRPr="004032F4">
        <w:rPr>
          <w:rFonts w:ascii="Times New Roman" w:eastAsia="Calibri" w:hAnsi="Times New Roman" w:cs="Times New Roman"/>
          <w:sz w:val="28"/>
          <w:szCs w:val="28"/>
        </w:rPr>
        <w:t>36 673,7</w:t>
      </w:r>
      <w:r w:rsidRPr="004032F4">
        <w:rPr>
          <w:rFonts w:ascii="Times New Roman" w:eastAsia="Calibri" w:hAnsi="Times New Roman" w:cs="Times New Roman"/>
          <w:sz w:val="28"/>
          <w:szCs w:val="28"/>
        </w:rPr>
        <w:t xml:space="preserve"> млн. рублей, или 9</w:t>
      </w:r>
      <w:r w:rsidR="00206037" w:rsidRPr="004032F4">
        <w:rPr>
          <w:rFonts w:ascii="Times New Roman" w:eastAsia="Calibri" w:hAnsi="Times New Roman" w:cs="Times New Roman"/>
          <w:sz w:val="28"/>
          <w:szCs w:val="28"/>
        </w:rPr>
        <w:t>1,9</w:t>
      </w:r>
      <w:r w:rsidRPr="004032F4">
        <w:rPr>
          <w:rFonts w:ascii="Times New Roman" w:eastAsia="Calibri" w:hAnsi="Times New Roman" w:cs="Times New Roman"/>
          <w:sz w:val="28"/>
          <w:szCs w:val="28"/>
        </w:rPr>
        <w:t xml:space="preserve">% от общего объема межбюджетных трансфертов </w:t>
      </w:r>
      <w:r w:rsidRPr="004032F4">
        <w:rPr>
          <w:rFonts w:ascii="Times New Roman" w:eastAsia="Calibri" w:hAnsi="Times New Roman" w:cs="Times New Roman"/>
          <w:sz w:val="24"/>
          <w:szCs w:val="24"/>
        </w:rPr>
        <w:t xml:space="preserve">(подлежит распределению </w:t>
      </w:r>
      <w:r w:rsidR="00206037" w:rsidRPr="004032F4">
        <w:rPr>
          <w:rFonts w:ascii="Times New Roman" w:eastAsia="Calibri" w:hAnsi="Times New Roman" w:cs="Times New Roman"/>
          <w:sz w:val="24"/>
          <w:szCs w:val="24"/>
        </w:rPr>
        <w:t>3 252,9</w:t>
      </w:r>
      <w:r w:rsidRPr="004032F4">
        <w:rPr>
          <w:rFonts w:ascii="Times New Roman" w:eastAsia="Calibri" w:hAnsi="Times New Roman" w:cs="Times New Roman"/>
          <w:sz w:val="24"/>
          <w:szCs w:val="24"/>
        </w:rPr>
        <w:t xml:space="preserve"> млн. рублей, из них: </w:t>
      </w:r>
      <w:r w:rsidR="00206037" w:rsidRPr="004032F4">
        <w:rPr>
          <w:rFonts w:ascii="Times New Roman" w:eastAsia="Calibri" w:hAnsi="Times New Roman" w:cs="Times New Roman"/>
          <w:sz w:val="24"/>
          <w:szCs w:val="24"/>
        </w:rPr>
        <w:t>735,4</w:t>
      </w:r>
      <w:r w:rsidRPr="004032F4">
        <w:rPr>
          <w:rFonts w:ascii="Times New Roman" w:eastAsia="Calibri" w:hAnsi="Times New Roman" w:cs="Times New Roman"/>
          <w:sz w:val="24"/>
          <w:szCs w:val="24"/>
        </w:rPr>
        <w:t xml:space="preserve"> млн. рублей – дотации; </w:t>
      </w:r>
      <w:r w:rsidR="00206037" w:rsidRPr="004032F4">
        <w:rPr>
          <w:rFonts w:ascii="Times New Roman" w:eastAsia="Calibri" w:hAnsi="Times New Roman" w:cs="Times New Roman"/>
          <w:sz w:val="24"/>
          <w:szCs w:val="24"/>
        </w:rPr>
        <w:t>1 697,3</w:t>
      </w:r>
      <w:r w:rsidRPr="004032F4">
        <w:rPr>
          <w:rFonts w:ascii="Times New Roman" w:eastAsia="Calibri" w:hAnsi="Times New Roman" w:cs="Times New Roman"/>
          <w:sz w:val="24"/>
          <w:szCs w:val="24"/>
        </w:rPr>
        <w:t xml:space="preserve"> млн. рублей – субсидии; 100,0 млн. рублей – субвенции; </w:t>
      </w:r>
      <w:r w:rsidR="00206037" w:rsidRPr="004032F4">
        <w:rPr>
          <w:rFonts w:ascii="Times New Roman" w:eastAsia="Calibri" w:hAnsi="Times New Roman" w:cs="Times New Roman"/>
          <w:sz w:val="24"/>
          <w:szCs w:val="24"/>
        </w:rPr>
        <w:t>7</w:t>
      </w:r>
      <w:r w:rsidR="00A33806" w:rsidRPr="004032F4">
        <w:rPr>
          <w:rFonts w:ascii="Times New Roman" w:eastAsia="Calibri" w:hAnsi="Times New Roman" w:cs="Times New Roman"/>
          <w:sz w:val="24"/>
          <w:szCs w:val="24"/>
        </w:rPr>
        <w:t>20,2</w:t>
      </w:r>
      <w:r w:rsidRPr="004032F4">
        <w:rPr>
          <w:rFonts w:ascii="Times New Roman" w:eastAsia="Calibri" w:hAnsi="Times New Roman" w:cs="Times New Roman"/>
          <w:sz w:val="24"/>
          <w:szCs w:val="24"/>
        </w:rPr>
        <w:t xml:space="preserve"> млн. рублей – иные межбюджетные трансферты)</w:t>
      </w:r>
      <w:r w:rsidRPr="004032F4">
        <w:rPr>
          <w:rFonts w:ascii="Times New Roman" w:eastAsia="Calibri" w:hAnsi="Times New Roman" w:cs="Times New Roman"/>
          <w:sz w:val="28"/>
          <w:szCs w:val="28"/>
        </w:rPr>
        <w:t>.</w:t>
      </w:r>
    </w:p>
    <w:p w14:paraId="0F9B6DC5" w14:textId="105594EA" w:rsidR="005036FD" w:rsidRPr="004032F4" w:rsidRDefault="005036FD" w:rsidP="009C42EF">
      <w:pPr>
        <w:spacing w:before="240" w:after="0" w:line="240" w:lineRule="auto"/>
        <w:ind w:left="709"/>
        <w:jc w:val="both"/>
        <w:rPr>
          <w:rFonts w:ascii="Times New Roman" w:eastAsia="Calibri" w:hAnsi="Times New Roman" w:cs="Times New Roman"/>
          <w:b/>
          <w:i/>
          <w:spacing w:val="-4"/>
          <w:sz w:val="28"/>
          <w:szCs w:val="28"/>
        </w:rPr>
      </w:pPr>
      <w:r w:rsidRPr="004032F4">
        <w:rPr>
          <w:rFonts w:ascii="Times New Roman" w:eastAsia="Calibri" w:hAnsi="Times New Roman" w:cs="Times New Roman"/>
          <w:b/>
          <w:spacing w:val="-4"/>
          <w:sz w:val="28"/>
          <w:szCs w:val="28"/>
        </w:rPr>
        <w:t>4.2. </w:t>
      </w:r>
      <w:r w:rsidRPr="004032F4">
        <w:rPr>
          <w:rFonts w:ascii="Times New Roman" w:eastAsia="Calibri" w:hAnsi="Times New Roman" w:cs="Times New Roman"/>
          <w:i/>
          <w:spacing w:val="-4"/>
          <w:sz w:val="28"/>
          <w:szCs w:val="28"/>
        </w:rPr>
        <w:t>Межбюджетные трансферты федеральному бюджету</w:t>
      </w:r>
      <w:r w:rsidR="003116B6" w:rsidRPr="004032F4">
        <w:rPr>
          <w:rFonts w:ascii="Times New Roman" w:eastAsia="Calibri" w:hAnsi="Times New Roman" w:cs="Times New Roman"/>
          <w:i/>
          <w:spacing w:val="-4"/>
          <w:sz w:val="28"/>
          <w:szCs w:val="28"/>
        </w:rPr>
        <w:t xml:space="preserve"> и бюджету Фонда пенсионного и социального страхования РФ </w:t>
      </w:r>
    </w:p>
    <w:p w14:paraId="5A320CE8" w14:textId="16F25EAB" w:rsidR="004C1DE9" w:rsidRPr="004032F4" w:rsidRDefault="005036FD" w:rsidP="002B2848">
      <w:pPr>
        <w:tabs>
          <w:tab w:val="left" w:pos="1134"/>
        </w:tabs>
        <w:spacing w:after="0" w:line="240" w:lineRule="auto"/>
        <w:ind w:firstLine="709"/>
        <w:jc w:val="both"/>
        <w:rPr>
          <w:rFonts w:ascii="Times New Roman" w:eastAsia="Calibri" w:hAnsi="Times New Roman" w:cs="Times New Roman"/>
          <w:spacing w:val="-6"/>
          <w:sz w:val="28"/>
          <w:szCs w:val="28"/>
        </w:rPr>
      </w:pPr>
      <w:r w:rsidRPr="004032F4">
        <w:rPr>
          <w:rFonts w:ascii="Times New Roman" w:eastAsia="Calibri" w:hAnsi="Times New Roman" w:cs="Times New Roman"/>
          <w:spacing w:val="-6"/>
          <w:sz w:val="28"/>
          <w:szCs w:val="28"/>
        </w:rPr>
        <w:t>Частью 1 статьи 1</w:t>
      </w:r>
      <w:r w:rsidR="00206037" w:rsidRPr="004032F4">
        <w:rPr>
          <w:rFonts w:ascii="Times New Roman" w:eastAsia="Calibri" w:hAnsi="Times New Roman" w:cs="Times New Roman"/>
          <w:spacing w:val="-6"/>
          <w:sz w:val="28"/>
          <w:szCs w:val="28"/>
        </w:rPr>
        <w:t>6</w:t>
      </w:r>
      <w:r w:rsidRPr="004032F4">
        <w:rPr>
          <w:rFonts w:ascii="Times New Roman" w:eastAsia="Calibri" w:hAnsi="Times New Roman" w:cs="Times New Roman"/>
          <w:spacing w:val="-6"/>
          <w:sz w:val="28"/>
          <w:szCs w:val="28"/>
        </w:rPr>
        <w:t xml:space="preserve"> Законопроекта предусматриваются бюджетные ассигнования на предоставление </w:t>
      </w:r>
      <w:r w:rsidRPr="004032F4">
        <w:rPr>
          <w:rFonts w:ascii="Times New Roman" w:eastAsia="Calibri" w:hAnsi="Times New Roman" w:cs="Times New Roman"/>
          <w:i/>
          <w:spacing w:val="-6"/>
          <w:sz w:val="28"/>
          <w:szCs w:val="28"/>
        </w:rPr>
        <w:t>субвенций федеральному бюджету</w:t>
      </w:r>
      <w:r w:rsidRPr="004032F4">
        <w:rPr>
          <w:rFonts w:ascii="Times New Roman" w:eastAsia="Calibri" w:hAnsi="Times New Roman" w:cs="Times New Roman"/>
          <w:spacing w:val="-6"/>
          <w:sz w:val="28"/>
          <w:szCs w:val="28"/>
        </w:rPr>
        <w:t xml:space="preserve"> </w:t>
      </w:r>
      <w:r w:rsidR="00206037" w:rsidRPr="004032F4">
        <w:rPr>
          <w:rFonts w:ascii="Times New Roman" w:eastAsia="Calibri" w:hAnsi="Times New Roman" w:cs="Times New Roman"/>
          <w:spacing w:val="-6"/>
          <w:sz w:val="28"/>
          <w:szCs w:val="28"/>
        </w:rPr>
        <w:t xml:space="preserve">на финансовое обеспечение полномочий по составлению протоколов об административных правонарушениях, посягающих на общественный порядок и общественную безопасность </w:t>
      </w:r>
      <w:r w:rsidRPr="004032F4">
        <w:rPr>
          <w:rFonts w:ascii="Times New Roman" w:eastAsia="Calibri" w:hAnsi="Times New Roman" w:cs="Times New Roman"/>
          <w:spacing w:val="-6"/>
          <w:sz w:val="28"/>
          <w:szCs w:val="28"/>
        </w:rPr>
        <w:t xml:space="preserve">на </w:t>
      </w:r>
      <w:r w:rsidR="00933509" w:rsidRPr="004032F4">
        <w:rPr>
          <w:rFonts w:ascii="Times New Roman" w:eastAsia="Calibri" w:hAnsi="Times New Roman" w:cs="Times New Roman"/>
          <w:spacing w:val="-6"/>
          <w:sz w:val="28"/>
          <w:szCs w:val="28"/>
        </w:rPr>
        <w:t>2025</w:t>
      </w:r>
      <w:r w:rsidR="003116B6" w:rsidRPr="004032F4">
        <w:rPr>
          <w:rFonts w:ascii="Times New Roman" w:eastAsia="Calibri" w:hAnsi="Times New Roman" w:cs="Times New Roman"/>
          <w:spacing w:val="-6"/>
          <w:sz w:val="28"/>
          <w:szCs w:val="28"/>
        </w:rPr>
        <w:t xml:space="preserve"> год в сумме </w:t>
      </w:r>
      <w:r w:rsidR="00206037" w:rsidRPr="004032F4">
        <w:rPr>
          <w:rFonts w:ascii="Times New Roman" w:eastAsia="Calibri" w:hAnsi="Times New Roman" w:cs="Times New Roman"/>
          <w:spacing w:val="-6"/>
          <w:sz w:val="28"/>
          <w:szCs w:val="28"/>
        </w:rPr>
        <w:t>2,7</w:t>
      </w:r>
      <w:r w:rsidR="003116B6" w:rsidRPr="004032F4">
        <w:rPr>
          <w:rFonts w:ascii="Times New Roman" w:eastAsia="Calibri" w:hAnsi="Times New Roman" w:cs="Times New Roman"/>
          <w:spacing w:val="-6"/>
          <w:sz w:val="28"/>
          <w:szCs w:val="28"/>
        </w:rPr>
        <w:t xml:space="preserve"> млн. рублей, на </w:t>
      </w:r>
      <w:r w:rsidR="00933509" w:rsidRPr="004032F4">
        <w:rPr>
          <w:rFonts w:ascii="Times New Roman" w:eastAsia="Calibri" w:hAnsi="Times New Roman" w:cs="Times New Roman"/>
          <w:spacing w:val="-6"/>
          <w:sz w:val="28"/>
          <w:szCs w:val="28"/>
        </w:rPr>
        <w:t>2026</w:t>
      </w:r>
      <w:r w:rsidR="003116B6" w:rsidRPr="004032F4">
        <w:rPr>
          <w:rFonts w:ascii="Times New Roman" w:eastAsia="Calibri" w:hAnsi="Times New Roman" w:cs="Times New Roman"/>
          <w:spacing w:val="-6"/>
          <w:sz w:val="28"/>
          <w:szCs w:val="28"/>
        </w:rPr>
        <w:t xml:space="preserve"> и </w:t>
      </w:r>
      <w:r w:rsidR="00933509" w:rsidRPr="004032F4">
        <w:rPr>
          <w:rFonts w:ascii="Times New Roman" w:eastAsia="Calibri" w:hAnsi="Times New Roman" w:cs="Times New Roman"/>
          <w:spacing w:val="-6"/>
          <w:sz w:val="28"/>
          <w:szCs w:val="28"/>
        </w:rPr>
        <w:t>2027</w:t>
      </w:r>
      <w:r w:rsidR="003116B6" w:rsidRPr="004032F4">
        <w:rPr>
          <w:rFonts w:ascii="Times New Roman" w:eastAsia="Calibri" w:hAnsi="Times New Roman" w:cs="Times New Roman"/>
          <w:spacing w:val="-6"/>
          <w:sz w:val="28"/>
          <w:szCs w:val="28"/>
        </w:rPr>
        <w:t xml:space="preserve"> годы по 2,3 </w:t>
      </w:r>
      <w:r w:rsidR="00136ACD" w:rsidRPr="004032F4">
        <w:rPr>
          <w:rFonts w:ascii="Times New Roman" w:eastAsia="Calibri" w:hAnsi="Times New Roman" w:cs="Times New Roman"/>
          <w:spacing w:val="-6"/>
          <w:sz w:val="28"/>
          <w:szCs w:val="28"/>
        </w:rPr>
        <w:t>млн</w:t>
      </w:r>
      <w:r w:rsidRPr="004032F4">
        <w:rPr>
          <w:rFonts w:ascii="Times New Roman" w:eastAsia="Calibri" w:hAnsi="Times New Roman" w:cs="Times New Roman"/>
          <w:spacing w:val="-6"/>
          <w:sz w:val="28"/>
          <w:szCs w:val="28"/>
        </w:rPr>
        <w:t xml:space="preserve">. рублей </w:t>
      </w:r>
      <w:r w:rsidR="007821FB" w:rsidRPr="004032F4">
        <w:rPr>
          <w:rFonts w:ascii="Times New Roman" w:eastAsia="Calibri" w:hAnsi="Times New Roman" w:cs="Times New Roman"/>
          <w:spacing w:val="-6"/>
          <w:sz w:val="28"/>
          <w:szCs w:val="28"/>
        </w:rPr>
        <w:t>в каждый год</w:t>
      </w:r>
      <w:r w:rsidR="004C1DE9" w:rsidRPr="004032F4">
        <w:rPr>
          <w:rFonts w:ascii="Times New Roman" w:eastAsia="Calibri" w:hAnsi="Times New Roman" w:cs="Times New Roman"/>
          <w:spacing w:val="-6"/>
          <w:sz w:val="28"/>
          <w:szCs w:val="28"/>
        </w:rPr>
        <w:t>.</w:t>
      </w:r>
    </w:p>
    <w:p w14:paraId="38EE6DBA" w14:textId="2DDB7964" w:rsidR="00012884" w:rsidRPr="004032F4" w:rsidRDefault="004C1DE9" w:rsidP="002B2848">
      <w:pPr>
        <w:spacing w:after="0" w:line="240" w:lineRule="auto"/>
        <w:ind w:firstLine="709"/>
        <w:jc w:val="both"/>
        <w:rPr>
          <w:rFonts w:ascii="Times New Roman" w:eastAsia="Calibri" w:hAnsi="Times New Roman" w:cs="Times New Roman"/>
          <w:spacing w:val="-4"/>
          <w:sz w:val="28"/>
          <w:szCs w:val="28"/>
        </w:rPr>
      </w:pPr>
      <w:r w:rsidRPr="004032F4">
        <w:rPr>
          <w:rFonts w:ascii="Times New Roman" w:eastAsia="Calibri" w:hAnsi="Times New Roman" w:cs="Times New Roman"/>
          <w:sz w:val="28"/>
          <w:szCs w:val="28"/>
        </w:rPr>
        <w:t xml:space="preserve">Частью 2 </w:t>
      </w:r>
      <w:r w:rsidR="00712468" w:rsidRPr="004032F4">
        <w:rPr>
          <w:rFonts w:ascii="Times New Roman" w:eastAsia="Calibri" w:hAnsi="Times New Roman" w:cs="Times New Roman"/>
          <w:sz w:val="28"/>
          <w:szCs w:val="28"/>
        </w:rPr>
        <w:t xml:space="preserve">и частью 3 </w:t>
      </w:r>
      <w:r w:rsidRPr="004032F4">
        <w:rPr>
          <w:rFonts w:ascii="Times New Roman" w:eastAsia="Calibri" w:hAnsi="Times New Roman" w:cs="Times New Roman"/>
          <w:sz w:val="28"/>
          <w:szCs w:val="28"/>
        </w:rPr>
        <w:t>статьи 1</w:t>
      </w:r>
      <w:r w:rsidR="00047686" w:rsidRPr="004032F4">
        <w:rPr>
          <w:rFonts w:ascii="Times New Roman" w:eastAsia="Calibri" w:hAnsi="Times New Roman" w:cs="Times New Roman"/>
          <w:sz w:val="28"/>
          <w:szCs w:val="28"/>
        </w:rPr>
        <w:t>6</w:t>
      </w:r>
      <w:r w:rsidRPr="004032F4">
        <w:rPr>
          <w:rFonts w:ascii="Times New Roman" w:eastAsia="Calibri" w:hAnsi="Times New Roman" w:cs="Times New Roman"/>
          <w:sz w:val="28"/>
          <w:szCs w:val="28"/>
        </w:rPr>
        <w:t xml:space="preserve"> Законопроекта предусматриваются </w:t>
      </w:r>
      <w:r w:rsidR="00712468" w:rsidRPr="004032F4">
        <w:rPr>
          <w:rFonts w:ascii="Times New Roman" w:eastAsia="Calibri" w:hAnsi="Times New Roman" w:cs="Times New Roman"/>
          <w:sz w:val="28"/>
          <w:szCs w:val="28"/>
        </w:rPr>
        <w:t xml:space="preserve">бюджетные ассигнования </w:t>
      </w:r>
      <w:r w:rsidR="002B6F54" w:rsidRPr="004032F4">
        <w:rPr>
          <w:rFonts w:ascii="Times New Roman" w:eastAsia="Calibri" w:hAnsi="Times New Roman" w:cs="Times New Roman"/>
          <w:sz w:val="28"/>
          <w:szCs w:val="28"/>
        </w:rPr>
        <w:t xml:space="preserve">на предоставление </w:t>
      </w:r>
      <w:r w:rsidR="002B6F54" w:rsidRPr="004032F4">
        <w:rPr>
          <w:rFonts w:ascii="Times New Roman" w:eastAsia="Calibri" w:hAnsi="Times New Roman" w:cs="Times New Roman"/>
          <w:i/>
          <w:sz w:val="28"/>
          <w:szCs w:val="28"/>
        </w:rPr>
        <w:t xml:space="preserve">межбюджетных трансфертов </w:t>
      </w:r>
      <w:r w:rsidRPr="004032F4">
        <w:rPr>
          <w:rFonts w:ascii="Times New Roman" w:eastAsia="Calibri" w:hAnsi="Times New Roman" w:cs="Times New Roman"/>
          <w:i/>
          <w:sz w:val="28"/>
          <w:szCs w:val="28"/>
        </w:rPr>
        <w:t>Отделению Фонда</w:t>
      </w:r>
      <w:r w:rsidRPr="004032F4">
        <w:rPr>
          <w:rFonts w:ascii="Times New Roman" w:eastAsia="Times New Roman" w:hAnsi="Times New Roman" w:cs="Times New Roman"/>
          <w:sz w:val="28"/>
          <w:szCs w:val="28"/>
          <w:lang w:eastAsia="ru-RU"/>
        </w:rPr>
        <w:t xml:space="preserve"> </w:t>
      </w:r>
      <w:r w:rsidR="007C29FB" w:rsidRPr="004032F4">
        <w:rPr>
          <w:rFonts w:ascii="Times New Roman" w:eastAsia="Calibri" w:hAnsi="Times New Roman" w:cs="Times New Roman"/>
          <w:i/>
          <w:sz w:val="28"/>
          <w:szCs w:val="28"/>
        </w:rPr>
        <w:t>п</w:t>
      </w:r>
      <w:r w:rsidRPr="004032F4">
        <w:rPr>
          <w:rFonts w:ascii="Times New Roman" w:eastAsia="Calibri" w:hAnsi="Times New Roman" w:cs="Times New Roman"/>
          <w:i/>
          <w:sz w:val="28"/>
          <w:szCs w:val="28"/>
        </w:rPr>
        <w:t>енсионного</w:t>
      </w:r>
      <w:r w:rsidRPr="004032F4">
        <w:rPr>
          <w:rFonts w:ascii="Times New Roman" w:eastAsia="Times New Roman" w:hAnsi="Times New Roman" w:cs="Times New Roman"/>
          <w:sz w:val="28"/>
          <w:szCs w:val="28"/>
          <w:lang w:eastAsia="ru-RU"/>
        </w:rPr>
        <w:t xml:space="preserve"> </w:t>
      </w:r>
      <w:r w:rsidRPr="004032F4">
        <w:rPr>
          <w:rFonts w:ascii="Times New Roman" w:eastAsia="Times New Roman" w:hAnsi="Times New Roman" w:cs="Times New Roman"/>
          <w:i/>
          <w:sz w:val="28"/>
          <w:szCs w:val="28"/>
          <w:lang w:eastAsia="ru-RU"/>
        </w:rPr>
        <w:t>и социального страхования</w:t>
      </w:r>
      <w:r w:rsidRPr="004032F4">
        <w:rPr>
          <w:rFonts w:ascii="Times New Roman" w:eastAsia="Calibri" w:hAnsi="Times New Roman" w:cs="Times New Roman"/>
          <w:i/>
          <w:sz w:val="28"/>
          <w:szCs w:val="28"/>
        </w:rPr>
        <w:t xml:space="preserve"> РФ по Тульской </w:t>
      </w:r>
      <w:r w:rsidR="00012884" w:rsidRPr="004032F4">
        <w:rPr>
          <w:rFonts w:ascii="Times New Roman" w:eastAsia="Calibri" w:hAnsi="Times New Roman" w:cs="Times New Roman"/>
          <w:i/>
          <w:sz w:val="28"/>
          <w:szCs w:val="28"/>
        </w:rPr>
        <w:t>области</w:t>
      </w:r>
      <w:r w:rsidR="00012884" w:rsidRPr="004032F4">
        <w:rPr>
          <w:rFonts w:ascii="Times New Roman" w:eastAsia="Calibri" w:hAnsi="Times New Roman" w:cs="Times New Roman"/>
          <w:sz w:val="28"/>
          <w:szCs w:val="28"/>
          <w:vertAlign w:val="superscript"/>
        </w:rPr>
        <w:footnoteReference w:id="29"/>
      </w:r>
      <w:r w:rsidR="00012884" w:rsidRPr="004032F4">
        <w:rPr>
          <w:rFonts w:ascii="Times New Roman" w:eastAsia="Calibri" w:hAnsi="Times New Roman" w:cs="Times New Roman"/>
          <w:sz w:val="28"/>
          <w:szCs w:val="28"/>
        </w:rPr>
        <w:t xml:space="preserve"> на возмещение затрат по выплате пенсий, оформленных безработным гражданам досрочно, на 2025 </w:t>
      </w:r>
      <w:r w:rsidR="00047686" w:rsidRPr="004032F4">
        <w:rPr>
          <w:rFonts w:ascii="Times New Roman" w:eastAsia="Calibri" w:hAnsi="Times New Roman" w:cs="Times New Roman"/>
          <w:sz w:val="28"/>
          <w:szCs w:val="28"/>
        </w:rPr>
        <w:t>-</w:t>
      </w:r>
      <w:r w:rsidR="00012884" w:rsidRPr="004032F4">
        <w:rPr>
          <w:rFonts w:ascii="Times New Roman" w:eastAsia="Calibri" w:hAnsi="Times New Roman" w:cs="Times New Roman"/>
          <w:sz w:val="28"/>
          <w:szCs w:val="28"/>
        </w:rPr>
        <w:t xml:space="preserve"> 2027 годы по 1,4 млн. рублей в каждый год, а также в виде </w:t>
      </w:r>
      <w:r w:rsidR="00012884" w:rsidRPr="004032F4">
        <w:rPr>
          <w:rFonts w:ascii="Times New Roman" w:eastAsia="Calibri" w:hAnsi="Times New Roman" w:cs="Times New Roman"/>
          <w:i/>
          <w:sz w:val="28"/>
          <w:szCs w:val="28"/>
        </w:rPr>
        <w:t>субвенций</w:t>
      </w:r>
      <w:r w:rsidR="00012884" w:rsidRPr="004032F4">
        <w:rPr>
          <w:rFonts w:ascii="Times New Roman" w:eastAsia="Calibri" w:hAnsi="Times New Roman" w:cs="Times New Roman"/>
          <w:sz w:val="28"/>
          <w:szCs w:val="28"/>
        </w:rPr>
        <w:t xml:space="preserve"> на выплату ежемесячного пособия в </w:t>
      </w:r>
      <w:r w:rsidR="00012884" w:rsidRPr="004032F4">
        <w:rPr>
          <w:rFonts w:ascii="Times New Roman" w:eastAsia="Calibri" w:hAnsi="Times New Roman" w:cs="Times New Roman"/>
          <w:sz w:val="28"/>
          <w:szCs w:val="28"/>
        </w:rPr>
        <w:lastRenderedPageBreak/>
        <w:t>связи с рождением и воспитанием ребенка на 2025 год в сумме 2 696,2 млн. рублей, на 2026 год – 2 797,6 млн. рублей, на 2027 год – 2 846,7 млн. рублей.</w:t>
      </w:r>
    </w:p>
    <w:p w14:paraId="670D3D6A" w14:textId="3E6FEB67" w:rsidR="00A54399" w:rsidRPr="004032F4" w:rsidRDefault="00A54399" w:rsidP="002B2848">
      <w:pPr>
        <w:keepNext/>
        <w:keepLines/>
        <w:pBdr>
          <w:bottom w:val="thinThickSmallGap" w:sz="18" w:space="10" w:color="auto"/>
        </w:pBdr>
        <w:suppressAutoHyphens/>
        <w:spacing w:before="240" w:after="0" w:line="240" w:lineRule="auto"/>
        <w:jc w:val="center"/>
        <w:rPr>
          <w:rFonts w:ascii="Times New Roman" w:eastAsia="Calibri" w:hAnsi="Times New Roman" w:cs="Times New Roman"/>
          <w:b/>
          <w:caps/>
          <w:spacing w:val="30"/>
          <w:w w:val="150"/>
          <w:sz w:val="24"/>
          <w:szCs w:val="24"/>
        </w:rPr>
      </w:pPr>
      <w:r w:rsidRPr="004032F4">
        <w:rPr>
          <w:rFonts w:ascii="Times New Roman" w:eastAsia="Calibri" w:hAnsi="Times New Roman" w:cs="Times New Roman"/>
          <w:b/>
          <w:caps/>
          <w:spacing w:val="30"/>
          <w:w w:val="150"/>
          <w:sz w:val="24"/>
          <w:szCs w:val="24"/>
        </w:rPr>
        <w:t>5. ДЕФИЦИТ</w:t>
      </w:r>
      <w:r w:rsidR="004F3931" w:rsidRPr="004032F4">
        <w:rPr>
          <w:rFonts w:ascii="Times New Roman" w:eastAsia="Calibri" w:hAnsi="Times New Roman" w:cs="Times New Roman"/>
          <w:b/>
          <w:caps/>
          <w:spacing w:val="30"/>
          <w:w w:val="150"/>
          <w:sz w:val="24"/>
          <w:szCs w:val="24"/>
        </w:rPr>
        <w:t xml:space="preserve"> БЮДЖЕТА ОБЛАСТИ</w:t>
      </w:r>
      <w:r w:rsidRPr="004032F4">
        <w:rPr>
          <w:rFonts w:ascii="Times New Roman" w:eastAsia="Calibri" w:hAnsi="Times New Roman" w:cs="Times New Roman"/>
          <w:b/>
          <w:caps/>
          <w:spacing w:val="30"/>
          <w:w w:val="150"/>
          <w:sz w:val="24"/>
          <w:szCs w:val="24"/>
        </w:rPr>
        <w:br/>
        <w:t>ГОСУДАРСТВЕННЫЙ ДОЛГ</w:t>
      </w:r>
      <w:r w:rsidR="004F3931" w:rsidRPr="004032F4">
        <w:rPr>
          <w:rFonts w:ascii="Times New Roman" w:eastAsia="Calibri" w:hAnsi="Times New Roman" w:cs="Times New Roman"/>
          <w:b/>
          <w:caps/>
          <w:spacing w:val="30"/>
          <w:w w:val="150"/>
          <w:sz w:val="24"/>
          <w:szCs w:val="24"/>
        </w:rPr>
        <w:t xml:space="preserve"> </w:t>
      </w:r>
      <w:r w:rsidR="0075701E" w:rsidRPr="004032F4">
        <w:rPr>
          <w:rFonts w:ascii="Times New Roman" w:eastAsia="Calibri" w:hAnsi="Times New Roman" w:cs="Times New Roman"/>
          <w:b/>
          <w:caps/>
          <w:spacing w:val="30"/>
          <w:w w:val="150"/>
          <w:sz w:val="24"/>
          <w:szCs w:val="24"/>
        </w:rPr>
        <w:t>ОБЛАСТИ</w:t>
      </w:r>
    </w:p>
    <w:p w14:paraId="7CFFCA05" w14:textId="77777777" w:rsidR="00B16D2C" w:rsidRPr="004032F4" w:rsidRDefault="00B16D2C" w:rsidP="00B16D2C">
      <w:pPr>
        <w:autoSpaceDE w:val="0"/>
        <w:autoSpaceDN w:val="0"/>
        <w:adjustRightInd w:val="0"/>
        <w:spacing w:before="120" w:after="0" w:line="240" w:lineRule="auto"/>
        <w:ind w:firstLine="709"/>
        <w:jc w:val="both"/>
        <w:rPr>
          <w:rFonts w:ascii="Times New Roman" w:hAnsi="Times New Roman" w:cs="Times New Roman"/>
          <w:sz w:val="28"/>
          <w:szCs w:val="28"/>
        </w:rPr>
      </w:pPr>
      <w:r w:rsidRPr="004032F4">
        <w:rPr>
          <w:rFonts w:ascii="Times New Roman" w:eastAsia="Calibri" w:hAnsi="Times New Roman" w:cs="Times New Roman"/>
          <w:kern w:val="28"/>
          <w:sz w:val="28"/>
          <w:szCs w:val="28"/>
        </w:rPr>
        <w:t>Законопроектом на 2025 год предусматривается дефицит бюджета области в размере 6 568,9 млн. рублей (на 6 3</w:t>
      </w:r>
      <w:r w:rsidRPr="004032F4">
        <w:rPr>
          <w:rFonts w:ascii="Times New Roman" w:hAnsi="Times New Roman" w:cs="Times New Roman"/>
          <w:sz w:val="28"/>
          <w:szCs w:val="28"/>
        </w:rPr>
        <w:t>13,7 млн. рублей меньше оценки исполнения за 2024 год</w:t>
      </w:r>
      <w:r w:rsidRPr="004032F4">
        <w:rPr>
          <w:rFonts w:ascii="Times New Roman" w:eastAsia="Calibri" w:hAnsi="Times New Roman" w:cs="Times New Roman"/>
          <w:kern w:val="28"/>
          <w:sz w:val="28"/>
          <w:szCs w:val="28"/>
        </w:rPr>
        <w:t xml:space="preserve">), что составляет 5,4% </w:t>
      </w:r>
      <w:r w:rsidRPr="004032F4">
        <w:rPr>
          <w:rFonts w:ascii="Times New Roman" w:hAnsi="Times New Roman" w:cs="Times New Roman"/>
          <w:sz w:val="28"/>
          <w:szCs w:val="28"/>
        </w:rPr>
        <w:t>общего годового объема доходов бюджета без учета объема безвозмездных поступлений. Размеры дефицита бюджета области соответствуют требованиям пункта 2 статьи 92.1 БК РФ и требованиям соглашения с Минфином России (не выше 10%).</w:t>
      </w:r>
    </w:p>
    <w:p w14:paraId="7BF60CF6" w14:textId="77777777" w:rsidR="00B16D2C" w:rsidRPr="004032F4" w:rsidRDefault="00B16D2C" w:rsidP="007E0556">
      <w:pPr>
        <w:autoSpaceDE w:val="0"/>
        <w:autoSpaceDN w:val="0"/>
        <w:adjustRightInd w:val="0"/>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На 2026 и 2027 годы Законопроектом предполагается профицит в размерах соответственно 1 203,3 млн. рублей и 5 744,9 млн. рублей.</w:t>
      </w:r>
    </w:p>
    <w:p w14:paraId="2DD0B676" w14:textId="731DBE64" w:rsidR="00932C5B" w:rsidRPr="004032F4" w:rsidRDefault="00932C5B" w:rsidP="007E0556">
      <w:pPr>
        <w:spacing w:after="0" w:line="240" w:lineRule="auto"/>
        <w:ind w:firstLine="709"/>
        <w:jc w:val="both"/>
        <w:rPr>
          <w:rFonts w:ascii="Times New Roman" w:eastAsia="SimSun" w:hAnsi="Times New Roman" w:cs="Times New Roman"/>
          <w:sz w:val="28"/>
          <w:szCs w:val="28"/>
          <w:lang w:eastAsia="zh-CN"/>
        </w:rPr>
      </w:pPr>
      <w:r w:rsidRPr="004032F4">
        <w:rPr>
          <w:rFonts w:ascii="Times New Roman" w:eastAsia="SimSun" w:hAnsi="Times New Roman" w:cs="Times New Roman"/>
          <w:sz w:val="28"/>
          <w:szCs w:val="28"/>
          <w:lang w:eastAsia="zh-CN"/>
        </w:rPr>
        <w:t xml:space="preserve">Источники финансирования дефицита бюджета, предусмотренные </w:t>
      </w:r>
      <w:r w:rsidRPr="004032F4">
        <w:rPr>
          <w:rFonts w:ascii="Times New Roman" w:hAnsi="Times New Roman" w:cs="Times New Roman"/>
          <w:sz w:val="28"/>
          <w:szCs w:val="28"/>
        </w:rPr>
        <w:t>приложениями №2</w:t>
      </w:r>
      <w:r w:rsidR="00B16D2C" w:rsidRPr="004032F4">
        <w:rPr>
          <w:rFonts w:ascii="Times New Roman" w:hAnsi="Times New Roman" w:cs="Times New Roman"/>
          <w:sz w:val="28"/>
          <w:szCs w:val="28"/>
        </w:rPr>
        <w:t>1</w:t>
      </w:r>
      <w:r w:rsidRPr="004032F4">
        <w:rPr>
          <w:rFonts w:ascii="Times New Roman" w:hAnsi="Times New Roman" w:cs="Times New Roman"/>
          <w:sz w:val="28"/>
          <w:szCs w:val="28"/>
        </w:rPr>
        <w:t xml:space="preserve"> и №2</w:t>
      </w:r>
      <w:r w:rsidR="00B16D2C" w:rsidRPr="004032F4">
        <w:rPr>
          <w:rFonts w:ascii="Times New Roman" w:hAnsi="Times New Roman" w:cs="Times New Roman"/>
          <w:sz w:val="28"/>
          <w:szCs w:val="28"/>
        </w:rPr>
        <w:t>2</w:t>
      </w:r>
      <w:r w:rsidRPr="004032F4">
        <w:rPr>
          <w:rFonts w:ascii="Times New Roman" w:hAnsi="Times New Roman" w:cs="Times New Roman"/>
          <w:sz w:val="28"/>
          <w:szCs w:val="28"/>
        </w:rPr>
        <w:t xml:space="preserve"> к </w:t>
      </w:r>
      <w:r w:rsidRPr="004032F4">
        <w:rPr>
          <w:rFonts w:ascii="Times New Roman" w:eastAsia="SimSun" w:hAnsi="Times New Roman" w:cs="Times New Roman"/>
          <w:sz w:val="28"/>
          <w:szCs w:val="28"/>
          <w:lang w:eastAsia="zh-CN"/>
        </w:rPr>
        <w:t xml:space="preserve">Законопроекту, </w:t>
      </w:r>
      <w:r w:rsidRPr="004032F4">
        <w:rPr>
          <w:rFonts w:ascii="Times New Roman" w:eastAsia="Times New Roman" w:hAnsi="Times New Roman" w:cs="Times New Roman"/>
          <w:sz w:val="28"/>
          <w:szCs w:val="28"/>
          <w:lang w:eastAsia="ru-RU"/>
        </w:rPr>
        <w:t>сформированы из числа</w:t>
      </w:r>
      <w:r w:rsidRPr="004032F4">
        <w:rPr>
          <w:rFonts w:ascii="Times New Roman" w:eastAsia="SimSun" w:hAnsi="Times New Roman" w:cs="Times New Roman"/>
          <w:sz w:val="28"/>
          <w:szCs w:val="28"/>
          <w:lang w:eastAsia="zh-CN"/>
        </w:rPr>
        <w:t xml:space="preserve"> источников, предусмотренных статьей 95 БК РФ для бюджетов субъектов РФ, их общий объем по годам соответствует прогнозируемому объему дефицита бюджета</w:t>
      </w:r>
      <w:r w:rsidR="008D35CD" w:rsidRPr="004032F4">
        <w:rPr>
          <w:rFonts w:ascii="Times New Roman" w:eastAsia="SimSun" w:hAnsi="Times New Roman" w:cs="Times New Roman"/>
          <w:sz w:val="28"/>
          <w:szCs w:val="28"/>
          <w:lang w:eastAsia="zh-CN"/>
        </w:rPr>
        <w:t>.</w:t>
      </w:r>
    </w:p>
    <w:p w14:paraId="3AF4AA4E" w14:textId="65870EB5" w:rsidR="00932C5B" w:rsidRPr="004032F4" w:rsidRDefault="00E868BF" w:rsidP="007E0556">
      <w:pPr>
        <w:spacing w:after="0" w:line="240" w:lineRule="auto"/>
        <w:ind w:firstLine="709"/>
        <w:jc w:val="both"/>
        <w:rPr>
          <w:rFonts w:ascii="Times New Roman" w:eastAsia="SimSun" w:hAnsi="Times New Roman" w:cs="Times New Roman"/>
          <w:sz w:val="28"/>
          <w:szCs w:val="28"/>
          <w:lang w:eastAsia="zh-CN"/>
        </w:rPr>
      </w:pPr>
      <w:r w:rsidRPr="004032F4">
        <w:rPr>
          <w:rFonts w:ascii="Times New Roman" w:eastAsia="SimSun" w:hAnsi="Times New Roman" w:cs="Times New Roman"/>
          <w:sz w:val="28"/>
          <w:szCs w:val="28"/>
          <w:lang w:eastAsia="zh-CN"/>
        </w:rPr>
        <w:t xml:space="preserve">В статье 17 Законопроекта и приложениях №21 и №22 </w:t>
      </w:r>
      <w:r w:rsidR="00932C5B" w:rsidRPr="004032F4">
        <w:rPr>
          <w:rFonts w:ascii="Times New Roman" w:eastAsia="SimSun" w:hAnsi="Times New Roman" w:cs="Times New Roman"/>
          <w:sz w:val="28"/>
          <w:szCs w:val="28"/>
          <w:lang w:eastAsia="zh-CN"/>
        </w:rPr>
        <w:t xml:space="preserve">к Законопроекту предусматривается предоставление бюджетам муниципальных </w:t>
      </w:r>
      <w:r w:rsidR="00047686" w:rsidRPr="004032F4">
        <w:rPr>
          <w:rFonts w:ascii="Times New Roman" w:eastAsia="SimSun" w:hAnsi="Times New Roman" w:cs="Times New Roman"/>
          <w:sz w:val="28"/>
          <w:szCs w:val="28"/>
          <w:lang w:eastAsia="zh-CN"/>
        </w:rPr>
        <w:t>образований</w:t>
      </w:r>
      <w:r w:rsidR="00932C5B" w:rsidRPr="004032F4">
        <w:rPr>
          <w:rFonts w:ascii="Times New Roman" w:eastAsia="SimSun" w:hAnsi="Times New Roman" w:cs="Times New Roman"/>
          <w:sz w:val="28"/>
          <w:szCs w:val="28"/>
          <w:lang w:eastAsia="zh-CN"/>
        </w:rPr>
        <w:t xml:space="preserve"> Тульской области бюджетных кредитов в объеме 100,0 млн. рублей ежегодно на покрытие временных кассовых разрывов и для частичного покрытия дефицитов бюджетов.</w:t>
      </w:r>
    </w:p>
    <w:p w14:paraId="482AD163" w14:textId="77777777" w:rsidR="007B2026" w:rsidRPr="004032F4" w:rsidRDefault="009721E4" w:rsidP="007E0556">
      <w:pPr>
        <w:spacing w:after="0" w:line="240" w:lineRule="auto"/>
        <w:ind w:firstLine="709"/>
        <w:jc w:val="both"/>
        <w:rPr>
          <w:rFonts w:ascii="Times New Roman" w:eastAsia="SimSun" w:hAnsi="Times New Roman" w:cs="Times New Roman"/>
          <w:sz w:val="28"/>
          <w:szCs w:val="28"/>
          <w:lang w:eastAsia="zh-CN"/>
        </w:rPr>
      </w:pPr>
      <w:r w:rsidRPr="004032F4">
        <w:rPr>
          <w:rFonts w:ascii="Times New Roman" w:eastAsia="SimSun" w:hAnsi="Times New Roman" w:cs="Times New Roman"/>
          <w:sz w:val="28"/>
          <w:szCs w:val="28"/>
          <w:lang w:eastAsia="zh-CN"/>
        </w:rPr>
        <w:t xml:space="preserve">Статьей 19 Законопроекта Правительству Тульской области предоставляется </w:t>
      </w:r>
      <w:r w:rsidRPr="004032F4">
        <w:rPr>
          <w:rFonts w:ascii="Times New Roman" w:eastAsia="SimSun" w:hAnsi="Times New Roman" w:cs="Times New Roman"/>
          <w:i/>
          <w:sz w:val="28"/>
          <w:szCs w:val="28"/>
          <w:lang w:eastAsia="zh-CN"/>
        </w:rPr>
        <w:t>право</w:t>
      </w:r>
      <w:r w:rsidRPr="004032F4">
        <w:rPr>
          <w:rFonts w:ascii="Times New Roman" w:eastAsia="SimSun" w:hAnsi="Times New Roman" w:cs="Times New Roman"/>
          <w:sz w:val="28"/>
          <w:szCs w:val="28"/>
          <w:lang w:eastAsia="zh-CN"/>
        </w:rPr>
        <w:t xml:space="preserve"> списать две трети задолженности муниципальных образований по бюджетным кредитам из бюджета области, сложившейся на 01.03.2024</w:t>
      </w:r>
      <w:r w:rsidR="00A92075" w:rsidRPr="004032F4">
        <w:rPr>
          <w:rStyle w:val="a5"/>
          <w:rFonts w:ascii="Times New Roman" w:eastAsia="SimSun" w:hAnsi="Times New Roman" w:cs="Times New Roman"/>
          <w:sz w:val="28"/>
          <w:szCs w:val="28"/>
          <w:lang w:eastAsia="zh-CN"/>
        </w:rPr>
        <w:footnoteReference w:id="30"/>
      </w:r>
      <w:r w:rsidRPr="004032F4">
        <w:rPr>
          <w:rFonts w:ascii="Times New Roman" w:eastAsia="SimSun" w:hAnsi="Times New Roman" w:cs="Times New Roman"/>
          <w:sz w:val="28"/>
          <w:szCs w:val="28"/>
          <w:lang w:eastAsia="zh-CN"/>
        </w:rPr>
        <w:t xml:space="preserve"> (за исключением кредитов на частичное покрытие дефицита местного бюджета), при выполнении условий, указанных в частях 2 и 3 указанной статьи (целевое направление высвобождающихся средств). </w:t>
      </w:r>
    </w:p>
    <w:p w14:paraId="336CCD80" w14:textId="2DAF8F65" w:rsidR="00C538F8" w:rsidRPr="004032F4" w:rsidRDefault="00C538F8" w:rsidP="002B2848">
      <w:pPr>
        <w:spacing w:after="0" w:line="240" w:lineRule="auto"/>
        <w:ind w:firstLine="709"/>
        <w:jc w:val="both"/>
        <w:rPr>
          <w:rFonts w:ascii="Times New Roman" w:eastAsia="SimSun" w:hAnsi="Times New Roman" w:cs="Times New Roman"/>
          <w:sz w:val="28"/>
          <w:szCs w:val="28"/>
          <w:lang w:eastAsia="zh-CN"/>
        </w:rPr>
      </w:pPr>
      <w:r w:rsidRPr="004032F4">
        <w:rPr>
          <w:rFonts w:ascii="Times New Roman" w:eastAsia="SimSun" w:hAnsi="Times New Roman" w:cs="Times New Roman"/>
          <w:sz w:val="28"/>
          <w:szCs w:val="28"/>
          <w:lang w:eastAsia="zh-CN"/>
        </w:rPr>
        <w:t xml:space="preserve">При этом, в статье 19 не указан порядок осуществления списания задолженности и отсутствует норма о необходимости утверждения соответствующего порядка списания. </w:t>
      </w:r>
    </w:p>
    <w:p w14:paraId="0ED82599" w14:textId="3CD7681D" w:rsidR="00932C5B" w:rsidRPr="004032F4" w:rsidRDefault="00932C5B" w:rsidP="002B2848">
      <w:pPr>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Объемы поступлений и выбытий по источникам финансирования дефицита бюджета области (приложения №2</w:t>
      </w:r>
      <w:r w:rsidR="009721E4" w:rsidRPr="004032F4">
        <w:rPr>
          <w:rFonts w:ascii="Times New Roman" w:hAnsi="Times New Roman" w:cs="Times New Roman"/>
          <w:sz w:val="28"/>
          <w:szCs w:val="28"/>
        </w:rPr>
        <w:t>1</w:t>
      </w:r>
      <w:r w:rsidRPr="004032F4">
        <w:rPr>
          <w:rFonts w:ascii="Times New Roman" w:hAnsi="Times New Roman" w:cs="Times New Roman"/>
          <w:sz w:val="28"/>
          <w:szCs w:val="28"/>
        </w:rPr>
        <w:t xml:space="preserve"> и №2</w:t>
      </w:r>
      <w:r w:rsidR="009721E4" w:rsidRPr="004032F4">
        <w:rPr>
          <w:rFonts w:ascii="Times New Roman" w:hAnsi="Times New Roman" w:cs="Times New Roman"/>
          <w:sz w:val="28"/>
          <w:szCs w:val="28"/>
        </w:rPr>
        <w:t>2</w:t>
      </w:r>
      <w:r w:rsidRPr="004032F4">
        <w:rPr>
          <w:rFonts w:ascii="Times New Roman" w:hAnsi="Times New Roman" w:cs="Times New Roman"/>
          <w:sz w:val="28"/>
          <w:szCs w:val="28"/>
        </w:rPr>
        <w:t xml:space="preserve"> к Законопроекту) в части заимствований Тульской области согласуются с показателями Программы государственных внутренних заимствований Тульской области на </w:t>
      </w:r>
      <w:r w:rsidR="00933509" w:rsidRPr="004032F4">
        <w:rPr>
          <w:rFonts w:ascii="Times New Roman" w:hAnsi="Times New Roman" w:cs="Times New Roman"/>
          <w:sz w:val="28"/>
          <w:szCs w:val="28"/>
        </w:rPr>
        <w:t>2025</w:t>
      </w:r>
      <w:r w:rsidRPr="004032F4">
        <w:rPr>
          <w:rFonts w:ascii="Times New Roman" w:hAnsi="Times New Roman" w:cs="Times New Roman"/>
          <w:sz w:val="28"/>
          <w:szCs w:val="28"/>
        </w:rPr>
        <w:t xml:space="preserve"> год и на плановый период </w:t>
      </w:r>
      <w:r w:rsidR="00933509" w:rsidRPr="004032F4">
        <w:rPr>
          <w:rFonts w:ascii="Times New Roman" w:hAnsi="Times New Roman" w:cs="Times New Roman"/>
          <w:sz w:val="28"/>
          <w:szCs w:val="28"/>
        </w:rPr>
        <w:t>2026</w:t>
      </w:r>
      <w:r w:rsidRPr="004032F4">
        <w:rPr>
          <w:rFonts w:ascii="Times New Roman" w:hAnsi="Times New Roman" w:cs="Times New Roman"/>
          <w:sz w:val="28"/>
          <w:szCs w:val="28"/>
        </w:rPr>
        <w:t xml:space="preserve"> и </w:t>
      </w:r>
      <w:r w:rsidR="00933509" w:rsidRPr="004032F4">
        <w:rPr>
          <w:rFonts w:ascii="Times New Roman" w:hAnsi="Times New Roman" w:cs="Times New Roman"/>
          <w:sz w:val="28"/>
          <w:szCs w:val="28"/>
        </w:rPr>
        <w:t>2027</w:t>
      </w:r>
      <w:r w:rsidRPr="004032F4">
        <w:rPr>
          <w:rFonts w:ascii="Times New Roman" w:hAnsi="Times New Roman" w:cs="Times New Roman"/>
          <w:sz w:val="28"/>
          <w:szCs w:val="28"/>
        </w:rPr>
        <w:t xml:space="preserve"> годов (приложение №1</w:t>
      </w:r>
      <w:r w:rsidR="009721E4" w:rsidRPr="004032F4">
        <w:rPr>
          <w:rFonts w:ascii="Times New Roman" w:hAnsi="Times New Roman" w:cs="Times New Roman"/>
          <w:sz w:val="28"/>
          <w:szCs w:val="28"/>
        </w:rPr>
        <w:t>9</w:t>
      </w:r>
      <w:r w:rsidRPr="004032F4">
        <w:rPr>
          <w:rFonts w:ascii="Times New Roman" w:hAnsi="Times New Roman" w:cs="Times New Roman"/>
          <w:sz w:val="28"/>
          <w:szCs w:val="28"/>
        </w:rPr>
        <w:t xml:space="preserve"> к Законопроекту).</w:t>
      </w:r>
    </w:p>
    <w:p w14:paraId="152721CC" w14:textId="502594CD" w:rsidR="00932C5B" w:rsidRPr="004032F4" w:rsidRDefault="00932C5B" w:rsidP="002B2848">
      <w:pPr>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Программа государственных внутренних заимствований Тульской области и Программа государственных гарантий Тульской области</w:t>
      </w:r>
      <w:r w:rsidRPr="004032F4">
        <w:rPr>
          <w:rFonts w:ascii="Times New Roman" w:hAnsi="Times New Roman" w:cs="Times New Roman"/>
          <w:sz w:val="28"/>
          <w:szCs w:val="28"/>
          <w:vertAlign w:val="superscript"/>
        </w:rPr>
        <w:footnoteReference w:id="31"/>
      </w:r>
      <w:r w:rsidRPr="004032F4">
        <w:rPr>
          <w:rFonts w:ascii="Times New Roman" w:hAnsi="Times New Roman" w:cs="Times New Roman"/>
          <w:sz w:val="28"/>
          <w:szCs w:val="28"/>
        </w:rPr>
        <w:t xml:space="preserve"> на </w:t>
      </w:r>
      <w:r w:rsidR="00933509" w:rsidRPr="004032F4">
        <w:rPr>
          <w:rFonts w:ascii="Times New Roman" w:hAnsi="Times New Roman" w:cs="Times New Roman"/>
          <w:sz w:val="28"/>
          <w:szCs w:val="28"/>
        </w:rPr>
        <w:t>2025</w:t>
      </w:r>
      <w:r w:rsidRPr="004032F4">
        <w:rPr>
          <w:rFonts w:ascii="Times New Roman" w:hAnsi="Times New Roman" w:cs="Times New Roman"/>
          <w:sz w:val="28"/>
          <w:szCs w:val="28"/>
        </w:rPr>
        <w:t xml:space="preserve"> год и на плановый период </w:t>
      </w:r>
      <w:r w:rsidR="00933509" w:rsidRPr="004032F4">
        <w:rPr>
          <w:rFonts w:ascii="Times New Roman" w:hAnsi="Times New Roman" w:cs="Times New Roman"/>
          <w:sz w:val="28"/>
          <w:szCs w:val="28"/>
        </w:rPr>
        <w:t>2026</w:t>
      </w:r>
      <w:r w:rsidRPr="004032F4">
        <w:rPr>
          <w:rFonts w:ascii="Times New Roman" w:hAnsi="Times New Roman" w:cs="Times New Roman"/>
          <w:sz w:val="28"/>
          <w:szCs w:val="28"/>
        </w:rPr>
        <w:t xml:space="preserve"> и </w:t>
      </w:r>
      <w:r w:rsidR="00933509" w:rsidRPr="004032F4">
        <w:rPr>
          <w:rFonts w:ascii="Times New Roman" w:hAnsi="Times New Roman" w:cs="Times New Roman"/>
          <w:sz w:val="28"/>
          <w:szCs w:val="28"/>
        </w:rPr>
        <w:t>2027</w:t>
      </w:r>
      <w:r w:rsidRPr="004032F4">
        <w:rPr>
          <w:rFonts w:ascii="Times New Roman" w:hAnsi="Times New Roman" w:cs="Times New Roman"/>
          <w:sz w:val="28"/>
          <w:szCs w:val="28"/>
        </w:rPr>
        <w:t xml:space="preserve"> годов (приложения №1</w:t>
      </w:r>
      <w:r w:rsidR="009721E4" w:rsidRPr="004032F4">
        <w:rPr>
          <w:rFonts w:ascii="Times New Roman" w:hAnsi="Times New Roman" w:cs="Times New Roman"/>
          <w:sz w:val="28"/>
          <w:szCs w:val="28"/>
        </w:rPr>
        <w:t>9</w:t>
      </w:r>
      <w:r w:rsidRPr="004032F4">
        <w:rPr>
          <w:rFonts w:ascii="Times New Roman" w:hAnsi="Times New Roman" w:cs="Times New Roman"/>
          <w:sz w:val="28"/>
          <w:szCs w:val="28"/>
        </w:rPr>
        <w:t xml:space="preserve"> и №</w:t>
      </w:r>
      <w:r w:rsidR="009721E4" w:rsidRPr="004032F4">
        <w:rPr>
          <w:rFonts w:ascii="Times New Roman" w:hAnsi="Times New Roman" w:cs="Times New Roman"/>
          <w:sz w:val="28"/>
          <w:szCs w:val="28"/>
        </w:rPr>
        <w:t>20</w:t>
      </w:r>
      <w:r w:rsidRPr="004032F4">
        <w:rPr>
          <w:rFonts w:ascii="Times New Roman" w:hAnsi="Times New Roman" w:cs="Times New Roman"/>
          <w:sz w:val="28"/>
          <w:szCs w:val="28"/>
        </w:rPr>
        <w:t xml:space="preserve"> к Законопроекту) соответствуют требованиям бюджетного законодательства (статьи 106, 110.1 и 110.2 БК РФ). Цели государственных внутренних </w:t>
      </w:r>
      <w:r w:rsidRPr="004032F4">
        <w:rPr>
          <w:rFonts w:ascii="Times New Roman" w:hAnsi="Times New Roman" w:cs="Times New Roman"/>
          <w:sz w:val="28"/>
          <w:szCs w:val="28"/>
        </w:rPr>
        <w:lastRenderedPageBreak/>
        <w:t>заимствований соответствуют требованиям пункта 11 статьи 103 БК РФ. В соответствии с пунктом 16 статьи 103 БК РФ статьей 2</w:t>
      </w:r>
      <w:r w:rsidR="009721E4" w:rsidRPr="004032F4">
        <w:rPr>
          <w:rFonts w:ascii="Times New Roman" w:hAnsi="Times New Roman" w:cs="Times New Roman"/>
          <w:sz w:val="28"/>
          <w:szCs w:val="28"/>
        </w:rPr>
        <w:t>2</w:t>
      </w:r>
      <w:r w:rsidRPr="004032F4">
        <w:rPr>
          <w:rFonts w:ascii="Times New Roman" w:hAnsi="Times New Roman" w:cs="Times New Roman"/>
          <w:sz w:val="28"/>
          <w:szCs w:val="28"/>
        </w:rPr>
        <w:t xml:space="preserve"> Законопроекта право осуществления государственных внутренних заимствований Тульской области предоставлено министерству финансов Тульской области.</w:t>
      </w:r>
    </w:p>
    <w:p w14:paraId="19483FF7" w14:textId="1F5CECC6" w:rsidR="00932C5B" w:rsidRPr="004032F4" w:rsidRDefault="00932C5B" w:rsidP="002B2848">
      <w:pPr>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 xml:space="preserve">Верхние пределы государственного долга области на 1 января </w:t>
      </w:r>
      <w:r w:rsidR="00933509" w:rsidRPr="004032F4">
        <w:rPr>
          <w:rFonts w:ascii="Times New Roman" w:hAnsi="Times New Roman" w:cs="Times New Roman"/>
          <w:sz w:val="28"/>
          <w:szCs w:val="28"/>
        </w:rPr>
        <w:t>2026</w:t>
      </w:r>
      <w:r w:rsidRPr="004032F4">
        <w:rPr>
          <w:rFonts w:ascii="Times New Roman" w:hAnsi="Times New Roman" w:cs="Times New Roman"/>
          <w:sz w:val="28"/>
          <w:szCs w:val="28"/>
        </w:rPr>
        <w:t xml:space="preserve">, </w:t>
      </w:r>
      <w:r w:rsidR="00933509" w:rsidRPr="004032F4">
        <w:rPr>
          <w:rFonts w:ascii="Times New Roman" w:hAnsi="Times New Roman" w:cs="Times New Roman"/>
          <w:sz w:val="28"/>
          <w:szCs w:val="28"/>
        </w:rPr>
        <w:t>2027</w:t>
      </w:r>
      <w:r w:rsidRPr="004032F4">
        <w:rPr>
          <w:rFonts w:ascii="Times New Roman" w:hAnsi="Times New Roman" w:cs="Times New Roman"/>
          <w:sz w:val="28"/>
          <w:szCs w:val="28"/>
        </w:rPr>
        <w:t xml:space="preserve"> и 2027 годов устанавливаются Законопроектом (часть 1 статьи 2</w:t>
      </w:r>
      <w:r w:rsidR="009721E4" w:rsidRPr="004032F4">
        <w:rPr>
          <w:rFonts w:ascii="Times New Roman" w:hAnsi="Times New Roman" w:cs="Times New Roman"/>
          <w:sz w:val="28"/>
          <w:szCs w:val="28"/>
        </w:rPr>
        <w:t>0</w:t>
      </w:r>
      <w:r w:rsidRPr="004032F4">
        <w:rPr>
          <w:rFonts w:ascii="Times New Roman" w:hAnsi="Times New Roman" w:cs="Times New Roman"/>
          <w:sz w:val="28"/>
          <w:szCs w:val="28"/>
        </w:rPr>
        <w:t>) с соблюдением требований пункта 3 статьи 107 БК РФ.</w:t>
      </w:r>
    </w:p>
    <w:p w14:paraId="03CAAAB2" w14:textId="2DBBBA12" w:rsidR="00932C5B" w:rsidRPr="004032F4" w:rsidRDefault="00932C5B" w:rsidP="002B2848">
      <w:pPr>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Анализ объемов государственного долга области (верхних пределов государственного долга области) в период с 01.01.</w:t>
      </w:r>
      <w:r w:rsidR="00933509" w:rsidRPr="004032F4">
        <w:rPr>
          <w:rFonts w:ascii="Times New Roman" w:hAnsi="Times New Roman" w:cs="Times New Roman"/>
          <w:sz w:val="28"/>
          <w:szCs w:val="28"/>
        </w:rPr>
        <w:t>2025</w:t>
      </w:r>
      <w:r w:rsidRPr="004032F4">
        <w:rPr>
          <w:rFonts w:ascii="Times New Roman" w:hAnsi="Times New Roman" w:cs="Times New Roman"/>
          <w:sz w:val="28"/>
          <w:szCs w:val="28"/>
        </w:rPr>
        <w:t xml:space="preserve"> с учетом показателей, предусмотренных Законопроектом, представлен на следующей диаграмме.</w:t>
      </w:r>
    </w:p>
    <w:p w14:paraId="4AF431E2" w14:textId="1CF8290E" w:rsidR="009721E4" w:rsidRPr="004032F4" w:rsidRDefault="009721E4" w:rsidP="009721E4">
      <w:pPr>
        <w:spacing w:before="120" w:after="0" w:line="240" w:lineRule="auto"/>
        <w:jc w:val="both"/>
        <w:rPr>
          <w:rFonts w:ascii="Times New Roman" w:hAnsi="Times New Roman" w:cs="Times New Roman"/>
          <w:sz w:val="28"/>
          <w:szCs w:val="28"/>
        </w:rPr>
      </w:pPr>
      <w:r w:rsidRPr="004032F4">
        <w:rPr>
          <w:rFonts w:ascii="Times New Roman" w:hAnsi="Times New Roman" w:cs="Times New Roman"/>
          <w:noProof/>
          <w:sz w:val="28"/>
          <w:szCs w:val="28"/>
          <w:lang w:eastAsia="ru-RU"/>
        </w:rPr>
        <w:drawing>
          <wp:inline distT="0" distB="0" distL="0" distR="0" wp14:anchorId="774BB6E1" wp14:editId="517787BB">
            <wp:extent cx="5800725" cy="35147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5FDC67" w14:textId="21325AC3" w:rsidR="009721E4" w:rsidRPr="004032F4" w:rsidRDefault="009721E4" w:rsidP="009721E4">
      <w:pPr>
        <w:spacing w:before="240"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 xml:space="preserve">Как видно из диаграммы, в 2025 году с учетом показателей Законопроекта верхний предел государственного долга области по сравнению с 2024 годом </w:t>
      </w:r>
      <w:r w:rsidR="002B2848">
        <w:rPr>
          <w:rFonts w:ascii="Times New Roman" w:hAnsi="Times New Roman" w:cs="Times New Roman"/>
          <w:sz w:val="28"/>
          <w:szCs w:val="28"/>
        </w:rPr>
        <w:t xml:space="preserve">планируется </w:t>
      </w:r>
      <w:r w:rsidRPr="004032F4">
        <w:rPr>
          <w:rFonts w:ascii="Times New Roman" w:hAnsi="Times New Roman" w:cs="Times New Roman"/>
          <w:sz w:val="28"/>
          <w:szCs w:val="28"/>
        </w:rPr>
        <w:t>увеличит</w:t>
      </w:r>
      <w:r w:rsidR="002B2848">
        <w:rPr>
          <w:rFonts w:ascii="Times New Roman" w:hAnsi="Times New Roman" w:cs="Times New Roman"/>
          <w:sz w:val="28"/>
          <w:szCs w:val="28"/>
        </w:rPr>
        <w:t>ь</w:t>
      </w:r>
      <w:r w:rsidRPr="004032F4">
        <w:rPr>
          <w:rFonts w:ascii="Times New Roman" w:hAnsi="Times New Roman" w:cs="Times New Roman"/>
          <w:sz w:val="28"/>
          <w:szCs w:val="28"/>
        </w:rPr>
        <w:t xml:space="preserve"> на 14,8%, в плановом периоде Законопроектом запланировано ежегодное снижение верхнего предела государственного долга области – на 7,3% в 2026 году и на 20,8% в 2027 году, до уровня ниже 2024 года.</w:t>
      </w:r>
    </w:p>
    <w:p w14:paraId="1975648C" w14:textId="77777777" w:rsidR="009721E4" w:rsidRPr="004032F4" w:rsidRDefault="009721E4" w:rsidP="002B2848">
      <w:pPr>
        <w:spacing w:before="60" w:after="0" w:line="240" w:lineRule="auto"/>
        <w:ind w:firstLine="709"/>
        <w:jc w:val="both"/>
        <w:rPr>
          <w:rFonts w:ascii="Times New Roman" w:hAnsi="Times New Roman" w:cs="Times New Roman"/>
          <w:spacing w:val="-4"/>
          <w:sz w:val="26"/>
          <w:szCs w:val="26"/>
        </w:rPr>
      </w:pPr>
      <w:r w:rsidRPr="004032F4">
        <w:rPr>
          <w:rFonts w:ascii="Times New Roman" w:hAnsi="Times New Roman" w:cs="Times New Roman"/>
          <w:spacing w:val="-4"/>
          <w:sz w:val="26"/>
          <w:szCs w:val="26"/>
        </w:rPr>
        <w:t>Справочно: по информации, предоставленной министерством финансов Тульской области, размер госдолга Тульской области на 01.10.2024 составляет 23 498,2 млн рублей, в том числе задолженность по бюджетным кредитам – 22 862,9 млн. рублей, обязательства по предоставленным государственным гарантиям – 635,3 млн. рублей, задолженность по кредитам кредитных организаций отсутствует.</w:t>
      </w:r>
    </w:p>
    <w:p w14:paraId="6EDA73E1" w14:textId="77777777" w:rsidR="00F32A92" w:rsidRPr="004032F4" w:rsidRDefault="00AF37F4" w:rsidP="002B2848">
      <w:pPr>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 xml:space="preserve">Структура государственного долга области с учетом положений Законопроекта соответствует статье 99 БК РФ. </w:t>
      </w:r>
    </w:p>
    <w:p w14:paraId="370DEFBB" w14:textId="77777777" w:rsidR="009721E4" w:rsidRPr="004032F4" w:rsidRDefault="009721E4" w:rsidP="002B2848">
      <w:pPr>
        <w:spacing w:after="0" w:line="240" w:lineRule="auto"/>
        <w:ind w:firstLine="709"/>
        <w:jc w:val="both"/>
        <w:rPr>
          <w:rFonts w:ascii="Times New Roman" w:hAnsi="Times New Roman" w:cs="Times New Roman"/>
          <w:sz w:val="28"/>
          <w:szCs w:val="28"/>
        </w:rPr>
      </w:pPr>
      <w:r w:rsidRPr="004032F4">
        <w:rPr>
          <w:rFonts w:ascii="Times New Roman" w:hAnsi="Times New Roman" w:cs="Times New Roman"/>
          <w:sz w:val="28"/>
          <w:szCs w:val="28"/>
        </w:rPr>
        <w:t xml:space="preserve">Доли государственного долга области от суммы доходов бюджета без учета безвозмездных поступлений с учетом показателей Законопроекта, с учетом положений Постановления Правительства РФ от 13.12.2017 №1531 </w:t>
      </w:r>
      <w:r w:rsidRPr="004032F4">
        <w:rPr>
          <w:rFonts w:ascii="Times New Roman" w:hAnsi="Times New Roman" w:cs="Times New Roman"/>
        </w:rPr>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r w:rsidRPr="004032F4">
        <w:rPr>
          <w:rFonts w:ascii="Times New Roman" w:hAnsi="Times New Roman" w:cs="Times New Roman"/>
          <w:sz w:val="28"/>
          <w:szCs w:val="28"/>
        </w:rPr>
        <w:t xml:space="preserve"> на 2025, 2026, 2027 </w:t>
      </w:r>
      <w:r w:rsidRPr="004032F4">
        <w:rPr>
          <w:rFonts w:ascii="Times New Roman" w:hAnsi="Times New Roman" w:cs="Times New Roman"/>
          <w:sz w:val="28"/>
          <w:szCs w:val="28"/>
        </w:rPr>
        <w:lastRenderedPageBreak/>
        <w:t>годы составят 23%, 19,3% и 12,9% соответственно</w:t>
      </w:r>
      <w:r w:rsidRPr="004032F4">
        <w:rPr>
          <w:rFonts w:ascii="Times New Roman" w:hAnsi="Times New Roman" w:cs="Times New Roman"/>
          <w:sz w:val="28"/>
          <w:szCs w:val="28"/>
          <w:vertAlign w:val="superscript"/>
        </w:rPr>
        <w:footnoteReference w:id="32"/>
      </w:r>
      <w:r w:rsidRPr="004032F4">
        <w:rPr>
          <w:rFonts w:ascii="Times New Roman" w:hAnsi="Times New Roman" w:cs="Times New Roman"/>
          <w:sz w:val="28"/>
          <w:szCs w:val="28"/>
        </w:rPr>
        <w:t xml:space="preserve"> и соответствуют требованию по уровню долговой нагрузки, предусмотренному дополнительным соглашением с Минфином России о реструктуризации задолженности перед федеральным бюджетом (в соответствии с дополнительным соглашением – 27%).</w:t>
      </w:r>
    </w:p>
    <w:p w14:paraId="2B9D2D97" w14:textId="77777777" w:rsidR="009721E4" w:rsidRPr="004032F4" w:rsidRDefault="009721E4" w:rsidP="002B2848">
      <w:pPr>
        <w:spacing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Calibri" w:hAnsi="Times New Roman" w:cs="Times New Roman"/>
          <w:kern w:val="28"/>
          <w:sz w:val="28"/>
          <w:szCs w:val="28"/>
        </w:rPr>
        <w:t xml:space="preserve">Расходы на обслуживание государственного долга области по отношению к утвержденному показателю на 2024 год (по оценке, исполнение составит 100%) увеличатся в 2025 году, согласно Законопроекту, в 2,9 раза и составят 1 044,3 млн. рублей, в 2026 году составят 1 774,0 млн. рублей, в 2027 году – 1 656,4 млн. рублей. </w:t>
      </w:r>
      <w:r w:rsidRPr="004032F4">
        <w:rPr>
          <w:rFonts w:ascii="Times New Roman" w:hAnsi="Times New Roman" w:cs="Times New Roman"/>
          <w:sz w:val="28"/>
          <w:szCs w:val="28"/>
        </w:rPr>
        <w:t>Годовые объемы расходов на обслуживание государственного долга области, предусматриваемые Законопроектом на 2025-2027 годы, соответствуют требованиям статьи 111 БК РФ</w:t>
      </w:r>
      <w:r w:rsidRPr="004032F4">
        <w:rPr>
          <w:rStyle w:val="a5"/>
          <w:rFonts w:ascii="Times New Roman" w:hAnsi="Times New Roman" w:cs="Times New Roman"/>
          <w:sz w:val="28"/>
          <w:szCs w:val="28"/>
        </w:rPr>
        <w:footnoteReference w:id="33"/>
      </w:r>
      <w:r w:rsidRPr="004032F4">
        <w:rPr>
          <w:rFonts w:ascii="Times New Roman" w:hAnsi="Times New Roman" w:cs="Times New Roman"/>
          <w:sz w:val="28"/>
          <w:szCs w:val="28"/>
        </w:rPr>
        <w:t>.</w:t>
      </w:r>
    </w:p>
    <w:p w14:paraId="1E802555" w14:textId="4A1495F7" w:rsidR="005C12C9" w:rsidRPr="004032F4" w:rsidRDefault="005C12C9" w:rsidP="00A33806">
      <w:pPr>
        <w:tabs>
          <w:tab w:val="left" w:pos="0"/>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4032F4">
        <w:rPr>
          <w:rFonts w:ascii="Times New Roman" w:eastAsia="Calibri" w:hAnsi="Times New Roman" w:cs="Times New Roman"/>
          <w:sz w:val="28"/>
          <w:szCs w:val="28"/>
        </w:rPr>
        <w:t>Настоящее заключение одобрено коллегией счетной палаты Тульской области 1</w:t>
      </w:r>
      <w:r w:rsidR="009721E4" w:rsidRPr="004032F4">
        <w:rPr>
          <w:rFonts w:ascii="Times New Roman" w:eastAsia="Calibri" w:hAnsi="Times New Roman" w:cs="Times New Roman"/>
          <w:sz w:val="28"/>
          <w:szCs w:val="28"/>
        </w:rPr>
        <w:t>4</w:t>
      </w:r>
      <w:r w:rsidRPr="004032F4">
        <w:rPr>
          <w:rFonts w:ascii="Times New Roman" w:eastAsia="Calibri" w:hAnsi="Times New Roman" w:cs="Times New Roman"/>
          <w:sz w:val="28"/>
          <w:szCs w:val="28"/>
        </w:rPr>
        <w:t xml:space="preserve"> ноября 202</w:t>
      </w:r>
      <w:r w:rsidR="009721E4" w:rsidRPr="004032F4">
        <w:rPr>
          <w:rFonts w:ascii="Times New Roman" w:eastAsia="Calibri" w:hAnsi="Times New Roman" w:cs="Times New Roman"/>
          <w:sz w:val="28"/>
          <w:szCs w:val="28"/>
        </w:rPr>
        <w:t>4</w:t>
      </w:r>
      <w:r w:rsidRPr="004032F4">
        <w:rPr>
          <w:rFonts w:ascii="Times New Roman" w:eastAsia="Calibri" w:hAnsi="Times New Roman" w:cs="Times New Roman"/>
          <w:sz w:val="28"/>
          <w:szCs w:val="28"/>
        </w:rPr>
        <w:t xml:space="preserve"> года (протокол №</w:t>
      </w:r>
      <w:r w:rsidR="002B2848">
        <w:rPr>
          <w:rFonts w:ascii="Times New Roman" w:eastAsia="Calibri" w:hAnsi="Times New Roman" w:cs="Times New Roman"/>
          <w:sz w:val="28"/>
          <w:szCs w:val="28"/>
        </w:rPr>
        <w:t>11</w:t>
      </w:r>
      <w:r w:rsidR="009721E4" w:rsidRPr="004032F4">
        <w:rPr>
          <w:rFonts w:ascii="Times New Roman" w:eastAsia="Calibri" w:hAnsi="Times New Roman" w:cs="Times New Roman"/>
          <w:sz w:val="28"/>
          <w:szCs w:val="28"/>
        </w:rPr>
        <w:t>)</w:t>
      </w:r>
      <w:r w:rsidRPr="004032F4">
        <w:rPr>
          <w:rFonts w:ascii="Times New Roman" w:eastAsia="Calibri" w:hAnsi="Times New Roman" w:cs="Times New Roman"/>
          <w:sz w:val="28"/>
          <w:szCs w:val="28"/>
        </w:rPr>
        <w:t>.</w:t>
      </w:r>
    </w:p>
    <w:p w14:paraId="18268B55" w14:textId="77777777" w:rsidR="00581749" w:rsidRDefault="00581749" w:rsidP="00D22349">
      <w:pPr>
        <w:tabs>
          <w:tab w:val="right" w:pos="9354"/>
        </w:tabs>
        <w:spacing w:after="0" w:line="240" w:lineRule="auto"/>
        <w:rPr>
          <w:rFonts w:ascii="Times New Roman" w:hAnsi="Times New Roman" w:cs="Times New Roman"/>
          <w:kern w:val="28"/>
          <w:sz w:val="28"/>
          <w:szCs w:val="28"/>
        </w:rPr>
      </w:pPr>
    </w:p>
    <w:p w14:paraId="30B4251E" w14:textId="77777777" w:rsidR="002B2848" w:rsidRPr="004032F4" w:rsidRDefault="002B2848" w:rsidP="00D22349">
      <w:pPr>
        <w:tabs>
          <w:tab w:val="right" w:pos="9354"/>
        </w:tabs>
        <w:spacing w:after="0" w:line="240" w:lineRule="auto"/>
        <w:rPr>
          <w:rFonts w:ascii="Times New Roman" w:hAnsi="Times New Roman" w:cs="Times New Roman"/>
          <w:kern w:val="28"/>
          <w:sz w:val="28"/>
          <w:szCs w:val="28"/>
        </w:rPr>
      </w:pPr>
    </w:p>
    <w:p w14:paraId="333044C9" w14:textId="4B1C4C34" w:rsidR="00D22349" w:rsidRPr="004032F4" w:rsidRDefault="006F1B51" w:rsidP="00D22349">
      <w:pPr>
        <w:tabs>
          <w:tab w:val="right" w:pos="9354"/>
        </w:tabs>
        <w:spacing w:after="0" w:line="240" w:lineRule="auto"/>
        <w:rPr>
          <w:rFonts w:ascii="Times New Roman" w:hAnsi="Times New Roman" w:cs="Times New Roman"/>
          <w:b/>
          <w:kern w:val="28"/>
          <w:sz w:val="28"/>
          <w:szCs w:val="28"/>
        </w:rPr>
      </w:pPr>
      <w:r w:rsidRPr="004032F4">
        <w:rPr>
          <w:rFonts w:ascii="Times New Roman" w:hAnsi="Times New Roman" w:cs="Times New Roman"/>
          <w:b/>
          <w:kern w:val="28"/>
          <w:sz w:val="28"/>
          <w:szCs w:val="28"/>
        </w:rPr>
        <w:t>Аудитор</w:t>
      </w:r>
      <w:r w:rsidR="00D22349" w:rsidRPr="004032F4">
        <w:rPr>
          <w:rFonts w:ascii="Times New Roman" w:hAnsi="Times New Roman" w:cs="Times New Roman"/>
          <w:b/>
          <w:kern w:val="28"/>
          <w:sz w:val="28"/>
          <w:szCs w:val="28"/>
        </w:rPr>
        <w:t xml:space="preserve"> </w:t>
      </w:r>
      <w:r w:rsidR="00953275" w:rsidRPr="004032F4">
        <w:rPr>
          <w:rFonts w:ascii="Times New Roman" w:hAnsi="Times New Roman" w:cs="Times New Roman"/>
          <w:b/>
          <w:kern w:val="28"/>
          <w:sz w:val="28"/>
          <w:szCs w:val="28"/>
        </w:rPr>
        <w:t xml:space="preserve">счетной палаты </w:t>
      </w:r>
      <w:r w:rsidR="00D22349" w:rsidRPr="004032F4">
        <w:rPr>
          <w:rFonts w:ascii="Times New Roman" w:hAnsi="Times New Roman" w:cs="Times New Roman"/>
          <w:b/>
          <w:kern w:val="28"/>
          <w:sz w:val="28"/>
          <w:szCs w:val="28"/>
        </w:rPr>
        <w:t xml:space="preserve">                                  </w:t>
      </w:r>
      <w:r w:rsidR="00657B47" w:rsidRPr="004032F4">
        <w:rPr>
          <w:rFonts w:ascii="Times New Roman" w:hAnsi="Times New Roman" w:cs="Times New Roman"/>
          <w:b/>
          <w:kern w:val="28"/>
          <w:sz w:val="28"/>
          <w:szCs w:val="28"/>
        </w:rPr>
        <w:tab/>
      </w:r>
      <w:r w:rsidR="00D22349" w:rsidRPr="004032F4">
        <w:rPr>
          <w:rFonts w:ascii="Times New Roman" w:hAnsi="Times New Roman" w:cs="Times New Roman"/>
          <w:b/>
          <w:kern w:val="28"/>
          <w:sz w:val="28"/>
          <w:szCs w:val="28"/>
        </w:rPr>
        <w:t xml:space="preserve">                    М.В. Титова </w:t>
      </w:r>
    </w:p>
    <w:p w14:paraId="4BFDB8DE" w14:textId="42A94AD1" w:rsidR="00423B72" w:rsidRPr="004032F4" w:rsidRDefault="00953275" w:rsidP="00D22349">
      <w:pPr>
        <w:tabs>
          <w:tab w:val="right" w:pos="9354"/>
        </w:tabs>
        <w:spacing w:after="0" w:line="240" w:lineRule="auto"/>
        <w:rPr>
          <w:rFonts w:ascii="Times New Roman" w:hAnsi="Times New Roman" w:cs="Times New Roman"/>
          <w:kern w:val="28"/>
          <w:sz w:val="28"/>
          <w:szCs w:val="28"/>
        </w:rPr>
      </w:pPr>
      <w:r w:rsidRPr="004032F4">
        <w:rPr>
          <w:rFonts w:ascii="Times New Roman" w:hAnsi="Times New Roman" w:cs="Times New Roman"/>
          <w:b/>
          <w:kern w:val="28"/>
          <w:sz w:val="28"/>
          <w:szCs w:val="28"/>
        </w:rPr>
        <w:t>Тульской области</w:t>
      </w:r>
      <w:r w:rsidR="00423236" w:rsidRPr="004032F4">
        <w:rPr>
          <w:rFonts w:ascii="Times New Roman" w:hAnsi="Times New Roman" w:cs="Times New Roman"/>
          <w:b/>
          <w:kern w:val="28"/>
          <w:sz w:val="28"/>
          <w:szCs w:val="28"/>
        </w:rPr>
        <w:tab/>
      </w:r>
    </w:p>
    <w:p w14:paraId="2B62FF58" w14:textId="12F3B50E" w:rsidR="00982E0F" w:rsidRPr="0041670C" w:rsidRDefault="007D2BCC" w:rsidP="00982E0F">
      <w:pPr>
        <w:spacing w:before="240" w:after="0" w:line="240" w:lineRule="auto"/>
        <w:jc w:val="both"/>
        <w:rPr>
          <w:rFonts w:ascii="Times New Roman" w:eastAsia="Times New Roman" w:hAnsi="Times New Roman" w:cs="Times New Roman"/>
          <w:sz w:val="26"/>
          <w:szCs w:val="26"/>
          <w:lang w:eastAsia="ru-RU"/>
        </w:rPr>
      </w:pPr>
      <w:r w:rsidRPr="0041670C">
        <w:rPr>
          <w:rFonts w:ascii="Times New Roman" w:eastAsia="Times New Roman" w:hAnsi="Times New Roman" w:cs="Times New Roman"/>
          <w:sz w:val="26"/>
          <w:szCs w:val="26"/>
          <w:lang w:eastAsia="ru-RU"/>
        </w:rPr>
        <w:t>Р</w:t>
      </w:r>
      <w:r w:rsidR="00982E0F" w:rsidRPr="0041670C">
        <w:rPr>
          <w:rFonts w:ascii="Times New Roman" w:eastAsia="Times New Roman" w:hAnsi="Times New Roman" w:cs="Times New Roman"/>
          <w:sz w:val="26"/>
          <w:szCs w:val="26"/>
          <w:lang w:eastAsia="ru-RU"/>
        </w:rPr>
        <w:t xml:space="preserve">уководитель </w:t>
      </w:r>
    </w:p>
    <w:p w14:paraId="0FEA974E" w14:textId="77777777" w:rsidR="00982E0F" w:rsidRPr="0041670C" w:rsidRDefault="00982E0F" w:rsidP="00982E0F">
      <w:pPr>
        <w:spacing w:after="0" w:line="240" w:lineRule="auto"/>
        <w:jc w:val="both"/>
        <w:rPr>
          <w:rFonts w:ascii="Times New Roman" w:eastAsia="Times New Roman" w:hAnsi="Times New Roman" w:cs="Times New Roman"/>
          <w:sz w:val="26"/>
          <w:szCs w:val="26"/>
          <w:lang w:eastAsia="ru-RU"/>
        </w:rPr>
      </w:pPr>
      <w:r w:rsidRPr="0041670C">
        <w:rPr>
          <w:rFonts w:ascii="Times New Roman" w:eastAsia="Times New Roman" w:hAnsi="Times New Roman" w:cs="Times New Roman"/>
          <w:sz w:val="26"/>
          <w:szCs w:val="26"/>
          <w:lang w:eastAsia="ru-RU"/>
        </w:rPr>
        <w:t xml:space="preserve">экспертно-аналитического мероприятия – </w:t>
      </w:r>
    </w:p>
    <w:p w14:paraId="35BB57FD" w14:textId="77777777" w:rsidR="00982E0F" w:rsidRPr="0041670C" w:rsidRDefault="00982E0F" w:rsidP="00982E0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1670C">
        <w:rPr>
          <w:rFonts w:ascii="Times New Roman" w:eastAsia="Times New Roman" w:hAnsi="Times New Roman" w:cs="Times New Roman"/>
          <w:sz w:val="26"/>
          <w:szCs w:val="26"/>
          <w:lang w:eastAsia="ru-RU"/>
        </w:rPr>
        <w:t xml:space="preserve">начальник инспекции </w:t>
      </w:r>
    </w:p>
    <w:p w14:paraId="6992D9EE" w14:textId="4A37FC49" w:rsidR="00982E0F" w:rsidRPr="0041670C" w:rsidRDefault="00982E0F" w:rsidP="0058174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1670C">
        <w:rPr>
          <w:rFonts w:ascii="Times New Roman" w:eastAsia="Times New Roman" w:hAnsi="Times New Roman" w:cs="Times New Roman"/>
          <w:sz w:val="26"/>
          <w:szCs w:val="26"/>
          <w:lang w:eastAsia="ru-RU"/>
        </w:rPr>
        <w:t>счетной палаты Тульской области</w:t>
      </w:r>
      <w:r w:rsidRPr="0041670C">
        <w:rPr>
          <w:rFonts w:ascii="Times New Roman" w:hAnsi="Times New Roman" w:cs="Times New Roman"/>
          <w:i/>
          <w:iCs/>
          <w:sz w:val="26"/>
          <w:szCs w:val="26"/>
        </w:rPr>
        <w:tab/>
      </w:r>
      <w:r w:rsidRPr="0041670C">
        <w:rPr>
          <w:rFonts w:ascii="Times New Roman" w:hAnsi="Times New Roman" w:cs="Times New Roman"/>
          <w:i/>
          <w:iCs/>
          <w:sz w:val="26"/>
          <w:szCs w:val="26"/>
        </w:rPr>
        <w:tab/>
      </w:r>
      <w:r w:rsidRPr="0041670C">
        <w:rPr>
          <w:rFonts w:ascii="Times New Roman" w:hAnsi="Times New Roman" w:cs="Times New Roman"/>
          <w:i/>
          <w:iCs/>
          <w:sz w:val="26"/>
          <w:szCs w:val="26"/>
        </w:rPr>
        <w:tab/>
      </w:r>
      <w:r w:rsidRPr="0041670C">
        <w:rPr>
          <w:rFonts w:ascii="Times New Roman" w:hAnsi="Times New Roman" w:cs="Times New Roman"/>
          <w:i/>
          <w:iCs/>
          <w:sz w:val="26"/>
          <w:szCs w:val="26"/>
        </w:rPr>
        <w:tab/>
      </w:r>
      <w:r w:rsidRPr="0041670C">
        <w:rPr>
          <w:rFonts w:ascii="Times New Roman" w:hAnsi="Times New Roman" w:cs="Times New Roman"/>
          <w:i/>
          <w:iCs/>
          <w:sz w:val="26"/>
          <w:szCs w:val="26"/>
        </w:rPr>
        <w:tab/>
      </w:r>
      <w:r w:rsidRPr="0041670C">
        <w:rPr>
          <w:rFonts w:ascii="Times New Roman" w:eastAsia="Calibri" w:hAnsi="Times New Roman" w:cs="Times New Roman"/>
          <w:sz w:val="26"/>
          <w:szCs w:val="26"/>
        </w:rPr>
        <w:tab/>
        <w:t>Г.Р. Минаева</w:t>
      </w:r>
      <w:bookmarkStart w:id="0" w:name="_GoBack"/>
      <w:bookmarkEnd w:id="0"/>
    </w:p>
    <w:sectPr w:rsidR="00982E0F" w:rsidRPr="0041670C" w:rsidSect="005B28C1">
      <w:headerReference w:type="default" r:id="rId16"/>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40238" w14:textId="77777777" w:rsidR="00AF7579" w:rsidRDefault="00AF7579" w:rsidP="00BD36B3">
      <w:pPr>
        <w:spacing w:after="0" w:line="240" w:lineRule="auto"/>
      </w:pPr>
      <w:r>
        <w:separator/>
      </w:r>
    </w:p>
  </w:endnote>
  <w:endnote w:type="continuationSeparator" w:id="0">
    <w:p w14:paraId="59001F2A" w14:textId="77777777" w:rsidR="00AF7579" w:rsidRDefault="00AF7579" w:rsidP="00BD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50449" w14:textId="77777777" w:rsidR="00AF7579" w:rsidRDefault="00AF7579" w:rsidP="00BD36B3">
      <w:pPr>
        <w:spacing w:after="0" w:line="240" w:lineRule="auto"/>
      </w:pPr>
      <w:r>
        <w:separator/>
      </w:r>
    </w:p>
  </w:footnote>
  <w:footnote w:type="continuationSeparator" w:id="0">
    <w:p w14:paraId="5854FDB1" w14:textId="77777777" w:rsidR="00AF7579" w:rsidRDefault="00AF7579" w:rsidP="00BD36B3">
      <w:pPr>
        <w:spacing w:after="0" w:line="240" w:lineRule="auto"/>
      </w:pPr>
      <w:r>
        <w:continuationSeparator/>
      </w:r>
    </w:p>
  </w:footnote>
  <w:footnote w:id="1">
    <w:p w14:paraId="42ED44C9" w14:textId="5615F6D6" w:rsidR="007E0556" w:rsidRPr="00B54820" w:rsidRDefault="007E0556" w:rsidP="0047604B">
      <w:pPr>
        <w:autoSpaceDE w:val="0"/>
        <w:autoSpaceDN w:val="0"/>
        <w:adjustRightInd w:val="0"/>
        <w:spacing w:after="0" w:line="240" w:lineRule="auto"/>
        <w:ind w:firstLine="567"/>
        <w:jc w:val="both"/>
        <w:rPr>
          <w:rFonts w:ascii="Times New Roman" w:hAnsi="Times New Roman" w:cs="Times New Roman"/>
          <w:spacing w:val="-6"/>
          <w:sz w:val="20"/>
          <w:szCs w:val="20"/>
        </w:rPr>
      </w:pPr>
      <w:r w:rsidRPr="00B54820">
        <w:rPr>
          <w:rFonts w:ascii="Times New Roman" w:eastAsia="Times New Roman" w:hAnsi="Times New Roman" w:cs="Times New Roman"/>
          <w:spacing w:val="-6"/>
          <w:sz w:val="20"/>
          <w:szCs w:val="20"/>
          <w:vertAlign w:val="superscript"/>
          <w:lang w:eastAsia="ru-RU"/>
        </w:rPr>
        <w:footnoteRef/>
      </w:r>
      <w:r w:rsidRPr="00B54820">
        <w:rPr>
          <w:rFonts w:ascii="Times New Roman" w:eastAsia="Times New Roman" w:hAnsi="Times New Roman" w:cs="Times New Roman"/>
          <w:spacing w:val="-6"/>
          <w:sz w:val="20"/>
          <w:szCs w:val="20"/>
          <w:lang w:eastAsia="ru-RU"/>
        </w:rPr>
        <w:t xml:space="preserve"> В соответствии с абзацем 8 пункта 3 статьи 184.1 БК РФ</w:t>
      </w:r>
      <w:r w:rsidRPr="00B54820">
        <w:rPr>
          <w:rFonts w:ascii="Times New Roman" w:hAnsi="Times New Roman" w:cs="Times New Roman"/>
          <w:spacing w:val="-6"/>
          <w:sz w:val="20"/>
          <w:szCs w:val="20"/>
        </w:rPr>
        <w:t xml:space="preserve">: общий объем условно утверждаемых (утвержденных) расходов на первый год планового периода утверждается в объеме </w:t>
      </w:r>
      <w:r w:rsidRPr="00B54820">
        <w:rPr>
          <w:rFonts w:ascii="Times New Roman" w:hAnsi="Times New Roman" w:cs="Times New Roman"/>
          <w:i/>
          <w:spacing w:val="-6"/>
          <w:sz w:val="20"/>
          <w:szCs w:val="20"/>
        </w:rPr>
        <w:t>не менее 2,5 процента</w:t>
      </w:r>
      <w:r w:rsidRPr="00B54820">
        <w:rPr>
          <w:rFonts w:ascii="Times New Roman" w:hAnsi="Times New Roman" w:cs="Times New Roman"/>
          <w:spacing w:val="-6"/>
          <w:sz w:val="20"/>
          <w:szCs w:val="20"/>
        </w:rPr>
        <w:t xml:space="preserve">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 на второй год планового периода в объеме </w:t>
      </w:r>
      <w:r w:rsidRPr="00B54820">
        <w:rPr>
          <w:rFonts w:ascii="Times New Roman" w:hAnsi="Times New Roman" w:cs="Times New Roman"/>
          <w:i/>
          <w:spacing w:val="-6"/>
          <w:sz w:val="20"/>
          <w:szCs w:val="20"/>
        </w:rPr>
        <w:t>не менее 5 процентов</w:t>
      </w:r>
      <w:r w:rsidRPr="00B54820">
        <w:rPr>
          <w:rFonts w:ascii="Times New Roman" w:hAnsi="Times New Roman" w:cs="Times New Roman"/>
          <w:spacing w:val="-6"/>
          <w:sz w:val="20"/>
          <w:szCs w:val="20"/>
        </w:rPr>
        <w:t xml:space="preserve">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 </w:t>
      </w:r>
    </w:p>
  </w:footnote>
  <w:footnote w:id="2">
    <w:p w14:paraId="7B113331" w14:textId="77777777" w:rsidR="007E0556" w:rsidRDefault="007E0556" w:rsidP="00CD4A2B">
      <w:pPr>
        <w:pStyle w:val="a3"/>
        <w:ind w:firstLine="567"/>
      </w:pPr>
      <w:r>
        <w:rPr>
          <w:rStyle w:val="a5"/>
        </w:rPr>
        <w:footnoteRef/>
      </w:r>
      <w:r>
        <w:t xml:space="preserve"> Приложение №5 к Письму Губернатора.</w:t>
      </w:r>
    </w:p>
  </w:footnote>
  <w:footnote w:id="3">
    <w:p w14:paraId="6EF50A9F" w14:textId="0E68AF82" w:rsidR="007E0556" w:rsidRDefault="007E0556" w:rsidP="00CD4A2B">
      <w:pPr>
        <w:pStyle w:val="a3"/>
        <w:ind w:firstLine="567"/>
      </w:pPr>
      <w:r>
        <w:rPr>
          <w:rStyle w:val="a5"/>
        </w:rPr>
        <w:footnoteRef/>
      </w:r>
      <w:r>
        <w:t xml:space="preserve"> Приложение №6 к Письму Губернатора.</w:t>
      </w:r>
    </w:p>
  </w:footnote>
  <w:footnote w:id="4">
    <w:p w14:paraId="67B647AA" w14:textId="36DBC703" w:rsidR="007E0556" w:rsidRDefault="007E0556" w:rsidP="00D676AD">
      <w:pPr>
        <w:pStyle w:val="a3"/>
        <w:ind w:firstLine="567"/>
        <w:jc w:val="both"/>
      </w:pPr>
      <w:r>
        <w:rPr>
          <w:rStyle w:val="a5"/>
        </w:rPr>
        <w:footnoteRef/>
      </w:r>
      <w:r>
        <w:t xml:space="preserve"> Индекс потребительских цен в размерах 104,7% в 2025 году и 104% в 2026 и 2027 годах применен </w:t>
      </w:r>
      <w:r w:rsidRPr="00D676AD">
        <w:t xml:space="preserve">при </w:t>
      </w:r>
      <w:r w:rsidRPr="0042548C">
        <w:t xml:space="preserve">расчете отдельных налогов </w:t>
      </w:r>
      <w:r w:rsidRPr="00D676AD">
        <w:t>на добычу общераспространенных полезных ископаемых, налога на добычу прочих полезных ископаемых и платежей за пользование недрами (главный администратор доходов – УФНС по Тульской области)</w:t>
      </w:r>
      <w:r>
        <w:t>.</w:t>
      </w:r>
    </w:p>
    <w:p w14:paraId="2B8560B5" w14:textId="1DB7CDE1" w:rsidR="007E0556" w:rsidRDefault="007E0556" w:rsidP="00D676AD">
      <w:pPr>
        <w:pStyle w:val="a3"/>
        <w:ind w:firstLine="567"/>
        <w:jc w:val="both"/>
      </w:pPr>
      <w:r>
        <w:t xml:space="preserve">Индекс потребительских цен (на конец года к декабрю предыдущего года) в размерах по 104% (в 2025–2027 годах применен </w:t>
      </w:r>
      <w:r w:rsidRPr="00D676AD">
        <w:t xml:space="preserve">при расчете </w:t>
      </w:r>
      <w:r w:rsidRPr="008C74CA">
        <w:t>прочих доходов от оказания платных услуг (работ) получателями средств бюджетов субъектов (ГАБС – министерство по региональной безопасности Тульской области)</w:t>
      </w:r>
      <w:r>
        <w:t>.</w:t>
      </w:r>
    </w:p>
  </w:footnote>
  <w:footnote w:id="5">
    <w:p w14:paraId="4B87C487" w14:textId="77777777" w:rsidR="007E0556" w:rsidRDefault="007E0556" w:rsidP="006663A5">
      <w:pPr>
        <w:pStyle w:val="a3"/>
        <w:ind w:firstLine="567"/>
        <w:jc w:val="both"/>
        <w:rPr>
          <w:spacing w:val="-6"/>
        </w:rPr>
      </w:pPr>
      <w:r w:rsidRPr="004B37C7">
        <w:rPr>
          <w:rStyle w:val="a5"/>
          <w:spacing w:val="-6"/>
        </w:rPr>
        <w:footnoteRef/>
      </w:r>
      <w:r w:rsidRPr="004B37C7">
        <w:rPr>
          <w:spacing w:val="-6"/>
        </w:rPr>
        <w:t> </w:t>
      </w:r>
      <w:r>
        <w:rPr>
          <w:spacing w:val="-6"/>
        </w:rPr>
        <w:t xml:space="preserve">В соответствии с </w:t>
      </w:r>
      <w:r w:rsidRPr="002D2E3E">
        <w:rPr>
          <w:i/>
          <w:spacing w:val="-6"/>
        </w:rPr>
        <w:t>приложениями к проекту</w:t>
      </w:r>
      <w:r>
        <w:rPr>
          <w:spacing w:val="-6"/>
        </w:rPr>
        <w:t xml:space="preserve"> федерального закона «О федеральном бюджете на 2025 год и на плановый период 2026 и 2027 годов» </w:t>
      </w:r>
      <w:r w:rsidRPr="002D2E3E">
        <w:rPr>
          <w:spacing w:val="-6"/>
        </w:rPr>
        <w:t>№727320-8</w:t>
      </w:r>
      <w:r>
        <w:rPr>
          <w:spacing w:val="-6"/>
        </w:rPr>
        <w:t xml:space="preserve"> (далее – также, ПФЗ на 2025-2027 годы), а также в соответствии с приложениями к пояснительной записке указанного законопроекта:</w:t>
      </w:r>
    </w:p>
    <w:p w14:paraId="328B5C84" w14:textId="77777777" w:rsidR="007E0556" w:rsidRDefault="007E0556" w:rsidP="006663A5">
      <w:pPr>
        <w:pStyle w:val="a3"/>
        <w:ind w:firstLine="567"/>
        <w:jc w:val="both"/>
        <w:rPr>
          <w:spacing w:val="-6"/>
        </w:rPr>
      </w:pPr>
      <w:r>
        <w:rPr>
          <w:spacing w:val="-6"/>
        </w:rPr>
        <w:t>– н</w:t>
      </w:r>
      <w:r w:rsidRPr="004B37C7">
        <w:rPr>
          <w:spacing w:val="-6"/>
        </w:rPr>
        <w:t xml:space="preserve">орматив распределения доходов от налога на прибыль организаций, уплаченного налогоплательщиками, которые до 1 января 2023 года являлись участниками договора о создании консолидированной группы налогоплательщиков, в бюджеты субъектов РФ на 2025 год установлен для Тульской области в размере 0,1560 ежегодно </w:t>
      </w:r>
      <w:r w:rsidRPr="002D2E3E">
        <w:rPr>
          <w:i/>
          <w:spacing w:val="-6"/>
        </w:rPr>
        <w:t>приложением 5 к ПФЗ</w:t>
      </w:r>
      <w:r w:rsidRPr="004B37C7">
        <w:rPr>
          <w:spacing w:val="-6"/>
        </w:rPr>
        <w:t xml:space="preserve"> на 2025-2027 годы.</w:t>
      </w:r>
      <w:r w:rsidRPr="004B37C7">
        <w:t xml:space="preserve"> </w:t>
      </w:r>
      <w:r w:rsidRPr="004B37C7">
        <w:rPr>
          <w:spacing w:val="-6"/>
        </w:rPr>
        <w:t xml:space="preserve">Прогнозируемые суммы поступлений указанного налога в разрезе субъектов Российской Федерации приведены в </w:t>
      </w:r>
      <w:r w:rsidRPr="002D2E3E">
        <w:rPr>
          <w:i/>
          <w:spacing w:val="-6"/>
        </w:rPr>
        <w:t>Приложении №9 к пояснительной записке</w:t>
      </w:r>
      <w:r w:rsidRPr="004B37C7">
        <w:rPr>
          <w:spacing w:val="-6"/>
        </w:rPr>
        <w:t xml:space="preserve"> к Проекту закона о федеральном бюджете на 2025-2027 годы</w:t>
      </w:r>
      <w:r>
        <w:rPr>
          <w:spacing w:val="-6"/>
        </w:rPr>
        <w:t>, для Тульской области на 2025 год – 521,4 млн. рублей;</w:t>
      </w:r>
    </w:p>
    <w:p w14:paraId="2768F5E4" w14:textId="77777777" w:rsidR="007E0556" w:rsidRDefault="007E0556" w:rsidP="006663A5">
      <w:pPr>
        <w:pStyle w:val="a3"/>
        <w:ind w:firstLine="567"/>
        <w:jc w:val="both"/>
        <w:rPr>
          <w:spacing w:val="-6"/>
        </w:rPr>
      </w:pPr>
      <w:r>
        <w:rPr>
          <w:spacing w:val="-6"/>
        </w:rPr>
        <w:t>– д</w:t>
      </w:r>
      <w:r w:rsidRPr="002D2E3E">
        <w:rPr>
          <w:spacing w:val="-6"/>
        </w:rPr>
        <w:t xml:space="preserve">оходы от уплаты акцизов на этиловый спирт и спиртосодержащую продукцию, подлежащие распределению между бюджетами субъектов РФ (по нормативам, установленным федеральным законом о федеральном бюджете), приведены в </w:t>
      </w:r>
      <w:r w:rsidRPr="002D2E3E">
        <w:rPr>
          <w:i/>
          <w:spacing w:val="-6"/>
        </w:rPr>
        <w:t>Приложении № 7 к пояснительной записке</w:t>
      </w:r>
      <w:r w:rsidRPr="002D2E3E">
        <w:rPr>
          <w:spacing w:val="-6"/>
        </w:rPr>
        <w:t xml:space="preserve"> к </w:t>
      </w:r>
      <w:r>
        <w:rPr>
          <w:spacing w:val="-6"/>
        </w:rPr>
        <w:t>ПФЗ на 2025-2027 годы;</w:t>
      </w:r>
    </w:p>
    <w:p w14:paraId="00ADFFAD" w14:textId="77777777" w:rsidR="007E0556" w:rsidRDefault="007E0556" w:rsidP="006663A5">
      <w:pPr>
        <w:pStyle w:val="a3"/>
        <w:ind w:firstLine="567"/>
        <w:jc w:val="both"/>
        <w:rPr>
          <w:spacing w:val="-6"/>
        </w:rPr>
      </w:pPr>
      <w:r>
        <w:rPr>
          <w:spacing w:val="-6"/>
        </w:rPr>
        <w:t>– н</w:t>
      </w:r>
      <w:r w:rsidRPr="00252E11">
        <w:rPr>
          <w:spacing w:val="-6"/>
        </w:rPr>
        <w:t xml:space="preserve">ормативы распределения доходов от «акцизов на алкогольную продукцию с объемной долей этилового спирта свыше 9 процентов………» в бюджеты субъектов РФ на 2025 год и на плановый период 2026 и 2027 годов установлены </w:t>
      </w:r>
      <w:r w:rsidRPr="006663A5">
        <w:rPr>
          <w:i/>
          <w:spacing w:val="-6"/>
        </w:rPr>
        <w:t xml:space="preserve">приложением 4 к </w:t>
      </w:r>
      <w:r>
        <w:rPr>
          <w:i/>
          <w:spacing w:val="-6"/>
        </w:rPr>
        <w:t>ПФЗ</w:t>
      </w:r>
      <w:r w:rsidRPr="00252E11">
        <w:rPr>
          <w:spacing w:val="-6"/>
        </w:rPr>
        <w:t xml:space="preserve"> на 2025-2027 годы</w:t>
      </w:r>
      <w:r>
        <w:rPr>
          <w:spacing w:val="-6"/>
        </w:rPr>
        <w:t>;</w:t>
      </w:r>
    </w:p>
    <w:p w14:paraId="2E364D24" w14:textId="77777777" w:rsidR="007E0556" w:rsidRPr="00B47C6B" w:rsidRDefault="007E0556" w:rsidP="006663A5">
      <w:pPr>
        <w:pStyle w:val="a3"/>
        <w:ind w:firstLine="567"/>
        <w:jc w:val="both"/>
        <w:rPr>
          <w:spacing w:val="-6"/>
        </w:rPr>
      </w:pPr>
      <w:r>
        <w:rPr>
          <w:spacing w:val="-6"/>
        </w:rPr>
        <w:t>– п</w:t>
      </w:r>
      <w:r w:rsidRPr="002D2E3E">
        <w:rPr>
          <w:spacing w:val="-6"/>
        </w:rPr>
        <w:t xml:space="preserve">рогнозируемые суммы поступлений доходов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подлежащих распределению в бюджеты субъектов РФ (по нормативам, установленным федеральным законом о федеральном бюджете в целях компенсации снижения доходов бюджетов субъектов </w:t>
      </w:r>
      <w:r w:rsidRPr="00B47C6B">
        <w:rPr>
          <w:spacing w:val="-6"/>
        </w:rPr>
        <w:t xml:space="preserve">Российской Федерации в связи с исключением движимого имущества из объектов налогообложения по налогу на имущество организаций), приведены в </w:t>
      </w:r>
      <w:r w:rsidRPr="00B47C6B">
        <w:rPr>
          <w:i/>
          <w:spacing w:val="-6"/>
        </w:rPr>
        <w:t>Приложении №6.1 к пояснительной записке</w:t>
      </w:r>
      <w:r w:rsidRPr="00B47C6B">
        <w:rPr>
          <w:spacing w:val="-6"/>
        </w:rPr>
        <w:t xml:space="preserve"> к ПФЗ на 2025-2027 годы;</w:t>
      </w:r>
    </w:p>
    <w:p w14:paraId="309DA72B" w14:textId="5A1EF899" w:rsidR="007E0556" w:rsidRPr="00B47C6B" w:rsidRDefault="007E0556" w:rsidP="006663A5">
      <w:pPr>
        <w:pStyle w:val="a3"/>
        <w:ind w:firstLine="567"/>
        <w:jc w:val="both"/>
        <w:rPr>
          <w:spacing w:val="-6"/>
        </w:rPr>
      </w:pPr>
      <w:r w:rsidRPr="00B47C6B">
        <w:rPr>
          <w:spacing w:val="-6"/>
        </w:rPr>
        <w:t>– доходы от уплаты акцизов на этиловый спирт и спиртосодержащую продукцию, подлежащие распределению между бюджетами субъектов Российской Федерации (по нормативам, установленным федеральным законом о федеральном бюджете), приведены в Приложении №7 к пояснительной записке к ПФЗ на 2025-2027 годы;</w:t>
      </w:r>
    </w:p>
    <w:p w14:paraId="743A27E1" w14:textId="77777777" w:rsidR="007E0556" w:rsidRPr="00B47C6B" w:rsidRDefault="007E0556" w:rsidP="006663A5">
      <w:pPr>
        <w:pStyle w:val="a3"/>
        <w:ind w:firstLine="567"/>
        <w:jc w:val="both"/>
        <w:rPr>
          <w:spacing w:val="-6"/>
        </w:rPr>
      </w:pPr>
      <w:r w:rsidRPr="00B47C6B">
        <w:rPr>
          <w:spacing w:val="-6"/>
        </w:rPr>
        <w:t>– прогнозируемые суммы поступлений доходов от уплаты акцизов на дизельное топливо, моторные масла для дизельных и (или) карбюраторных (</w:t>
      </w:r>
      <w:proofErr w:type="spellStart"/>
      <w:r w:rsidRPr="00B47C6B">
        <w:rPr>
          <w:spacing w:val="-6"/>
        </w:rPr>
        <w:t>инжекторных</w:t>
      </w:r>
      <w:proofErr w:type="spellEnd"/>
      <w:r w:rsidRPr="00B47C6B">
        <w:rPr>
          <w:spacing w:val="-6"/>
        </w:rPr>
        <w:t xml:space="preserve">) двигателей, автомобильный бензин, прямогонный бензин, подлежащие распределению между бюджетами субъектов Российской Федерации (по нормативам, установленным федеральным законом о федеральном бюджете </w:t>
      </w:r>
      <w:r w:rsidRPr="00B47C6B">
        <w:rPr>
          <w:i/>
          <w:spacing w:val="-6"/>
        </w:rPr>
        <w:t>в целях формирования дорожных фондов</w:t>
      </w:r>
      <w:r w:rsidRPr="00B47C6B">
        <w:rPr>
          <w:spacing w:val="-6"/>
        </w:rPr>
        <w:t xml:space="preserve"> субъектов Российской Федерации) приведены в </w:t>
      </w:r>
      <w:r w:rsidRPr="00B47C6B">
        <w:rPr>
          <w:i/>
          <w:spacing w:val="-6"/>
        </w:rPr>
        <w:t>Приложении № 5.1 к пояснительной записке</w:t>
      </w:r>
      <w:r w:rsidRPr="00B47C6B">
        <w:rPr>
          <w:spacing w:val="-6"/>
        </w:rPr>
        <w:t xml:space="preserve"> к ПФЗ на 2025-2027 годы;</w:t>
      </w:r>
    </w:p>
    <w:p w14:paraId="3504AAF8" w14:textId="1D825459" w:rsidR="007E0556" w:rsidRPr="006558C0" w:rsidRDefault="007E0556" w:rsidP="006663A5">
      <w:pPr>
        <w:pStyle w:val="a3"/>
        <w:ind w:firstLine="567"/>
        <w:jc w:val="both"/>
        <w:rPr>
          <w:spacing w:val="-6"/>
          <w:highlight w:val="green"/>
        </w:rPr>
      </w:pPr>
      <w:r w:rsidRPr="00B47C6B">
        <w:rPr>
          <w:spacing w:val="-4"/>
        </w:rPr>
        <w:t>– прогнозируемые суммы поступлений доходов от уплаты акцизов</w:t>
      </w:r>
      <w:r w:rsidRPr="00C80877">
        <w:rPr>
          <w:spacing w:val="-4"/>
        </w:rPr>
        <w:t xml:space="preserve"> на дизельное топливо, моторные масла для дизельных и (или) карбюраторных (</w:t>
      </w:r>
      <w:proofErr w:type="spellStart"/>
      <w:r w:rsidRPr="00C80877">
        <w:rPr>
          <w:spacing w:val="-4"/>
        </w:rPr>
        <w:t>инжекторных</w:t>
      </w:r>
      <w:proofErr w:type="spellEnd"/>
      <w:r w:rsidRPr="00C80877">
        <w:rPr>
          <w:spacing w:val="-4"/>
        </w:rPr>
        <w:t xml:space="preserve">) двигателей, автомобильный бензин, прямогонный бензин, подлежащие распределению между бюджетами субъектов Российской Федерации (по </w:t>
      </w:r>
      <w:r w:rsidRPr="00C80877">
        <w:rPr>
          <w:i/>
          <w:spacing w:val="-4"/>
        </w:rPr>
        <w:t xml:space="preserve">дополнительным </w:t>
      </w:r>
      <w:r w:rsidRPr="00C80877">
        <w:rPr>
          <w:spacing w:val="-4"/>
        </w:rPr>
        <w:t xml:space="preserve">нормативам, установленным федеральным законом о федеральном бюджете) </w:t>
      </w:r>
      <w:r w:rsidRPr="00C80877">
        <w:rPr>
          <w:i/>
          <w:spacing w:val="-4"/>
        </w:rPr>
        <w:t>в целях реализации национального проекта «Безопасные качественные дороги»</w:t>
      </w:r>
      <w:r w:rsidRPr="00C80877">
        <w:rPr>
          <w:spacing w:val="-4"/>
        </w:rPr>
        <w:t xml:space="preserve"> приведены в </w:t>
      </w:r>
      <w:r w:rsidRPr="00C80877">
        <w:rPr>
          <w:i/>
          <w:spacing w:val="-4"/>
        </w:rPr>
        <w:t>Приложении № 5.2 к пояснительной записке</w:t>
      </w:r>
      <w:r w:rsidRPr="00C80877">
        <w:rPr>
          <w:spacing w:val="-4"/>
        </w:rPr>
        <w:t xml:space="preserve"> к ПФЗ на 2025-2027 годы</w:t>
      </w:r>
      <w:r w:rsidRPr="002D2E3E">
        <w:rPr>
          <w:spacing w:val="-6"/>
        </w:rPr>
        <w:t>.</w:t>
      </w:r>
    </w:p>
  </w:footnote>
  <w:footnote w:id="6">
    <w:p w14:paraId="20D4E24E" w14:textId="3EC54B9A" w:rsidR="007E0556" w:rsidRDefault="007E0556" w:rsidP="00252E11">
      <w:pPr>
        <w:pStyle w:val="a3"/>
        <w:ind w:firstLine="567"/>
        <w:jc w:val="both"/>
      </w:pPr>
      <w:r w:rsidRPr="00252E11">
        <w:rPr>
          <w:rStyle w:val="a5"/>
        </w:rPr>
        <w:footnoteRef/>
      </w:r>
      <w:r w:rsidRPr="00252E11">
        <w:t xml:space="preserve"> Утверждаются Законом о бюджете области</w:t>
      </w:r>
      <w:r>
        <w:t xml:space="preserve"> (Приложения №5, №6 к Законопроекту), методика расчета нормативов установлена</w:t>
      </w:r>
      <w:r w:rsidRPr="00252E11">
        <w:t xml:space="preserve"> Законом области о межбюджетных отношениях (в редакции от 07.10.2024).</w:t>
      </w:r>
    </w:p>
  </w:footnote>
  <w:footnote w:id="7">
    <w:p w14:paraId="35A5EEFB" w14:textId="145AD75F" w:rsidR="007E0556" w:rsidRPr="00C56C89" w:rsidRDefault="007E0556" w:rsidP="00E17672">
      <w:pPr>
        <w:pStyle w:val="a3"/>
        <w:ind w:firstLine="567"/>
        <w:jc w:val="both"/>
        <w:rPr>
          <w:spacing w:val="-6"/>
          <w:highlight w:val="yellow"/>
        </w:rPr>
      </w:pPr>
      <w:r w:rsidRPr="00C76D4F">
        <w:rPr>
          <w:rStyle w:val="a5"/>
          <w:spacing w:val="-6"/>
        </w:rPr>
        <w:footnoteRef/>
      </w:r>
      <w:r w:rsidRPr="00C76D4F">
        <w:rPr>
          <w:spacing w:val="-6"/>
        </w:rPr>
        <w:t xml:space="preserve"> В доходах бюджета области учтены расчеты прогнозных поступлений госпошлины следующих главных администраторов доходов: Управление Министерства юстиции РФ по Тульской области; УМВД России по Тульской области; Управление Федеральной службы государственной регистрации, кадастра и картографии по Тульской области; Управление Федеральной службы по надзору в сфере связи, информационных технологий и массовых коммуникаций по Тульской области; министерство природных ресурсов и экологии Тульской области; министерство </w:t>
      </w:r>
      <w:r>
        <w:rPr>
          <w:spacing w:val="-6"/>
        </w:rPr>
        <w:t>культуры</w:t>
      </w:r>
      <w:r w:rsidRPr="00C76D4F">
        <w:rPr>
          <w:spacing w:val="-6"/>
        </w:rPr>
        <w:t xml:space="preserve"> Тульской области</w:t>
      </w:r>
      <w:r>
        <w:rPr>
          <w:spacing w:val="-6"/>
        </w:rPr>
        <w:t>;</w:t>
      </w:r>
      <w:r w:rsidRPr="00C76D4F">
        <w:rPr>
          <w:spacing w:val="-6"/>
        </w:rPr>
        <w:t xml:space="preserve"> министерство образования Тульской области; </w:t>
      </w:r>
      <w:r>
        <w:rPr>
          <w:spacing w:val="-6"/>
        </w:rPr>
        <w:t xml:space="preserve">министерство сельского хозяйства Тульской области; </w:t>
      </w:r>
      <w:r w:rsidRPr="00C76D4F">
        <w:rPr>
          <w:spacing w:val="-6"/>
        </w:rPr>
        <w:t>министерство промышленности и торговли Тульской области; инспекция Тульской области по государственному надзору за техническим состоянием самоходных машин и других видов техники; государственная жилищная инспекция Тульской области.</w:t>
      </w:r>
    </w:p>
  </w:footnote>
  <w:footnote w:id="8">
    <w:p w14:paraId="00E6F40E" w14:textId="4414EF61" w:rsidR="007E0556" w:rsidRDefault="007E0556" w:rsidP="00562B23">
      <w:pPr>
        <w:pStyle w:val="a3"/>
        <w:ind w:firstLine="567"/>
        <w:jc w:val="both"/>
      </w:pPr>
      <w:r>
        <w:rPr>
          <w:rStyle w:val="a5"/>
        </w:rPr>
        <w:footnoteRef/>
      </w:r>
      <w:r>
        <w:t xml:space="preserve">  При расчете поступлений в бюджет области </w:t>
      </w:r>
      <w:r w:rsidRPr="00562B23">
        <w:rPr>
          <w:i/>
        </w:rPr>
        <w:t>акцизов на пиво</w:t>
      </w:r>
      <w:r w:rsidRPr="004475B0">
        <w:t>, напитки, изготавливаемые на основе пива, производимые на территории Российской Федерации</w:t>
      </w:r>
      <w:r>
        <w:t xml:space="preserve">, а также </w:t>
      </w:r>
      <w:r w:rsidRPr="008E0325">
        <w:rPr>
          <w:i/>
        </w:rPr>
        <w:t xml:space="preserve">на сидр, </w:t>
      </w:r>
      <w:proofErr w:type="spellStart"/>
      <w:r w:rsidRPr="008E0325">
        <w:rPr>
          <w:i/>
        </w:rPr>
        <w:t>пуаре</w:t>
      </w:r>
      <w:proofErr w:type="spellEnd"/>
      <w:r w:rsidRPr="008E0325">
        <w:rPr>
          <w:i/>
        </w:rPr>
        <w:t>, медовуху</w:t>
      </w:r>
      <w:r>
        <w:t xml:space="preserve"> применены налоговые ставки в 27 рублей за 1 литр на 2025 год, 28 рублей на 2026 год, 29 рублей на 2027 год.</w:t>
      </w:r>
    </w:p>
    <w:p w14:paraId="28724672" w14:textId="41439028" w:rsidR="007E0556" w:rsidRDefault="007E0556" w:rsidP="00562B23">
      <w:pPr>
        <w:pStyle w:val="a3"/>
        <w:ind w:firstLine="567"/>
        <w:jc w:val="both"/>
      </w:pPr>
      <w:r>
        <w:t xml:space="preserve">В соответствии с </w:t>
      </w:r>
      <w:r w:rsidRPr="00562B23">
        <w:t>Федеральным законом от 29.10.2024 №362-ФЗ</w:t>
      </w:r>
      <w:r>
        <w:t xml:space="preserve"> </w:t>
      </w:r>
      <w:proofErr w:type="gramStart"/>
      <w:r>
        <w:t>налоговые ставки</w:t>
      </w:r>
      <w:proofErr w:type="gramEnd"/>
      <w:r>
        <w:t xml:space="preserve"> следующие: 30 рублей на 2025 год, 31 рубль на 2026 год, 32 рубля на 2027 год.</w:t>
      </w:r>
    </w:p>
    <w:p w14:paraId="5318B41B" w14:textId="157ABADA" w:rsidR="007E0556" w:rsidRDefault="007E0556" w:rsidP="00562B23">
      <w:pPr>
        <w:pStyle w:val="a3"/>
        <w:ind w:firstLine="567"/>
        <w:jc w:val="both"/>
      </w:pPr>
      <w:r>
        <w:t xml:space="preserve">Прогнозируемый объем поступлений по налоговой ставке, установленной </w:t>
      </w:r>
      <w:r w:rsidRPr="00562B23">
        <w:t>Федеральным законом от 29.10.2024 №362-ФЗ</w:t>
      </w:r>
      <w:r>
        <w:t>, больше учтенного в Законопроекте:</w:t>
      </w:r>
    </w:p>
    <w:p w14:paraId="5513B7AB" w14:textId="3BA11F2E" w:rsidR="007E0556" w:rsidRDefault="007E0556" w:rsidP="00562B23">
      <w:pPr>
        <w:pStyle w:val="a3"/>
        <w:ind w:firstLine="567"/>
        <w:jc w:val="both"/>
      </w:pPr>
      <w:r>
        <w:t xml:space="preserve">по акцизам на </w:t>
      </w:r>
      <w:r w:rsidRPr="00C80877">
        <w:rPr>
          <w:i/>
        </w:rPr>
        <w:t xml:space="preserve">пиво </w:t>
      </w:r>
      <w:r>
        <w:t>на 1 437,6 млн. рублей на 2025 год, на 1 543,2 млн. рублей на 2026 год, на 1 656,4 млн. рублей на 2027 год;</w:t>
      </w:r>
    </w:p>
    <w:p w14:paraId="5A9CFBC3" w14:textId="1F278CBF" w:rsidR="007E0556" w:rsidRDefault="007E0556" w:rsidP="00562B23">
      <w:pPr>
        <w:pStyle w:val="a3"/>
        <w:ind w:firstLine="567"/>
        <w:jc w:val="both"/>
      </w:pPr>
      <w:r>
        <w:t xml:space="preserve">по акцизам </w:t>
      </w:r>
      <w:r w:rsidRPr="008E0325">
        <w:rPr>
          <w:i/>
        </w:rPr>
        <w:t xml:space="preserve">на сидр, </w:t>
      </w:r>
      <w:proofErr w:type="spellStart"/>
      <w:r w:rsidRPr="008E0325">
        <w:rPr>
          <w:i/>
        </w:rPr>
        <w:t>пуаре</w:t>
      </w:r>
      <w:proofErr w:type="spellEnd"/>
      <w:r w:rsidRPr="008E0325">
        <w:rPr>
          <w:i/>
        </w:rPr>
        <w:t>, медовуху</w:t>
      </w:r>
      <w:r w:rsidRPr="008E0325">
        <w:t xml:space="preserve"> больше учтенн</w:t>
      </w:r>
      <w:r>
        <w:t>ого</w:t>
      </w:r>
      <w:r w:rsidRPr="008E0325">
        <w:t xml:space="preserve"> в Законопроекте на 1</w:t>
      </w:r>
      <w:r>
        <w:t>,11 млн</w:t>
      </w:r>
      <w:r w:rsidRPr="008E0325">
        <w:t>. рублей на 2025 год, на 1</w:t>
      </w:r>
      <w:r>
        <w:t>,16</w:t>
      </w:r>
      <w:r w:rsidRPr="008E0325">
        <w:t xml:space="preserve"> млн. рублей на 2026 год, на 1</w:t>
      </w:r>
      <w:r>
        <w:t>,20</w:t>
      </w:r>
      <w:r w:rsidRPr="008E0325">
        <w:t xml:space="preserve"> млн. рублей на 2027 год</w:t>
      </w:r>
      <w:r>
        <w:t>.</w:t>
      </w:r>
    </w:p>
  </w:footnote>
  <w:footnote w:id="9">
    <w:p w14:paraId="2BF5B35F" w14:textId="77777777" w:rsidR="007E0556" w:rsidRPr="001A5B58" w:rsidRDefault="007E0556" w:rsidP="00697211">
      <w:pPr>
        <w:pStyle w:val="a3"/>
        <w:ind w:firstLine="567"/>
        <w:jc w:val="both"/>
        <w:rPr>
          <w:spacing w:val="-5"/>
        </w:rPr>
      </w:pPr>
      <w:r w:rsidRPr="00697211">
        <w:rPr>
          <w:rStyle w:val="a5"/>
          <w:spacing w:val="-5"/>
        </w:rPr>
        <w:footnoteRef/>
      </w:r>
      <w:r w:rsidRPr="00697211">
        <w:rPr>
          <w:spacing w:val="-5"/>
        </w:rPr>
        <w:t xml:space="preserve"> Прогноз составлен на основании </w:t>
      </w:r>
      <w:r w:rsidRPr="001A5B58">
        <w:rPr>
          <w:spacing w:val="-5"/>
        </w:rPr>
        <w:t xml:space="preserve">сведений главных администраторов доходов, из них по сведениям: </w:t>
      </w:r>
    </w:p>
    <w:p w14:paraId="6D7C0F38" w14:textId="0D65199E" w:rsidR="007E0556" w:rsidRPr="001A5B58" w:rsidRDefault="007E0556" w:rsidP="00697211">
      <w:pPr>
        <w:pStyle w:val="a3"/>
        <w:ind w:firstLine="567"/>
        <w:jc w:val="both"/>
        <w:rPr>
          <w:spacing w:val="-5"/>
        </w:rPr>
      </w:pPr>
      <w:r w:rsidRPr="001A5B58">
        <w:rPr>
          <w:spacing w:val="-5"/>
        </w:rPr>
        <w:t xml:space="preserve">министерства имущественных и земельных отношений Тульской области – доходы от сдачи в аренду имущества, составляющую казну Тульской области (11,4 млн. рублей), земельных участков (29,5 млн. рублей); </w:t>
      </w:r>
    </w:p>
    <w:p w14:paraId="4B60C6E9" w14:textId="693399CF" w:rsidR="007E0556" w:rsidRPr="001A5B58" w:rsidRDefault="007E0556" w:rsidP="00697211">
      <w:pPr>
        <w:pStyle w:val="a3"/>
        <w:ind w:firstLine="567"/>
        <w:jc w:val="both"/>
        <w:rPr>
          <w:spacing w:val="-5"/>
        </w:rPr>
      </w:pPr>
      <w:r w:rsidRPr="001A5B58">
        <w:rPr>
          <w:spacing w:val="-5"/>
        </w:rPr>
        <w:t>другие главные администраторы доходов: доходы от сдачи в аренду имущества, находящегося в оперативном управлении органов государственной власти (9,9 млн. рублей); плата по соглашениям об установлении сервитута, в отношении земельных участков (28,1 тыс. рублей); прочие поступления от использования имущества (0,8 млн. рублей).</w:t>
      </w:r>
    </w:p>
  </w:footnote>
  <w:footnote w:id="10">
    <w:p w14:paraId="5ABBC451" w14:textId="520510CB" w:rsidR="007E0556" w:rsidRPr="00933509" w:rsidRDefault="007E0556" w:rsidP="00697211">
      <w:pPr>
        <w:pStyle w:val="a3"/>
        <w:spacing w:before="40"/>
        <w:ind w:firstLine="567"/>
        <w:jc w:val="both"/>
        <w:rPr>
          <w:spacing w:val="-5"/>
          <w:highlight w:val="yellow"/>
        </w:rPr>
      </w:pPr>
      <w:r w:rsidRPr="001A5B58">
        <w:rPr>
          <w:rStyle w:val="a5"/>
          <w:spacing w:val="-5"/>
        </w:rPr>
        <w:footnoteRef/>
      </w:r>
      <w:r w:rsidRPr="001A5B58">
        <w:rPr>
          <w:spacing w:val="-5"/>
        </w:rPr>
        <w:t xml:space="preserve"> В доходах от продажи материальных и нематериальных активов учтены доходы на основании сведений главных администраторов доходов: министерства имущественных и земельных отношений Тульской области – доходы от реализации иного имущества, находящегося в собственности Тульской области (0,5 млн. рублей), доходы от продажи земельных участков, находящихся в собственности Тульской области  (4,6 млн. рублей); других главных администраторов доходов по доходам от реализации имущества, находящегося в оперативном управлении учреждений, находящихся в ведении органов государственной власти </w:t>
      </w:r>
      <w:r>
        <w:rPr>
          <w:spacing w:val="-5"/>
        </w:rPr>
        <w:t>Тульской области</w:t>
      </w:r>
      <w:r w:rsidRPr="001A5B58">
        <w:rPr>
          <w:spacing w:val="-5"/>
        </w:rPr>
        <w:t xml:space="preserve">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(0,1 млн. рублей).</w:t>
      </w:r>
    </w:p>
    <w:p w14:paraId="706731F0" w14:textId="65011949" w:rsidR="007E0556" w:rsidRPr="00933509" w:rsidRDefault="007E0556" w:rsidP="00697211">
      <w:pPr>
        <w:pStyle w:val="a3"/>
        <w:spacing w:before="40"/>
        <w:ind w:firstLine="567"/>
        <w:jc w:val="both"/>
        <w:rPr>
          <w:spacing w:val="-5"/>
          <w:highlight w:val="yellow"/>
        </w:rPr>
      </w:pPr>
      <w:r w:rsidRPr="00A60DA1">
        <w:rPr>
          <w:spacing w:val="-5"/>
        </w:rPr>
        <w:t>Согласно Закону Тульской области от 21.07.2024 №44-ЗТО «О прогнозном плане (программе) приватизации государственного имущества Тульской области на 2025 год и на плановый период 2026 и 2027 годов</w:t>
      </w:r>
      <w:proofErr w:type="gramStart"/>
      <w:r w:rsidRPr="00A60DA1">
        <w:rPr>
          <w:spacing w:val="-5"/>
        </w:rPr>
        <w:t>»</w:t>
      </w:r>
      <w:proofErr w:type="gramEnd"/>
      <w:r w:rsidRPr="00A60DA1">
        <w:t xml:space="preserve"> «прогнозируемые доходы от приватизации государственного имущества Тульской области на 2025 год ожидаются в сумме 624,7 тыс. рублей, в том числе от продажи земельного участка – 145,1 тыс. рублей».</w:t>
      </w:r>
    </w:p>
  </w:footnote>
  <w:footnote w:id="11">
    <w:p w14:paraId="6C00F7A5" w14:textId="0EBAF033" w:rsidR="007E0556" w:rsidRDefault="007E0556" w:rsidP="0098098C">
      <w:pPr>
        <w:pStyle w:val="a3"/>
        <w:ind w:firstLine="567"/>
        <w:jc w:val="both"/>
      </w:pPr>
      <w:r>
        <w:rPr>
          <w:rStyle w:val="a5"/>
        </w:rPr>
        <w:footnoteRef/>
      </w:r>
      <w:r>
        <w:t xml:space="preserve"> В методике расчета министерства образования Тульской области по КБК</w:t>
      </w:r>
      <w:r w:rsidRPr="0098098C">
        <w:t xml:space="preserve"> 808 1 11 05322 02 0000 120</w:t>
      </w:r>
      <w:r>
        <w:t xml:space="preserve"> – плата по соглашениям об установлении сервитута,</w:t>
      </w:r>
      <w:r w:rsidRPr="0098098C">
        <w:t xml:space="preserve"> заключенным органами исполнительной власти в отношении земельных участков, находящихся в собственности </w:t>
      </w:r>
      <w:r>
        <w:t xml:space="preserve">Тульской области предусмотрен учет </w:t>
      </w:r>
      <w:r w:rsidRPr="0098098C">
        <w:t>ожидаемых результатов работы по взысканию дебиторской задолженности по доходам в планируемом период</w:t>
      </w:r>
      <w:r>
        <w:t>е, однако в расчетах такая графа отсутствует.</w:t>
      </w:r>
    </w:p>
  </w:footnote>
  <w:footnote w:id="12">
    <w:p w14:paraId="267D15F0" w14:textId="38C3BA13" w:rsidR="007E0556" w:rsidRPr="00933509" w:rsidRDefault="007E0556" w:rsidP="00422344">
      <w:pPr>
        <w:pStyle w:val="a3"/>
        <w:ind w:firstLine="567"/>
        <w:jc w:val="both"/>
        <w:rPr>
          <w:highlight w:val="yellow"/>
        </w:rPr>
      </w:pPr>
      <w:r w:rsidRPr="0085227F">
        <w:rPr>
          <w:rStyle w:val="a5"/>
        </w:rPr>
        <w:footnoteRef/>
      </w:r>
      <w:r w:rsidRPr="0085227F">
        <w:t xml:space="preserve"> Проект федерального закона «О федеральном бюджете на 2025 год и на плановый период 2026 и 2027 годов №727320-8, принят Государственной Думой в 1 чтении 24.10.2024.</w:t>
      </w:r>
    </w:p>
  </w:footnote>
  <w:footnote w:id="13">
    <w:p w14:paraId="2C8B8814" w14:textId="26D7BE06" w:rsidR="007E0556" w:rsidRDefault="007E0556" w:rsidP="003D6DB7">
      <w:pPr>
        <w:pStyle w:val="a3"/>
        <w:ind w:firstLine="567"/>
        <w:jc w:val="both"/>
      </w:pPr>
      <w:r>
        <w:rPr>
          <w:rStyle w:val="a5"/>
        </w:rPr>
        <w:footnoteRef/>
      </w:r>
      <w:r>
        <w:t xml:space="preserve"> На основании расчета главного администратора доходов – министерства труда и социальной защиты Тульской области.</w:t>
      </w:r>
    </w:p>
  </w:footnote>
  <w:footnote w:id="14">
    <w:p w14:paraId="22941186" w14:textId="3717F296" w:rsidR="007E0556" w:rsidRDefault="007E0556" w:rsidP="003D6DB7">
      <w:pPr>
        <w:pStyle w:val="a3"/>
        <w:ind w:firstLine="567"/>
      </w:pPr>
      <w:r>
        <w:rPr>
          <w:rStyle w:val="a5"/>
        </w:rPr>
        <w:footnoteRef/>
      </w:r>
      <w:r>
        <w:t xml:space="preserve"> </w:t>
      </w:r>
      <w:r w:rsidRPr="003D6DB7">
        <w:t xml:space="preserve">На основании расчета главного администратора доходов – </w:t>
      </w:r>
      <w:r>
        <w:t>Правительство</w:t>
      </w:r>
      <w:r w:rsidRPr="003D6DB7">
        <w:t xml:space="preserve"> Тульской области.</w:t>
      </w:r>
    </w:p>
  </w:footnote>
  <w:footnote w:id="15">
    <w:p w14:paraId="2D04F8B7" w14:textId="77777777" w:rsidR="007E0556" w:rsidRPr="00933509" w:rsidRDefault="007E0556" w:rsidP="00422344">
      <w:pPr>
        <w:pStyle w:val="a3"/>
        <w:ind w:firstLine="567"/>
        <w:jc w:val="both"/>
        <w:rPr>
          <w:spacing w:val="-5"/>
          <w:highlight w:val="yellow"/>
        </w:rPr>
      </w:pPr>
      <w:r w:rsidRPr="007E75F0">
        <w:rPr>
          <w:rStyle w:val="a5"/>
          <w:spacing w:val="-5"/>
        </w:rPr>
        <w:footnoteRef/>
      </w:r>
      <w:r w:rsidRPr="007E75F0">
        <w:rPr>
          <w:spacing w:val="-5"/>
        </w:rPr>
        <w:t xml:space="preserve"> На основании сведений главного администратора доходов – министерства здравоохранения Тульской области. </w:t>
      </w:r>
    </w:p>
  </w:footnote>
  <w:footnote w:id="16">
    <w:p w14:paraId="37B5E6D6" w14:textId="77777777" w:rsidR="007E0556" w:rsidRPr="00FB7390" w:rsidRDefault="007E0556" w:rsidP="00422344">
      <w:pPr>
        <w:pStyle w:val="a3"/>
        <w:ind w:firstLine="567"/>
        <w:jc w:val="both"/>
        <w:rPr>
          <w:spacing w:val="-5"/>
          <w:sz w:val="21"/>
          <w:szCs w:val="21"/>
        </w:rPr>
      </w:pPr>
      <w:r w:rsidRPr="00B210D9">
        <w:rPr>
          <w:rStyle w:val="a5"/>
          <w:spacing w:val="-5"/>
        </w:rPr>
        <w:footnoteRef/>
      </w:r>
      <w:r w:rsidRPr="00B210D9">
        <w:rPr>
          <w:spacing w:val="-5"/>
        </w:rPr>
        <w:t> На основании сведений главного администратора доходов – министерства труда и социальной защиты Тульской области.</w:t>
      </w:r>
    </w:p>
  </w:footnote>
  <w:footnote w:id="17">
    <w:p w14:paraId="7BBA5E05" w14:textId="77777777" w:rsidR="007E0556" w:rsidRPr="00C207C6" w:rsidRDefault="007E0556" w:rsidP="00B60477">
      <w:pPr>
        <w:pStyle w:val="a3"/>
        <w:ind w:firstLine="567"/>
        <w:jc w:val="both"/>
        <w:rPr>
          <w:spacing w:val="-4"/>
        </w:rPr>
      </w:pPr>
      <w:r w:rsidRPr="00C207C6">
        <w:rPr>
          <w:rStyle w:val="a5"/>
          <w:spacing w:val="-4"/>
        </w:rPr>
        <w:footnoteRef/>
      </w:r>
      <w:r w:rsidRPr="00C207C6">
        <w:rPr>
          <w:spacing w:val="-4"/>
        </w:rPr>
        <w:t xml:space="preserve"> Увеличение указанных расходов обусловлено:</w:t>
      </w:r>
    </w:p>
    <w:p w14:paraId="37B5D96E" w14:textId="77777777" w:rsidR="007E0556" w:rsidRPr="00565CF0" w:rsidRDefault="007E0556" w:rsidP="00B60477">
      <w:pPr>
        <w:pStyle w:val="a3"/>
        <w:ind w:firstLine="567"/>
        <w:jc w:val="both"/>
        <w:rPr>
          <w:spacing w:val="-4"/>
        </w:rPr>
      </w:pPr>
      <w:r w:rsidRPr="00C207C6">
        <w:rPr>
          <w:spacing w:val="-4"/>
        </w:rPr>
        <w:t>Увеличены расходы на обеспечение предоставления жилых помещений врачам, прибывшим на работу в государственные учреждения здравоохранения Тульской области (ГРБС – министерство здравоохранения Тульской области), на обеспечение приобретения земельных, (изъятых) земельных участков в собственность Тульской области из земель сельскохозяйственного назначения (ГРБС – министерство имущественных и земельных отношений Тульской области);</w:t>
      </w:r>
    </w:p>
    <w:p w14:paraId="5663354A" w14:textId="77777777" w:rsidR="007E0556" w:rsidRPr="00C207C6" w:rsidRDefault="007E0556" w:rsidP="00B60477">
      <w:pPr>
        <w:pStyle w:val="a3"/>
        <w:ind w:firstLine="567"/>
        <w:jc w:val="both"/>
      </w:pPr>
      <w:r w:rsidRPr="00C207C6">
        <w:t>Значительно увеличены расходы на строительство и реконструкцию автомобильных дорог общего пользования регионального и межмуниципального значения (ГРБС – министерство транспорта и дорожного хозяйства Тульской области); на бюджетные инвестиции в объекты капитального строительства собственности Тульской области (ГРБС - министерство спорта Тульской области);</w:t>
      </w:r>
    </w:p>
    <w:p w14:paraId="1EBF6987" w14:textId="3E95B0F7" w:rsidR="007E0556" w:rsidRPr="00C207C6" w:rsidRDefault="007E0556" w:rsidP="00B60477">
      <w:pPr>
        <w:pStyle w:val="a3"/>
        <w:ind w:firstLine="567"/>
        <w:jc w:val="both"/>
      </w:pPr>
      <w:r w:rsidRPr="00C207C6">
        <w:t xml:space="preserve">Строительством хирургического корпуса ГУЗ «Тульская городская клиническая больница скорой медицинской помощи имени Д.Я. </w:t>
      </w:r>
      <w:proofErr w:type="spellStart"/>
      <w:r w:rsidRPr="00C207C6">
        <w:t>Ваныкина</w:t>
      </w:r>
      <w:proofErr w:type="spellEnd"/>
      <w:r w:rsidRPr="00C207C6">
        <w:t>» в г. Тула, в т.ч. ПИР (ГРБС – министерство строительства Тульской области).</w:t>
      </w:r>
    </w:p>
  </w:footnote>
  <w:footnote w:id="18">
    <w:p w14:paraId="001A7915" w14:textId="77777777" w:rsidR="007E0556" w:rsidRDefault="007E0556" w:rsidP="00565CF0">
      <w:pPr>
        <w:pStyle w:val="a3"/>
        <w:ind w:firstLine="567"/>
        <w:jc w:val="both"/>
      </w:pPr>
      <w:r>
        <w:rPr>
          <w:rStyle w:val="a5"/>
        </w:rPr>
        <w:footnoteRef/>
      </w:r>
      <w:r>
        <w:t xml:space="preserve"> Указом Губернатора Тульской области от 12.12.2022 №127 «Об осуществлении в 2023-2024 годах единовременных денежных выплат отдельным категориям военнослужащих и лиц, проходящих службу в войсках национальной гвардии Российской Федерации, отдельным категориям граждан и членам их семей» </w:t>
      </w:r>
      <w:r>
        <w:rPr>
          <w:i/>
        </w:rPr>
        <w:t>установлены 7 видов единовременных денежных выплат</w:t>
      </w:r>
      <w:r>
        <w:t xml:space="preserve"> (от 200,0 тыс. рублей до 2,0 млн. рублей) военнослужащим, лицам, проходящим службу в войсках национальной гвардии Российской Федерации и имеющим специальное звание полиции, гражданам, заключившим контракт о добровольном содействии в выполнении задач, возложенных на Вооруженные Силы Российской Федерации, или призванным на военную службу по мобилизации в Вооруженные Силы Российской Федерации и принимающим (принимавшим) участие в специальной военной операции, проводимой с 24 февраля 2022 года, и членам их семей. </w:t>
      </w:r>
    </w:p>
    <w:p w14:paraId="12A3C57E" w14:textId="77777777" w:rsidR="007E0556" w:rsidRDefault="007E0556" w:rsidP="00565CF0">
      <w:pPr>
        <w:pStyle w:val="a3"/>
        <w:ind w:firstLine="567"/>
        <w:jc w:val="both"/>
      </w:pPr>
      <w:r>
        <w:t>Дополнительные 2 выплаты, установленные в 2024 году введены Указами Губернатора Тульской области от 12.04.2024 № 28 и от 26.09.2024 № 112.</w:t>
      </w:r>
    </w:p>
    <w:p w14:paraId="2FDC225B" w14:textId="77777777" w:rsidR="007E0556" w:rsidRDefault="007E0556" w:rsidP="00565CF0">
      <w:pPr>
        <w:pStyle w:val="a3"/>
        <w:ind w:firstLine="567"/>
        <w:jc w:val="both"/>
      </w:pPr>
      <w:r>
        <w:t xml:space="preserve">Однако в представленном Перечне публичных нормативных обязательств на 2025 год указанные выплаты </w:t>
      </w:r>
      <w:r>
        <w:rPr>
          <w:i/>
        </w:rPr>
        <w:t>не детализированы и представлены одной суммой, что отмечалось ранее</w:t>
      </w:r>
      <w:r>
        <w:t>.</w:t>
      </w:r>
    </w:p>
  </w:footnote>
  <w:footnote w:id="19">
    <w:p w14:paraId="2EC2866B" w14:textId="0CE3DFF0" w:rsidR="007E0556" w:rsidRPr="00331ADA" w:rsidRDefault="007E0556" w:rsidP="00B20354">
      <w:pPr>
        <w:pStyle w:val="a3"/>
        <w:ind w:firstLine="567"/>
        <w:jc w:val="both"/>
        <w:rPr>
          <w:spacing w:val="-6"/>
        </w:rPr>
      </w:pPr>
      <w:r w:rsidRPr="003A1234">
        <w:rPr>
          <w:rStyle w:val="a5"/>
          <w:spacing w:val="-6"/>
        </w:rPr>
        <w:footnoteRef/>
      </w:r>
      <w:r w:rsidRPr="003A1234">
        <w:rPr>
          <w:spacing w:val="-6"/>
        </w:rPr>
        <w:t xml:space="preserve"> Приложение №7 к Законопроекту «Распределение бюджетных ассигнований бюджета Тульской области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 Тульской области на 2025 год», приложение №9 к Законопроекту «Ведомственная структура расходов бюджета Тульской области на 2025 год», приложение №11 к Законопроекту «Распределение бюджетных ассигнований бюджета Тульской области по целевым</w:t>
      </w:r>
      <w:r w:rsidRPr="00331ADA">
        <w:rPr>
          <w:spacing w:val="-6"/>
        </w:rPr>
        <w:t xml:space="preserve"> статьям (государственным программам и непрограммным направлениям деятельности), группам и подгруппам видов расходов, разделам, подразделам классификации расходов бюджета Тульской области на </w:t>
      </w:r>
      <w:r>
        <w:rPr>
          <w:spacing w:val="-6"/>
        </w:rPr>
        <w:t>2025</w:t>
      </w:r>
      <w:r w:rsidRPr="00331ADA">
        <w:rPr>
          <w:spacing w:val="-6"/>
        </w:rPr>
        <w:t xml:space="preserve"> год».</w:t>
      </w:r>
    </w:p>
  </w:footnote>
  <w:footnote w:id="20">
    <w:p w14:paraId="1B50A66E" w14:textId="77777777" w:rsidR="007E0556" w:rsidRPr="00735188" w:rsidRDefault="007E0556" w:rsidP="00EE4EA6">
      <w:pPr>
        <w:spacing w:after="0" w:line="240" w:lineRule="auto"/>
        <w:ind w:firstLine="567"/>
        <w:jc w:val="both"/>
        <w:rPr>
          <w:rFonts w:ascii="Times New Roman" w:eastAsia="Times New Roman" w:hAnsi="Times New Roman" w:cs="Times New Roman"/>
          <w:spacing w:val="-4"/>
          <w:sz w:val="20"/>
          <w:szCs w:val="20"/>
          <w:lang w:eastAsia="ru-RU"/>
        </w:rPr>
      </w:pPr>
      <w:r w:rsidRPr="00754B6F">
        <w:rPr>
          <w:rStyle w:val="a5"/>
          <w:rFonts w:ascii="Times New Roman" w:hAnsi="Times New Roman" w:cs="Times New Roman"/>
          <w:spacing w:val="-4"/>
          <w:sz w:val="20"/>
          <w:szCs w:val="20"/>
        </w:rPr>
        <w:footnoteRef/>
      </w:r>
      <w:r w:rsidRPr="00754B6F">
        <w:rPr>
          <w:rFonts w:ascii="Times New Roman" w:hAnsi="Times New Roman" w:cs="Times New Roman"/>
          <w:spacing w:val="-4"/>
          <w:sz w:val="20"/>
          <w:szCs w:val="20"/>
        </w:rPr>
        <w:t xml:space="preserve"> 2 выплаты объединены в одну целевую статью:</w:t>
      </w:r>
    </w:p>
    <w:p w14:paraId="000D7A38" w14:textId="77777777" w:rsidR="007E0556" w:rsidRPr="00F40A9B" w:rsidRDefault="007E0556" w:rsidP="00EE4EA6">
      <w:pPr>
        <w:spacing w:after="0" w:line="240" w:lineRule="auto"/>
        <w:ind w:firstLine="708"/>
        <w:jc w:val="both"/>
        <w:rPr>
          <w:rFonts w:ascii="Times New Roman" w:eastAsia="Times New Roman" w:hAnsi="Times New Roman" w:cs="Times New Roman"/>
          <w:spacing w:val="-4"/>
          <w:sz w:val="20"/>
          <w:szCs w:val="20"/>
          <w:lang w:eastAsia="ru-RU"/>
        </w:rPr>
      </w:pPr>
      <w:r w:rsidRPr="00F40A9B">
        <w:rPr>
          <w:rFonts w:ascii="Times New Roman" w:hAnsi="Times New Roman" w:cs="Times New Roman"/>
          <w:spacing w:val="-4"/>
          <w:sz w:val="20"/>
          <w:szCs w:val="20"/>
        </w:rPr>
        <w:t xml:space="preserve">- </w:t>
      </w:r>
      <w:r w:rsidRPr="00F40A9B">
        <w:rPr>
          <w:rFonts w:ascii="PT Astra Serif" w:eastAsia="Times New Roman" w:hAnsi="PT Astra Serif" w:cs="Times New Roman"/>
          <w:sz w:val="20"/>
          <w:szCs w:val="20"/>
          <w:lang w:eastAsia="ru-RU"/>
        </w:rPr>
        <w:t>единовременное денежное вознаграждение спортсменам по видам спорта инвалидов, представляющим область и выступающим в составе сборных команд Российской Федерации или области, за достижение ими высоких спортивных результатов, их тренерам</w:t>
      </w:r>
      <w:r w:rsidRPr="00F40A9B">
        <w:rPr>
          <w:rFonts w:ascii="Times New Roman" w:eastAsia="Times New Roman" w:hAnsi="Times New Roman" w:cs="Times New Roman"/>
          <w:spacing w:val="-4"/>
          <w:sz w:val="20"/>
          <w:szCs w:val="20"/>
          <w:lang w:eastAsia="ru-RU"/>
        </w:rPr>
        <w:t>;</w:t>
      </w:r>
    </w:p>
    <w:p w14:paraId="201668EC" w14:textId="77777777" w:rsidR="007E0556" w:rsidRPr="00F40A9B" w:rsidRDefault="007E0556" w:rsidP="00EE4EA6">
      <w:pPr>
        <w:spacing w:after="0" w:line="240" w:lineRule="auto"/>
        <w:ind w:firstLine="708"/>
        <w:jc w:val="both"/>
        <w:rPr>
          <w:rFonts w:ascii="PT Astra Serif" w:eastAsia="Times New Roman" w:hAnsi="PT Astra Serif" w:cs="Times New Roman"/>
          <w:sz w:val="20"/>
          <w:szCs w:val="20"/>
          <w:lang w:eastAsia="ru-RU"/>
        </w:rPr>
      </w:pPr>
      <w:r w:rsidRPr="00F40A9B">
        <w:rPr>
          <w:rFonts w:ascii="PT Astra Serif" w:eastAsia="Times New Roman" w:hAnsi="PT Astra Serif" w:cs="Times New Roman"/>
          <w:sz w:val="20"/>
          <w:szCs w:val="20"/>
          <w:lang w:eastAsia="ru-RU"/>
        </w:rPr>
        <w:t>- ежемесячное денежное содержание спортсменам по видам спорта инвалидов, представляющим область и выступающим в составе сборных команд Российской Федерации или области, за достижение ими высоких спортивных результатов;</w:t>
      </w:r>
    </w:p>
    <w:p w14:paraId="16C3F084" w14:textId="77777777" w:rsidR="007E0556" w:rsidRDefault="007E0556" w:rsidP="00EE4EA6">
      <w:pPr>
        <w:spacing w:after="0" w:line="240" w:lineRule="auto"/>
        <w:ind w:firstLine="708"/>
        <w:jc w:val="both"/>
        <w:rPr>
          <w:rFonts w:ascii="Times New Roman" w:hAnsi="Times New Roman" w:cs="Times New Roman"/>
          <w:spacing w:val="-4"/>
          <w:sz w:val="20"/>
          <w:szCs w:val="20"/>
        </w:rPr>
      </w:pPr>
      <w:r w:rsidRPr="003C7E27">
        <w:rPr>
          <w:rFonts w:ascii="Times New Roman" w:hAnsi="Times New Roman" w:cs="Times New Roman"/>
          <w:spacing w:val="-4"/>
          <w:sz w:val="20"/>
          <w:szCs w:val="20"/>
        </w:rPr>
        <w:t>5 выплат объединены в одну целевую статью:</w:t>
      </w:r>
    </w:p>
    <w:p w14:paraId="75EEC3B4" w14:textId="77777777" w:rsidR="007E0556" w:rsidRDefault="007E0556" w:rsidP="00EE4EA6">
      <w:pPr>
        <w:spacing w:after="0" w:line="240" w:lineRule="auto"/>
        <w:ind w:firstLine="567"/>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Pr="00142447">
        <w:rPr>
          <w:rFonts w:ascii="PT Astra Serif" w:eastAsia="Times New Roman" w:hAnsi="PT Astra Serif" w:cs="Times New Roman"/>
          <w:sz w:val="20"/>
          <w:szCs w:val="20"/>
          <w:lang w:eastAsia="ru-RU"/>
        </w:rPr>
        <w:t>единовременное денежное вознаграждение спортсменам, представляющим область и выступающим в составе сборных команд Российской Федерации или области, за достижение ими высоких спортивных результатов, их тренерам</w:t>
      </w:r>
      <w:r>
        <w:rPr>
          <w:rFonts w:ascii="PT Astra Serif" w:eastAsia="Times New Roman" w:hAnsi="PT Astra Serif" w:cs="Times New Roman"/>
          <w:sz w:val="20"/>
          <w:szCs w:val="20"/>
          <w:lang w:eastAsia="ru-RU"/>
        </w:rPr>
        <w:t>;</w:t>
      </w:r>
    </w:p>
    <w:p w14:paraId="63D6C2BB" w14:textId="77777777" w:rsidR="007E0556" w:rsidRPr="00ED61EB" w:rsidRDefault="007E0556" w:rsidP="00EE4EA6">
      <w:pPr>
        <w:spacing w:after="0" w:line="240" w:lineRule="auto"/>
        <w:ind w:firstLine="567"/>
        <w:jc w:val="both"/>
        <w:rPr>
          <w:rFonts w:ascii="PT Astra Serif" w:eastAsia="Times New Roman" w:hAnsi="PT Astra Serif" w:cs="Times New Roman"/>
          <w:sz w:val="20"/>
          <w:szCs w:val="20"/>
          <w:lang w:eastAsia="ru-RU"/>
        </w:rPr>
      </w:pPr>
      <w:r w:rsidRPr="00ED61EB">
        <w:rPr>
          <w:rFonts w:ascii="PT Astra Serif" w:eastAsia="Times New Roman" w:hAnsi="PT Astra Serif" w:cs="Times New Roman"/>
          <w:sz w:val="20"/>
          <w:szCs w:val="20"/>
          <w:lang w:eastAsia="ru-RU"/>
        </w:rPr>
        <w:t>- ежемесячное денежное содержание спортсменам, представляющим область и выступающим в составе сборных команд Российской Федерации или области, за достижение ими высоких спортивных результатов;</w:t>
      </w:r>
    </w:p>
    <w:p w14:paraId="40F960F7" w14:textId="77777777" w:rsidR="007E0556" w:rsidRPr="00960655" w:rsidRDefault="007E0556" w:rsidP="00EE4EA6">
      <w:pPr>
        <w:spacing w:after="0" w:line="240" w:lineRule="auto"/>
        <w:ind w:firstLine="567"/>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Pr="00960655">
        <w:rPr>
          <w:rFonts w:ascii="PT Astra Serif" w:eastAsia="Times New Roman" w:hAnsi="PT Astra Serif" w:cs="Times New Roman"/>
          <w:sz w:val="20"/>
          <w:szCs w:val="20"/>
          <w:lang w:eastAsia="ru-RU"/>
        </w:rPr>
        <w:t>еж</w:t>
      </w:r>
      <w:r>
        <w:rPr>
          <w:rFonts w:ascii="PT Astra Serif" w:eastAsia="Times New Roman" w:hAnsi="PT Astra Serif" w:cs="Times New Roman"/>
          <w:sz w:val="20"/>
          <w:szCs w:val="20"/>
          <w:lang w:eastAsia="ru-RU"/>
        </w:rPr>
        <w:t>емесячное материальное пособие лицам, имеющим звания «Заслуженный мастер спорта СССР», «</w:t>
      </w:r>
      <w:r w:rsidRPr="00960655">
        <w:rPr>
          <w:rFonts w:ascii="PT Astra Serif" w:eastAsia="Times New Roman" w:hAnsi="PT Astra Serif" w:cs="Times New Roman"/>
          <w:sz w:val="20"/>
          <w:szCs w:val="20"/>
          <w:lang w:eastAsia="ru-RU"/>
        </w:rPr>
        <w:t>Заслу</w:t>
      </w:r>
      <w:r>
        <w:rPr>
          <w:rFonts w:ascii="PT Astra Serif" w:eastAsia="Times New Roman" w:hAnsi="PT Astra Serif" w:cs="Times New Roman"/>
          <w:sz w:val="20"/>
          <w:szCs w:val="20"/>
          <w:lang w:eastAsia="ru-RU"/>
        </w:rPr>
        <w:t>женный мастер спорта России»;</w:t>
      </w:r>
    </w:p>
    <w:p w14:paraId="3A09C630" w14:textId="77777777" w:rsidR="007E0556" w:rsidRPr="00041CC9" w:rsidRDefault="007E0556" w:rsidP="00EE4EA6">
      <w:pPr>
        <w:spacing w:after="0" w:line="240" w:lineRule="auto"/>
        <w:ind w:firstLine="567"/>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Pr="00041CC9">
        <w:rPr>
          <w:rFonts w:ascii="PT Astra Serif" w:eastAsia="Times New Roman" w:hAnsi="PT Astra Serif" w:cs="Times New Roman"/>
          <w:sz w:val="20"/>
          <w:szCs w:val="20"/>
          <w:lang w:eastAsia="ru-RU"/>
        </w:rPr>
        <w:t>ежемесячное материальное</w:t>
      </w:r>
      <w:r>
        <w:rPr>
          <w:rFonts w:ascii="PT Astra Serif" w:eastAsia="Times New Roman" w:hAnsi="PT Astra Serif" w:cs="Times New Roman"/>
          <w:sz w:val="20"/>
          <w:szCs w:val="20"/>
          <w:lang w:eastAsia="ru-RU"/>
        </w:rPr>
        <w:t xml:space="preserve"> пособие лицам, имеющим звания «</w:t>
      </w:r>
      <w:r w:rsidRPr="00041CC9">
        <w:rPr>
          <w:rFonts w:ascii="PT Astra Serif" w:eastAsia="Times New Roman" w:hAnsi="PT Astra Serif" w:cs="Times New Roman"/>
          <w:sz w:val="20"/>
          <w:szCs w:val="20"/>
          <w:lang w:eastAsia="ru-RU"/>
        </w:rPr>
        <w:t>Мастер сп</w:t>
      </w:r>
      <w:r>
        <w:rPr>
          <w:rFonts w:ascii="PT Astra Serif" w:eastAsia="Times New Roman" w:hAnsi="PT Astra Serif" w:cs="Times New Roman"/>
          <w:sz w:val="20"/>
          <w:szCs w:val="20"/>
          <w:lang w:eastAsia="ru-RU"/>
        </w:rPr>
        <w:t>орта СССР международного класса», «</w:t>
      </w:r>
      <w:r w:rsidRPr="00041CC9">
        <w:rPr>
          <w:rFonts w:ascii="PT Astra Serif" w:eastAsia="Times New Roman" w:hAnsi="PT Astra Serif" w:cs="Times New Roman"/>
          <w:sz w:val="20"/>
          <w:szCs w:val="20"/>
          <w:lang w:eastAsia="ru-RU"/>
        </w:rPr>
        <w:t>Мастер спор</w:t>
      </w:r>
      <w:r>
        <w:rPr>
          <w:rFonts w:ascii="PT Astra Serif" w:eastAsia="Times New Roman" w:hAnsi="PT Astra Serif" w:cs="Times New Roman"/>
          <w:sz w:val="20"/>
          <w:szCs w:val="20"/>
          <w:lang w:eastAsia="ru-RU"/>
        </w:rPr>
        <w:t>та России международного класса»</w:t>
      </w:r>
      <w:r w:rsidRPr="00041CC9">
        <w:rPr>
          <w:rFonts w:ascii="PT Astra Serif" w:eastAsia="Times New Roman" w:hAnsi="PT Astra Serif" w:cs="Times New Roman"/>
          <w:sz w:val="20"/>
          <w:szCs w:val="20"/>
          <w:lang w:eastAsia="ru-RU"/>
        </w:rPr>
        <w:t>, ставшим инвалидами в процессе занятий спортом</w:t>
      </w:r>
      <w:r>
        <w:rPr>
          <w:rFonts w:ascii="PT Astra Serif" w:eastAsia="Times New Roman" w:hAnsi="PT Astra Serif" w:cs="Times New Roman"/>
          <w:sz w:val="20"/>
          <w:szCs w:val="20"/>
          <w:lang w:eastAsia="ru-RU"/>
        </w:rPr>
        <w:t>;</w:t>
      </w:r>
    </w:p>
    <w:p w14:paraId="6BFEBFEE" w14:textId="3C6CE4BD" w:rsidR="007E0556" w:rsidRPr="00A9000A" w:rsidRDefault="007E0556" w:rsidP="005F3085">
      <w:pPr>
        <w:spacing w:after="0" w:line="240" w:lineRule="auto"/>
        <w:ind w:firstLine="567"/>
        <w:jc w:val="both"/>
        <w:rPr>
          <w:rFonts w:ascii="Times New Roman" w:eastAsia="Times New Roman" w:hAnsi="Times New Roman" w:cs="Times New Roman"/>
          <w:spacing w:val="-4"/>
          <w:sz w:val="20"/>
          <w:szCs w:val="20"/>
          <w:lang w:eastAsia="ru-RU"/>
        </w:rPr>
      </w:pPr>
      <w:r w:rsidRPr="001215B2">
        <w:rPr>
          <w:rFonts w:ascii="PT Astra Serif" w:eastAsia="Times New Roman" w:hAnsi="PT Astra Serif" w:cs="Times New Roman"/>
          <w:sz w:val="20"/>
          <w:szCs w:val="20"/>
          <w:lang w:eastAsia="ru-RU"/>
        </w:rPr>
        <w:t xml:space="preserve">- ежемесячное материальное пособие лицам, получающим пенсию по старости, не осуществляющим работу и (или) иную деятельность, в период которой они подлежат обязательному пенсионному страхованию в соответствии с Федеральным </w:t>
      </w:r>
      <w:r>
        <w:rPr>
          <w:rFonts w:ascii="PT Astra Serif" w:eastAsia="Times New Roman" w:hAnsi="PT Astra Serif" w:cs="Times New Roman"/>
          <w:sz w:val="20"/>
          <w:szCs w:val="20"/>
          <w:lang w:eastAsia="ru-RU"/>
        </w:rPr>
        <w:t>законом от 15.12.2001 № 167-ФЗ «</w:t>
      </w:r>
      <w:r w:rsidRPr="001215B2">
        <w:rPr>
          <w:rFonts w:ascii="PT Astra Serif" w:eastAsia="Times New Roman" w:hAnsi="PT Astra Serif" w:cs="Times New Roman"/>
          <w:sz w:val="20"/>
          <w:szCs w:val="20"/>
          <w:lang w:eastAsia="ru-RU"/>
        </w:rPr>
        <w:t>Об обязательном пенсионном стр</w:t>
      </w:r>
      <w:r>
        <w:rPr>
          <w:rFonts w:ascii="PT Astra Serif" w:eastAsia="Times New Roman" w:hAnsi="PT Astra Serif" w:cs="Times New Roman"/>
          <w:sz w:val="20"/>
          <w:szCs w:val="20"/>
          <w:lang w:eastAsia="ru-RU"/>
        </w:rPr>
        <w:t>аховании в Российской Федерации», имеющим звания «Заслуженный тренер СССР», «Заслуженный тренер России».</w:t>
      </w:r>
    </w:p>
  </w:footnote>
  <w:footnote w:id="21">
    <w:p w14:paraId="00090316" w14:textId="77777777" w:rsidR="007E0556" w:rsidRPr="004F1087" w:rsidRDefault="007E0556" w:rsidP="00EE4EA6">
      <w:pPr>
        <w:spacing w:after="0" w:line="240" w:lineRule="auto"/>
        <w:ind w:firstLine="567"/>
        <w:jc w:val="both"/>
        <w:rPr>
          <w:rFonts w:ascii="Times New Roman" w:hAnsi="Times New Roman" w:cs="Times New Roman"/>
          <w:spacing w:val="-4"/>
          <w:sz w:val="20"/>
          <w:szCs w:val="20"/>
        </w:rPr>
      </w:pPr>
      <w:r w:rsidRPr="003C7E27">
        <w:rPr>
          <w:rStyle w:val="a5"/>
          <w:rFonts w:ascii="Times New Roman" w:hAnsi="Times New Roman" w:cs="Times New Roman"/>
          <w:spacing w:val="-4"/>
          <w:sz w:val="20"/>
          <w:szCs w:val="20"/>
        </w:rPr>
        <w:footnoteRef/>
      </w:r>
      <w:r w:rsidRPr="003C7E27">
        <w:rPr>
          <w:rFonts w:ascii="Times New Roman" w:hAnsi="Times New Roman" w:cs="Times New Roman"/>
          <w:spacing w:val="-4"/>
          <w:sz w:val="20"/>
          <w:szCs w:val="20"/>
        </w:rPr>
        <w:t xml:space="preserve"> 5 видов выплат:</w:t>
      </w:r>
    </w:p>
    <w:p w14:paraId="74C807B4" w14:textId="77777777" w:rsidR="007E0556" w:rsidRDefault="007E0556" w:rsidP="00EE4EA6">
      <w:pPr>
        <w:spacing w:after="0" w:line="240" w:lineRule="auto"/>
        <w:ind w:firstLine="567"/>
        <w:jc w:val="both"/>
        <w:rPr>
          <w:rFonts w:ascii="PT Astra Serif" w:eastAsia="Times New Roman" w:hAnsi="PT Astra Serif" w:cs="Times New Roman"/>
          <w:sz w:val="20"/>
          <w:szCs w:val="20"/>
          <w:lang w:eastAsia="ru-RU"/>
        </w:rPr>
      </w:pPr>
      <w:r w:rsidRPr="005D04D8">
        <w:rPr>
          <w:rFonts w:ascii="Times New Roman" w:hAnsi="Times New Roman" w:cs="Times New Roman"/>
          <w:spacing w:val="-4"/>
          <w:sz w:val="20"/>
          <w:szCs w:val="20"/>
        </w:rPr>
        <w:t>–</w:t>
      </w:r>
      <w:r w:rsidRPr="00324A0B">
        <w:rPr>
          <w:rFonts w:ascii="PT Astra Serif" w:hAnsi="PT Astra Serif"/>
          <w:sz w:val="20"/>
          <w:szCs w:val="20"/>
        </w:rPr>
        <w:t xml:space="preserve"> </w:t>
      </w:r>
      <w:r w:rsidRPr="00324A0B">
        <w:rPr>
          <w:rFonts w:ascii="PT Astra Serif" w:eastAsia="Times New Roman" w:hAnsi="PT Astra Serif" w:cs="Times New Roman"/>
          <w:sz w:val="20"/>
          <w:szCs w:val="20"/>
          <w:lang w:eastAsia="ru-RU"/>
        </w:rPr>
        <w:t>единовременное пособие на первого усыновленного (удочеренного) ребенка лицам, зарегистрированным по месту постоянного проживания в Тульской области;</w:t>
      </w:r>
    </w:p>
    <w:p w14:paraId="38DC84BF" w14:textId="77777777" w:rsidR="007E0556" w:rsidRDefault="007E0556" w:rsidP="00EE4EA6">
      <w:pPr>
        <w:spacing w:after="0" w:line="240" w:lineRule="auto"/>
        <w:ind w:firstLine="567"/>
        <w:jc w:val="both"/>
        <w:rPr>
          <w:rFonts w:ascii="PT Astra Serif" w:eastAsia="Times New Roman" w:hAnsi="PT Astra Serif" w:cs="Times New Roman"/>
          <w:sz w:val="20"/>
          <w:szCs w:val="20"/>
          <w:lang w:eastAsia="ru-RU"/>
        </w:rPr>
      </w:pPr>
      <w:r w:rsidRPr="005D04D8">
        <w:rPr>
          <w:rFonts w:ascii="PT Astra Serif" w:eastAsia="Times New Roman" w:hAnsi="PT Astra Serif" w:cs="Times New Roman"/>
          <w:sz w:val="20"/>
          <w:szCs w:val="20"/>
          <w:lang w:eastAsia="ru-RU"/>
        </w:rPr>
        <w:t>- ежемесячное пособие на усыновленного (удочеренного) ребенка лицам, зарегистрированным по месту постоянного проживания в Тульской области;</w:t>
      </w:r>
    </w:p>
    <w:p w14:paraId="7EDD5A57" w14:textId="77777777" w:rsidR="007E0556" w:rsidRDefault="007E0556" w:rsidP="00EE4EA6">
      <w:pPr>
        <w:spacing w:after="0" w:line="240" w:lineRule="auto"/>
        <w:ind w:firstLine="567"/>
        <w:jc w:val="both"/>
        <w:rPr>
          <w:rFonts w:ascii="PT Astra Serif" w:eastAsia="Times New Roman" w:hAnsi="PT Astra Serif" w:cs="Times New Roman"/>
          <w:sz w:val="20"/>
          <w:szCs w:val="20"/>
          <w:lang w:eastAsia="ru-RU"/>
        </w:rPr>
      </w:pPr>
      <w:r>
        <w:rPr>
          <w:rFonts w:ascii="PT Astra Serif" w:eastAsia="Times New Roman" w:hAnsi="PT Astra Serif" w:cs="Times New Roman"/>
          <w:lang w:eastAsia="ru-RU"/>
        </w:rPr>
        <w:t xml:space="preserve">- </w:t>
      </w:r>
      <w:r w:rsidRPr="003C44F4">
        <w:rPr>
          <w:rFonts w:ascii="PT Astra Serif" w:eastAsia="Times New Roman" w:hAnsi="PT Astra Serif" w:cs="Times New Roman"/>
          <w:sz w:val="20"/>
          <w:szCs w:val="20"/>
          <w:lang w:eastAsia="ru-RU"/>
        </w:rPr>
        <w:t>единовременное пособие на второго и каждого последующего усыновленного (удочеренного) ребенка лицам, зарегистрированным по месту постоянного проживания в Тульской области;</w:t>
      </w:r>
    </w:p>
    <w:p w14:paraId="0CDFBC56" w14:textId="77777777" w:rsidR="007E0556" w:rsidRDefault="007E0556" w:rsidP="00EE4EA6">
      <w:pPr>
        <w:spacing w:after="0" w:line="240" w:lineRule="auto"/>
        <w:ind w:firstLine="567"/>
        <w:jc w:val="both"/>
        <w:rPr>
          <w:rFonts w:ascii="PT Astra Serif" w:eastAsia="Times New Roman" w:hAnsi="PT Astra Serif" w:cs="Times New Roman"/>
          <w:sz w:val="20"/>
          <w:szCs w:val="20"/>
          <w:lang w:eastAsia="ru-RU"/>
        </w:rPr>
      </w:pPr>
      <w:r>
        <w:rPr>
          <w:rFonts w:ascii="PT Astra Serif" w:eastAsia="Times New Roman" w:hAnsi="PT Astra Serif" w:cs="Times New Roman"/>
          <w:lang w:eastAsia="ru-RU"/>
        </w:rPr>
        <w:t xml:space="preserve">- </w:t>
      </w:r>
      <w:r w:rsidRPr="00D01088">
        <w:rPr>
          <w:rFonts w:ascii="PT Astra Serif" w:eastAsia="Times New Roman" w:hAnsi="PT Astra Serif" w:cs="Times New Roman"/>
          <w:sz w:val="20"/>
          <w:szCs w:val="20"/>
          <w:lang w:eastAsia="ru-RU"/>
        </w:rPr>
        <w:t>единовременное пособие на каждого усыновленного (удочеренного) ребенка с ограниченными возможностями здоровья, то есть имеющего недостатки в физическом и (или) психическом развитии, подтвержденные заключением психолого-медико-педагогической комиссии, либо ребенка-инвалида лицам, зарегистрированным по месту постоянного проживания в Тульской области;</w:t>
      </w:r>
    </w:p>
    <w:p w14:paraId="31C5F6C3" w14:textId="1D372CEA" w:rsidR="007E0556" w:rsidRPr="005F3085" w:rsidRDefault="007E0556" w:rsidP="005F3085">
      <w:pPr>
        <w:spacing w:after="0" w:line="240" w:lineRule="auto"/>
        <w:ind w:firstLine="567"/>
        <w:jc w:val="both"/>
        <w:rPr>
          <w:rFonts w:ascii="Times New Roman" w:hAnsi="Times New Roman" w:cs="Times New Roman"/>
          <w:spacing w:val="-4"/>
          <w:sz w:val="20"/>
          <w:szCs w:val="20"/>
        </w:rPr>
      </w:pPr>
      <w:r w:rsidRPr="00AC50CF">
        <w:rPr>
          <w:rFonts w:ascii="PT Astra Serif" w:eastAsia="Times New Roman" w:hAnsi="PT Astra Serif" w:cs="Times New Roman"/>
          <w:sz w:val="20"/>
          <w:szCs w:val="20"/>
          <w:lang w:eastAsia="ru-RU"/>
        </w:rPr>
        <w:t>- ежемесячное пособие на усыновленного (удочеренного) ребенка с ограниченными возможностями здоровья либо ребенка-инвалида лицам, зарегистрированным по месту постоянного проживания в Тульской области.</w:t>
      </w:r>
    </w:p>
  </w:footnote>
  <w:footnote w:id="22">
    <w:p w14:paraId="0CB6F5ED" w14:textId="1C32ECB3" w:rsidR="007E0556" w:rsidRPr="00585A97" w:rsidRDefault="007E0556" w:rsidP="000A067D">
      <w:pPr>
        <w:autoSpaceDE w:val="0"/>
        <w:autoSpaceDN w:val="0"/>
        <w:adjustRightInd w:val="0"/>
        <w:spacing w:after="0" w:line="240" w:lineRule="auto"/>
        <w:ind w:firstLine="567"/>
        <w:jc w:val="both"/>
      </w:pPr>
      <w:r w:rsidRPr="00F84904">
        <w:rPr>
          <w:rFonts w:ascii="Times New Roman" w:hAnsi="Times New Roman" w:cs="Times New Roman"/>
          <w:sz w:val="20"/>
          <w:szCs w:val="20"/>
          <w:vertAlign w:val="superscript"/>
        </w:rPr>
        <w:footnoteRef/>
      </w:r>
      <w:r w:rsidRPr="00DC19CB">
        <w:rPr>
          <w:rFonts w:ascii="Times New Roman" w:hAnsi="Times New Roman" w:cs="Times New Roman"/>
          <w:sz w:val="20"/>
          <w:szCs w:val="20"/>
        </w:rPr>
        <w:t xml:space="preserve"> </w:t>
      </w:r>
      <w:r>
        <w:rPr>
          <w:rFonts w:ascii="Times New Roman" w:hAnsi="Times New Roman" w:cs="Times New Roman"/>
          <w:sz w:val="20"/>
          <w:szCs w:val="20"/>
        </w:rPr>
        <w:t xml:space="preserve">В </w:t>
      </w:r>
      <w:r w:rsidRPr="000A067D">
        <w:rPr>
          <w:rFonts w:ascii="Times New Roman" w:hAnsi="Times New Roman" w:cs="Times New Roman"/>
          <w:sz w:val="20"/>
          <w:szCs w:val="20"/>
        </w:rPr>
        <w:t>соответствии со статьей 81 БК РФ</w:t>
      </w:r>
      <w:r w:rsidRPr="000A067D">
        <w:t xml:space="preserve"> </w:t>
      </w:r>
      <w:r w:rsidRPr="000A067D">
        <w:rPr>
          <w:rFonts w:ascii="Times New Roman" w:hAnsi="Times New Roman" w:cs="Times New Roman"/>
          <w:sz w:val="20"/>
          <w:szCs w:val="20"/>
        </w:rPr>
        <w:t>размер резервных фондов исполнительных органов государственной власти устанавливается законом о бюджете.</w:t>
      </w:r>
    </w:p>
  </w:footnote>
  <w:footnote w:id="23">
    <w:p w14:paraId="559A2097" w14:textId="77777777" w:rsidR="007E0556" w:rsidRPr="00677300" w:rsidRDefault="007E0556" w:rsidP="00E37734">
      <w:pPr>
        <w:pStyle w:val="a3"/>
        <w:ind w:firstLine="567"/>
        <w:jc w:val="both"/>
      </w:pPr>
      <w:r w:rsidRPr="00677300">
        <w:rPr>
          <w:vertAlign w:val="superscript"/>
        </w:rPr>
        <w:footnoteRef/>
      </w:r>
      <w:r w:rsidRPr="00677300">
        <w:t xml:space="preserve"> По</w:t>
      </w:r>
      <w:r>
        <w:t xml:space="preserve"> данным</w:t>
      </w:r>
      <w:r w:rsidRPr="00677300">
        <w:t xml:space="preserve"> сводной бюджетной росписи по состоянию на 01.11.2024.</w:t>
      </w:r>
    </w:p>
  </w:footnote>
  <w:footnote w:id="24">
    <w:p w14:paraId="14E1208B" w14:textId="77777777" w:rsidR="007E0556" w:rsidRPr="00677300" w:rsidRDefault="007E0556" w:rsidP="00E37734">
      <w:pPr>
        <w:pStyle w:val="a3"/>
        <w:ind w:firstLine="567"/>
        <w:jc w:val="both"/>
      </w:pPr>
      <w:r w:rsidRPr="00677300">
        <w:rPr>
          <w:vertAlign w:val="superscript"/>
        </w:rPr>
        <w:footnoteRef/>
      </w:r>
      <w:r w:rsidRPr="00677300">
        <w:t xml:space="preserve"> Показатели объемов бюджетных ассигнований на реализацию региональных проектов на 2024 год указаны согласно сводной бюджетной росписи по состоянию на 01.11.2024.</w:t>
      </w:r>
    </w:p>
  </w:footnote>
  <w:footnote w:id="25">
    <w:p w14:paraId="63D3BAB8" w14:textId="77777777" w:rsidR="007E0556" w:rsidRDefault="007E0556" w:rsidP="00604EA3">
      <w:pPr>
        <w:pStyle w:val="a3"/>
        <w:ind w:firstLine="567"/>
        <w:jc w:val="both"/>
      </w:pPr>
      <w:r>
        <w:rPr>
          <w:rStyle w:val="a5"/>
        </w:rPr>
        <w:footnoteRef/>
      </w:r>
      <w:r>
        <w:t xml:space="preserve"> Федеральный закон от 13.07.2024 №177-ФЗ (ред. от 29.10.2024) «О внесении изменений в Бюджетный кодекс Российской Федерации и отдельные законодательные акты Российской Федерации».</w:t>
      </w:r>
    </w:p>
  </w:footnote>
  <w:footnote w:id="26">
    <w:p w14:paraId="1C3C434A" w14:textId="5E01AE01" w:rsidR="007E0556" w:rsidRPr="007E0556" w:rsidRDefault="007E0556" w:rsidP="00C1420D">
      <w:pPr>
        <w:pStyle w:val="a3"/>
        <w:ind w:firstLine="567"/>
        <w:jc w:val="both"/>
        <w:rPr>
          <w:sz w:val="19"/>
          <w:szCs w:val="19"/>
        </w:rPr>
      </w:pPr>
      <w:r w:rsidRPr="007E0556">
        <w:rPr>
          <w:rStyle w:val="a5"/>
          <w:sz w:val="19"/>
          <w:szCs w:val="19"/>
        </w:rPr>
        <w:footnoteRef/>
      </w:r>
      <w:r w:rsidRPr="007E0556">
        <w:rPr>
          <w:sz w:val="19"/>
          <w:szCs w:val="19"/>
        </w:rPr>
        <w:t xml:space="preserve"> От налога, взимаемого в связи с применением упрощенной системы налогообложения, размер отчислений для МО </w:t>
      </w:r>
      <w:proofErr w:type="spellStart"/>
      <w:r w:rsidRPr="007E0556">
        <w:rPr>
          <w:sz w:val="19"/>
          <w:szCs w:val="19"/>
        </w:rPr>
        <w:t>г.Ефремов</w:t>
      </w:r>
      <w:proofErr w:type="spellEnd"/>
      <w:r w:rsidRPr="007E0556">
        <w:rPr>
          <w:sz w:val="19"/>
          <w:szCs w:val="19"/>
        </w:rPr>
        <w:t xml:space="preserve"> увеличивается с 45% до 75%, что по расчетам счетной палаты составит 62,1 млн. рублей в 2025 году, 68,4 млн. рублей в 2026 году, 76,4 млн. рублей в 2027 году;</w:t>
      </w:r>
    </w:p>
    <w:p w14:paraId="208BD653" w14:textId="3B531D8A" w:rsidR="007E0556" w:rsidRPr="007E0556" w:rsidRDefault="007E0556" w:rsidP="00C1420D">
      <w:pPr>
        <w:pStyle w:val="a3"/>
        <w:ind w:firstLine="567"/>
        <w:jc w:val="both"/>
        <w:rPr>
          <w:sz w:val="19"/>
          <w:szCs w:val="19"/>
        </w:rPr>
      </w:pPr>
      <w:r w:rsidRPr="007E0556">
        <w:rPr>
          <w:sz w:val="19"/>
          <w:szCs w:val="19"/>
        </w:rPr>
        <w:t xml:space="preserve">От налога на имущество организаций размер отчислений для МО </w:t>
      </w:r>
      <w:proofErr w:type="spellStart"/>
      <w:r w:rsidRPr="007E0556">
        <w:rPr>
          <w:sz w:val="19"/>
          <w:szCs w:val="19"/>
        </w:rPr>
        <w:t>г.Ефремов</w:t>
      </w:r>
      <w:proofErr w:type="spellEnd"/>
      <w:r w:rsidRPr="007E0556">
        <w:rPr>
          <w:sz w:val="19"/>
          <w:szCs w:val="19"/>
        </w:rPr>
        <w:t xml:space="preserve"> увеличивается с 10% до 30%, что по расчетам счетной палаты составит 56 млн. рублей в 2025 году, 58,8 млн. рублей в 2026 году, 61,7 млн. рублей в 2027 году. </w:t>
      </w:r>
    </w:p>
    <w:p w14:paraId="7EA0FC37" w14:textId="6C993157" w:rsidR="007E0556" w:rsidRDefault="007E0556" w:rsidP="00C1420D">
      <w:pPr>
        <w:pStyle w:val="a3"/>
        <w:ind w:firstLine="567"/>
        <w:jc w:val="both"/>
      </w:pPr>
      <w:r w:rsidRPr="007E0556">
        <w:rPr>
          <w:sz w:val="19"/>
          <w:szCs w:val="19"/>
        </w:rPr>
        <w:t xml:space="preserve">Таким образом, в связи с увеличением норматива отчислений для МО </w:t>
      </w:r>
      <w:proofErr w:type="spellStart"/>
      <w:r w:rsidRPr="007E0556">
        <w:rPr>
          <w:sz w:val="19"/>
          <w:szCs w:val="19"/>
        </w:rPr>
        <w:t>г.Ефремов</w:t>
      </w:r>
      <w:proofErr w:type="spellEnd"/>
      <w:r w:rsidRPr="007E0556">
        <w:rPr>
          <w:sz w:val="19"/>
          <w:szCs w:val="19"/>
        </w:rPr>
        <w:t xml:space="preserve"> в бюджет МО по расчетам может поступить в 2025 году 118,0 млн. рублей, в 2026 году 127,3 млн. рублей, в 2027 году 138,1 млн. рублей.</w:t>
      </w:r>
    </w:p>
  </w:footnote>
  <w:footnote w:id="27">
    <w:p w14:paraId="12B0F1E7" w14:textId="39717F9A" w:rsidR="007E0556" w:rsidRPr="007E0556" w:rsidRDefault="007E0556" w:rsidP="000B0115">
      <w:pPr>
        <w:pStyle w:val="a3"/>
        <w:ind w:firstLine="567"/>
        <w:jc w:val="both"/>
        <w:rPr>
          <w:sz w:val="19"/>
          <w:szCs w:val="19"/>
        </w:rPr>
      </w:pPr>
      <w:r w:rsidRPr="007E0556">
        <w:rPr>
          <w:rStyle w:val="a5"/>
          <w:sz w:val="19"/>
          <w:szCs w:val="19"/>
        </w:rPr>
        <w:footnoteRef/>
      </w:r>
      <w:r w:rsidRPr="007E0556">
        <w:rPr>
          <w:sz w:val="19"/>
          <w:szCs w:val="19"/>
        </w:rPr>
        <w:t xml:space="preserve"> В связи с установлением Законопроектом дополнительных дифференцированных нормативов для бюджетов МО по налогу, взимаемому в связи с применением упрощенной системы налогообложения, в бюджеты МО по расчетам счетной палаты дополнительно поступит 697,0 млн. рублей в 2025 году, 819,4 млн. рублей в 2026 году, 965,2 млн. рублей в 2027 году.</w:t>
      </w:r>
    </w:p>
  </w:footnote>
  <w:footnote w:id="28">
    <w:p w14:paraId="463D5853" w14:textId="50F571DB" w:rsidR="007E0556" w:rsidRDefault="007E0556" w:rsidP="00C52AAF">
      <w:pPr>
        <w:pStyle w:val="a3"/>
        <w:ind w:firstLine="567"/>
        <w:jc w:val="both"/>
      </w:pPr>
      <w:r w:rsidRPr="007E0556">
        <w:rPr>
          <w:rStyle w:val="a5"/>
          <w:sz w:val="19"/>
          <w:szCs w:val="19"/>
        </w:rPr>
        <w:footnoteRef/>
      </w:r>
      <w:r w:rsidRPr="007E0556">
        <w:rPr>
          <w:sz w:val="19"/>
          <w:szCs w:val="19"/>
        </w:rPr>
        <w:t xml:space="preserve"> В связи с изменением размера отчислений в 2027 году в бюджеты</w:t>
      </w:r>
      <w:r>
        <w:rPr>
          <w:sz w:val="19"/>
          <w:szCs w:val="19"/>
        </w:rPr>
        <w:t xml:space="preserve"> МО от акцизов на нефтепродукты</w:t>
      </w:r>
      <w:r w:rsidRPr="007E0556">
        <w:rPr>
          <w:sz w:val="19"/>
          <w:szCs w:val="19"/>
        </w:rPr>
        <w:t xml:space="preserve"> с 30% до 23% в бюджеты МО уменьшатся поступления порядка 370,0 млн. рублей.</w:t>
      </w:r>
    </w:p>
  </w:footnote>
  <w:footnote w:id="29">
    <w:p w14:paraId="2DF4399C" w14:textId="77777777" w:rsidR="007E0556" w:rsidRPr="002B2848" w:rsidRDefault="007E0556" w:rsidP="00012884">
      <w:pPr>
        <w:spacing w:before="20" w:after="0" w:line="240" w:lineRule="auto"/>
        <w:ind w:firstLine="567"/>
        <w:jc w:val="both"/>
        <w:rPr>
          <w:rFonts w:ascii="Times New Roman" w:eastAsia="Calibri" w:hAnsi="Times New Roman" w:cs="Times New Roman"/>
          <w:spacing w:val="-6"/>
          <w:sz w:val="19"/>
          <w:szCs w:val="19"/>
        </w:rPr>
      </w:pPr>
      <w:r w:rsidRPr="002B2848">
        <w:rPr>
          <w:rStyle w:val="a5"/>
          <w:rFonts w:ascii="Times New Roman" w:hAnsi="Times New Roman" w:cs="Times New Roman"/>
          <w:spacing w:val="-6"/>
          <w:sz w:val="19"/>
          <w:szCs w:val="19"/>
        </w:rPr>
        <w:footnoteRef/>
      </w:r>
      <w:r w:rsidRPr="002B2848">
        <w:rPr>
          <w:rFonts w:ascii="Times New Roman" w:hAnsi="Times New Roman" w:cs="Times New Roman"/>
          <w:spacing w:val="-6"/>
          <w:sz w:val="19"/>
          <w:szCs w:val="19"/>
        </w:rPr>
        <w:t> </w:t>
      </w:r>
      <w:r w:rsidRPr="002B2848">
        <w:rPr>
          <w:rFonts w:ascii="Times New Roman" w:eastAsia="Calibri" w:hAnsi="Times New Roman" w:cs="Times New Roman"/>
          <w:spacing w:val="-6"/>
          <w:sz w:val="19"/>
          <w:szCs w:val="19"/>
        </w:rPr>
        <w:t xml:space="preserve">Статьей 6 Проекта федерального закона №727321-8 «О бюджете Фонда пенсионного и социального страхования Российской Федерации на 2025 год и на плановый период 2026 и 2027 годов» предусматривается право Фонда РФ осуществлять в 2025 году финансовое обеспечение выплаты пенсий, назначенных досрочно гражданам, признанным безработными, социального пособия на погребение умерших </w:t>
      </w:r>
      <w:proofErr w:type="spellStart"/>
      <w:r w:rsidRPr="002B2848">
        <w:rPr>
          <w:rFonts w:ascii="Times New Roman" w:eastAsia="Calibri" w:hAnsi="Times New Roman" w:cs="Times New Roman"/>
          <w:spacing w:val="-6"/>
          <w:sz w:val="19"/>
          <w:szCs w:val="19"/>
        </w:rPr>
        <w:t>неработавших</w:t>
      </w:r>
      <w:proofErr w:type="spellEnd"/>
      <w:r w:rsidRPr="002B2848">
        <w:rPr>
          <w:rFonts w:ascii="Times New Roman" w:eastAsia="Calibri" w:hAnsi="Times New Roman" w:cs="Times New Roman"/>
          <w:spacing w:val="-6"/>
          <w:sz w:val="19"/>
          <w:szCs w:val="19"/>
        </w:rPr>
        <w:t xml:space="preserve"> пенсионеров, досрочно оформивших пенсию по предложению органов службы занятости населения субъектов РФ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и оказания услуг по погребению согласно гарантированному перечню этих услуг, включая расходы на доставку указанных пенсий и пособия, </w:t>
      </w:r>
      <w:r w:rsidRPr="002B2848">
        <w:rPr>
          <w:rFonts w:ascii="Times New Roman" w:eastAsia="Calibri" w:hAnsi="Times New Roman" w:cs="Times New Roman"/>
          <w:i/>
          <w:spacing w:val="-6"/>
          <w:sz w:val="19"/>
          <w:szCs w:val="19"/>
        </w:rPr>
        <w:t>с последующим возмещением за счет бюджетных ассигнований, получаемых в форме межбюджетных трансфертов из бюджетов субъектов РФ</w:t>
      </w:r>
      <w:r w:rsidRPr="002B2848">
        <w:rPr>
          <w:rFonts w:ascii="Times New Roman" w:eastAsia="Calibri" w:hAnsi="Times New Roman" w:cs="Times New Roman"/>
          <w:spacing w:val="-6"/>
          <w:sz w:val="19"/>
          <w:szCs w:val="19"/>
        </w:rPr>
        <w:t>.</w:t>
      </w:r>
    </w:p>
  </w:footnote>
  <w:footnote w:id="30">
    <w:p w14:paraId="35938ED2" w14:textId="13ACE2F6" w:rsidR="007E0556" w:rsidRDefault="007E0556" w:rsidP="00C52AAF">
      <w:pPr>
        <w:pStyle w:val="a3"/>
        <w:ind w:firstLine="567"/>
        <w:jc w:val="both"/>
      </w:pPr>
      <w:r w:rsidRPr="002B2848">
        <w:rPr>
          <w:rStyle w:val="a5"/>
          <w:sz w:val="19"/>
          <w:szCs w:val="19"/>
        </w:rPr>
        <w:footnoteRef/>
      </w:r>
      <w:r w:rsidRPr="002B2848">
        <w:rPr>
          <w:sz w:val="19"/>
          <w:szCs w:val="19"/>
        </w:rPr>
        <w:t xml:space="preserve"> Норма о возможности списать две трети задолженности по бюджетным кредитам предусматривается по аналогии с </w:t>
      </w:r>
      <w:r w:rsidRPr="002B2848">
        <w:rPr>
          <w:spacing w:val="-6"/>
          <w:sz w:val="19"/>
          <w:szCs w:val="19"/>
        </w:rPr>
        <w:t>проектом федерального бюджета.</w:t>
      </w:r>
      <w:r>
        <w:t xml:space="preserve">  </w:t>
      </w:r>
    </w:p>
  </w:footnote>
  <w:footnote w:id="31">
    <w:p w14:paraId="1103187A" w14:textId="76778712" w:rsidR="007E0556" w:rsidRPr="006E2FB9" w:rsidRDefault="007E0556" w:rsidP="00932C5B">
      <w:pPr>
        <w:spacing w:after="0" w:line="240" w:lineRule="auto"/>
        <w:ind w:firstLine="567"/>
        <w:jc w:val="both"/>
        <w:rPr>
          <w:sz w:val="20"/>
          <w:szCs w:val="20"/>
        </w:rPr>
      </w:pPr>
      <w:r w:rsidRPr="009721E4">
        <w:rPr>
          <w:rStyle w:val="a5"/>
          <w:rFonts w:ascii="Times New Roman" w:hAnsi="Times New Roman" w:cs="Times New Roman"/>
          <w:sz w:val="20"/>
          <w:szCs w:val="20"/>
        </w:rPr>
        <w:footnoteRef/>
      </w:r>
      <w:r w:rsidRPr="009721E4">
        <w:rPr>
          <w:rFonts w:ascii="Times New Roman" w:hAnsi="Times New Roman" w:cs="Times New Roman"/>
          <w:sz w:val="20"/>
          <w:szCs w:val="20"/>
        </w:rPr>
        <w:t xml:space="preserve">  Согласно </w:t>
      </w:r>
      <w:proofErr w:type="gramStart"/>
      <w:r w:rsidRPr="009721E4">
        <w:rPr>
          <w:rFonts w:ascii="Times New Roman" w:hAnsi="Times New Roman" w:cs="Times New Roman"/>
          <w:sz w:val="20"/>
          <w:szCs w:val="20"/>
        </w:rPr>
        <w:t>программе государственных гарантий Тульской области</w:t>
      </w:r>
      <w:proofErr w:type="gramEnd"/>
      <w:r w:rsidRPr="009721E4">
        <w:rPr>
          <w:rFonts w:ascii="Times New Roman" w:hAnsi="Times New Roman" w:cs="Times New Roman"/>
          <w:sz w:val="20"/>
          <w:szCs w:val="20"/>
        </w:rPr>
        <w:t xml:space="preserve"> на 2025 год и на плановый период 2026 и 2027 годов предоставление государственных гарантий Тульской области не предусматривается.</w:t>
      </w:r>
    </w:p>
  </w:footnote>
  <w:footnote w:id="32">
    <w:p w14:paraId="2CB2A30A" w14:textId="77777777" w:rsidR="007E0556" w:rsidRPr="002B2848" w:rsidRDefault="007E0556" w:rsidP="009721E4">
      <w:pPr>
        <w:spacing w:after="0" w:line="240" w:lineRule="auto"/>
        <w:ind w:firstLine="567"/>
        <w:jc w:val="both"/>
        <w:rPr>
          <w:sz w:val="19"/>
          <w:szCs w:val="19"/>
        </w:rPr>
      </w:pPr>
      <w:r w:rsidRPr="002B2848">
        <w:rPr>
          <w:rStyle w:val="a5"/>
          <w:rFonts w:ascii="Times New Roman" w:hAnsi="Times New Roman" w:cs="Times New Roman"/>
          <w:sz w:val="19"/>
          <w:szCs w:val="19"/>
        </w:rPr>
        <w:footnoteRef/>
      </w:r>
      <w:r w:rsidRPr="002B2848">
        <w:rPr>
          <w:rFonts w:ascii="Times New Roman" w:hAnsi="Times New Roman" w:cs="Times New Roman"/>
          <w:sz w:val="19"/>
          <w:szCs w:val="19"/>
        </w:rPr>
        <w:t>  Расчет осуществлен с учетом задолженности по инфраструктурным кредитам по состоянию на 01.01.2024 в сумме 4 642,7 млн. рублей и при условии осуществления в 2024 году заимствований и погашений инфраструктурных кредитов в объемах, предусмотренных Программой государственных внутренних заимствований Тульской области на 2024 год и на плановый период 2025 и 2026 годов. При расчете в объеме государственного долга области не учитывались государственные гарантии и задолженность по инфраструктурным кредитам из федерального бюджета.</w:t>
      </w:r>
    </w:p>
  </w:footnote>
  <w:footnote w:id="33">
    <w:p w14:paraId="47EAD677" w14:textId="77777777" w:rsidR="007E0556" w:rsidRDefault="007E0556" w:rsidP="009721E4">
      <w:pPr>
        <w:pStyle w:val="a3"/>
        <w:ind w:firstLine="567"/>
        <w:jc w:val="both"/>
      </w:pPr>
      <w:r w:rsidRPr="002B2848">
        <w:rPr>
          <w:rStyle w:val="a5"/>
          <w:sz w:val="19"/>
          <w:szCs w:val="19"/>
        </w:rPr>
        <w:footnoteRef/>
      </w:r>
      <w:r w:rsidRPr="002B2848">
        <w:rPr>
          <w:sz w:val="19"/>
          <w:szCs w:val="19"/>
        </w:rPr>
        <w:t xml:space="preserve"> Объем расходов на обслуживание государственного долга субъекта РФ в очередном финансовом году и плановом периоде, утвержденный законом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РФ. Согласно Законопроекту, доля расходов на обслуживание госдолга в 2025, 2026, 2027 годах составит 0,8%, 1,3% и 1,2% соответственно</w:t>
      </w:r>
      <w:r w:rsidRPr="002D4E1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364868"/>
      <w:docPartObj>
        <w:docPartGallery w:val="Page Numbers (Top of Page)"/>
        <w:docPartUnique/>
      </w:docPartObj>
    </w:sdtPr>
    <w:sdtEndPr>
      <w:rPr>
        <w:rFonts w:ascii="Times New Roman" w:hAnsi="Times New Roman" w:cs="Times New Roman"/>
      </w:rPr>
    </w:sdtEndPr>
    <w:sdtContent>
      <w:p w14:paraId="35620DD0" w14:textId="77777777" w:rsidR="007E0556" w:rsidRPr="009C0EF1" w:rsidRDefault="007E0556">
        <w:pPr>
          <w:pStyle w:val="a6"/>
          <w:jc w:val="center"/>
          <w:rPr>
            <w:rFonts w:ascii="Times New Roman" w:hAnsi="Times New Roman" w:cs="Times New Roman"/>
          </w:rPr>
        </w:pPr>
        <w:r w:rsidRPr="009C0EF1">
          <w:rPr>
            <w:rFonts w:ascii="Times New Roman" w:hAnsi="Times New Roman" w:cs="Times New Roman"/>
            <w:noProof/>
          </w:rPr>
          <w:fldChar w:fldCharType="begin"/>
        </w:r>
        <w:r w:rsidRPr="009C0EF1">
          <w:rPr>
            <w:rFonts w:ascii="Times New Roman" w:hAnsi="Times New Roman" w:cs="Times New Roman"/>
            <w:noProof/>
          </w:rPr>
          <w:instrText>PAGE   \* MERGEFORMAT</w:instrText>
        </w:r>
        <w:r w:rsidRPr="009C0EF1">
          <w:rPr>
            <w:rFonts w:ascii="Times New Roman" w:hAnsi="Times New Roman" w:cs="Times New Roman"/>
            <w:noProof/>
          </w:rPr>
          <w:fldChar w:fldCharType="separate"/>
        </w:r>
        <w:r w:rsidR="00871075">
          <w:rPr>
            <w:rFonts w:ascii="Times New Roman" w:hAnsi="Times New Roman" w:cs="Times New Roman"/>
            <w:noProof/>
          </w:rPr>
          <w:t>35</w:t>
        </w:r>
        <w:r w:rsidRPr="009C0EF1">
          <w:rPr>
            <w:rFonts w:ascii="Times New Roman" w:hAnsi="Times New Roman" w:cs="Times New Roman"/>
            <w:noProof/>
          </w:rPr>
          <w:fldChar w:fldCharType="end"/>
        </w:r>
      </w:p>
    </w:sdtContent>
  </w:sdt>
  <w:p w14:paraId="0DB8A7C7" w14:textId="77777777" w:rsidR="007E0556" w:rsidRDefault="007E05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140824"/>
    <w:multiLevelType w:val="hybridMultilevel"/>
    <w:tmpl w:val="5D2CB5CC"/>
    <w:lvl w:ilvl="0" w:tplc="5170A40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A06A94"/>
    <w:multiLevelType w:val="hybridMultilevel"/>
    <w:tmpl w:val="3796F80C"/>
    <w:lvl w:ilvl="0" w:tplc="ED7066F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4002EF1"/>
    <w:multiLevelType w:val="hybridMultilevel"/>
    <w:tmpl w:val="98D47D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4057110"/>
    <w:multiLevelType w:val="hybridMultilevel"/>
    <w:tmpl w:val="0B10D57C"/>
    <w:lvl w:ilvl="0" w:tplc="FCB65B04">
      <w:start w:val="20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5" w15:restartNumberingAfterBreak="0">
    <w:nsid w:val="077E2865"/>
    <w:multiLevelType w:val="hybridMultilevel"/>
    <w:tmpl w:val="BC6E6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4C1578"/>
    <w:multiLevelType w:val="hybridMultilevel"/>
    <w:tmpl w:val="FE2680C0"/>
    <w:lvl w:ilvl="0" w:tplc="88A6DEB2">
      <w:start w:val="7"/>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D77690"/>
    <w:multiLevelType w:val="hybridMultilevel"/>
    <w:tmpl w:val="808272BA"/>
    <w:lvl w:ilvl="0" w:tplc="8CF4E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414B6E"/>
    <w:multiLevelType w:val="hybridMultilevel"/>
    <w:tmpl w:val="FE2EC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4953EA"/>
    <w:multiLevelType w:val="hybridMultilevel"/>
    <w:tmpl w:val="1B363B56"/>
    <w:lvl w:ilvl="0" w:tplc="8CF4E1F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217427E6"/>
    <w:multiLevelType w:val="hybridMultilevel"/>
    <w:tmpl w:val="AE9E5554"/>
    <w:lvl w:ilvl="0" w:tplc="99385F8A">
      <w:start w:val="4"/>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81F96"/>
    <w:multiLevelType w:val="hybridMultilevel"/>
    <w:tmpl w:val="A790ADC0"/>
    <w:lvl w:ilvl="0" w:tplc="D318C192">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15:restartNumberingAfterBreak="0">
    <w:nsid w:val="28A92628"/>
    <w:multiLevelType w:val="hybridMultilevel"/>
    <w:tmpl w:val="E968D7BA"/>
    <w:lvl w:ilvl="0" w:tplc="8CF4E1F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CE61D92"/>
    <w:multiLevelType w:val="hybridMultilevel"/>
    <w:tmpl w:val="A9F6C196"/>
    <w:lvl w:ilvl="0" w:tplc="8CF4E1F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38B20FA"/>
    <w:multiLevelType w:val="hybridMultilevel"/>
    <w:tmpl w:val="9E9E936E"/>
    <w:lvl w:ilvl="0" w:tplc="05641F0E">
      <w:start w:val="227"/>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5" w15:restartNumberingAfterBreak="0">
    <w:nsid w:val="36CB46E1"/>
    <w:multiLevelType w:val="hybridMultilevel"/>
    <w:tmpl w:val="DF7C2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20F4B"/>
    <w:multiLevelType w:val="hybridMultilevel"/>
    <w:tmpl w:val="A6E4EDF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80F4D71"/>
    <w:multiLevelType w:val="hybridMultilevel"/>
    <w:tmpl w:val="CC72E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0A643C"/>
    <w:multiLevelType w:val="hybridMultilevel"/>
    <w:tmpl w:val="78C46B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2A1CF7"/>
    <w:multiLevelType w:val="hybridMultilevel"/>
    <w:tmpl w:val="6ADAB76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15:restartNumberingAfterBreak="0">
    <w:nsid w:val="3E58064E"/>
    <w:multiLevelType w:val="hybridMultilevel"/>
    <w:tmpl w:val="D9C4C0BA"/>
    <w:lvl w:ilvl="0" w:tplc="5544A126">
      <w:start w:val="201"/>
      <w:numFmt w:val="decimal"/>
      <w:lvlText w:val="%1"/>
      <w:lvlJc w:val="left"/>
      <w:pPr>
        <w:ind w:left="663" w:hanging="360"/>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1" w15:restartNumberingAfterBreak="0">
    <w:nsid w:val="408B6191"/>
    <w:multiLevelType w:val="hybridMultilevel"/>
    <w:tmpl w:val="69EE538E"/>
    <w:lvl w:ilvl="0" w:tplc="D2DCC18A">
      <w:start w:val="218"/>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2" w15:restartNumberingAfterBreak="0">
    <w:nsid w:val="40CA558C"/>
    <w:multiLevelType w:val="hybridMultilevel"/>
    <w:tmpl w:val="0186BCA6"/>
    <w:lvl w:ilvl="0" w:tplc="AD4A74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2C13AC4"/>
    <w:multiLevelType w:val="hybridMultilevel"/>
    <w:tmpl w:val="C93C92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ED7977"/>
    <w:multiLevelType w:val="hybridMultilevel"/>
    <w:tmpl w:val="3848739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46492C43"/>
    <w:multiLevelType w:val="hybridMultilevel"/>
    <w:tmpl w:val="7FE053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6C66E9E"/>
    <w:multiLevelType w:val="hybridMultilevel"/>
    <w:tmpl w:val="E7F402AA"/>
    <w:lvl w:ilvl="0" w:tplc="DECE000A">
      <w:start w:val="1"/>
      <w:numFmt w:val="decimal"/>
      <w:lvlText w:val="%1."/>
      <w:lvlJc w:val="left"/>
      <w:pPr>
        <w:ind w:left="1211" w:hanging="360"/>
      </w:pPr>
      <w:rPr>
        <w:rFonts w:hint="default"/>
        <w:sz w:val="28"/>
      </w:rPr>
    </w:lvl>
    <w:lvl w:ilvl="1" w:tplc="04190019">
      <w:start w:val="1"/>
      <w:numFmt w:val="lowerLetter"/>
      <w:lvlText w:val="%2."/>
      <w:lvlJc w:val="left"/>
      <w:pPr>
        <w:ind w:left="2780" w:hanging="360"/>
      </w:p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27" w15:restartNumberingAfterBreak="0">
    <w:nsid w:val="46FA2EA0"/>
    <w:multiLevelType w:val="hybridMultilevel"/>
    <w:tmpl w:val="E08E48B8"/>
    <w:lvl w:ilvl="0" w:tplc="3FA60F94">
      <w:start w:val="220"/>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8" w15:restartNumberingAfterBreak="0">
    <w:nsid w:val="470300E9"/>
    <w:multiLevelType w:val="hybridMultilevel"/>
    <w:tmpl w:val="579EA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9F4D2F"/>
    <w:multiLevelType w:val="hybridMultilevel"/>
    <w:tmpl w:val="C4242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C9C543E"/>
    <w:multiLevelType w:val="multilevel"/>
    <w:tmpl w:val="39F28A92"/>
    <w:lvl w:ilvl="0">
      <w:start w:val="5"/>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4ED042CF"/>
    <w:multiLevelType w:val="hybridMultilevel"/>
    <w:tmpl w:val="624677CA"/>
    <w:lvl w:ilvl="0" w:tplc="8CF4E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D6575F"/>
    <w:multiLevelType w:val="hybridMultilevel"/>
    <w:tmpl w:val="1862CE20"/>
    <w:lvl w:ilvl="0" w:tplc="7A20C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2386E93"/>
    <w:multiLevelType w:val="hybridMultilevel"/>
    <w:tmpl w:val="B6C092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3EE0EC9"/>
    <w:multiLevelType w:val="hybridMultilevel"/>
    <w:tmpl w:val="DF042DE2"/>
    <w:lvl w:ilvl="0" w:tplc="8CF4E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546173"/>
    <w:multiLevelType w:val="hybridMultilevel"/>
    <w:tmpl w:val="3ACAC250"/>
    <w:lvl w:ilvl="0" w:tplc="B89CE3AE">
      <w:start w:val="1"/>
      <w:numFmt w:val="decimal"/>
      <w:lvlText w:val="%1)"/>
      <w:lvlJc w:val="left"/>
      <w:pPr>
        <w:ind w:left="1654" w:hanging="5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75773C9"/>
    <w:multiLevelType w:val="hybridMultilevel"/>
    <w:tmpl w:val="E0D4ABA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15:restartNumberingAfterBreak="0">
    <w:nsid w:val="5A704F20"/>
    <w:multiLevelType w:val="hybridMultilevel"/>
    <w:tmpl w:val="F2DEF93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756DEF"/>
    <w:multiLevelType w:val="hybridMultilevel"/>
    <w:tmpl w:val="889C4D7C"/>
    <w:lvl w:ilvl="0" w:tplc="F9C47B8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3A03756"/>
    <w:multiLevelType w:val="hybridMultilevel"/>
    <w:tmpl w:val="1F987642"/>
    <w:lvl w:ilvl="0" w:tplc="8CF4E1F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66D832B8"/>
    <w:multiLevelType w:val="hybridMultilevel"/>
    <w:tmpl w:val="F614FC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21A1A53"/>
    <w:multiLevelType w:val="hybridMultilevel"/>
    <w:tmpl w:val="36224732"/>
    <w:lvl w:ilvl="0" w:tplc="A39041CC">
      <w:start w:val="11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2A92053"/>
    <w:multiLevelType w:val="hybridMultilevel"/>
    <w:tmpl w:val="05C26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4BC10DA"/>
    <w:multiLevelType w:val="hybridMultilevel"/>
    <w:tmpl w:val="CD00FFF8"/>
    <w:lvl w:ilvl="0" w:tplc="24C4D37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5713D1D"/>
    <w:multiLevelType w:val="hybridMultilevel"/>
    <w:tmpl w:val="932ED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8516FE"/>
    <w:multiLevelType w:val="hybridMultilevel"/>
    <w:tmpl w:val="AB1A9D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9"/>
  </w:num>
  <w:num w:numId="5">
    <w:abstractNumId w:val="18"/>
  </w:num>
  <w:num w:numId="6">
    <w:abstractNumId w:val="40"/>
  </w:num>
  <w:num w:numId="7">
    <w:abstractNumId w:val="25"/>
  </w:num>
  <w:num w:numId="8">
    <w:abstractNumId w:val="27"/>
  </w:num>
  <w:num w:numId="9">
    <w:abstractNumId w:val="11"/>
  </w:num>
  <w:num w:numId="10">
    <w:abstractNumId w:val="14"/>
  </w:num>
  <w:num w:numId="11">
    <w:abstractNumId w:val="21"/>
  </w:num>
  <w:num w:numId="12">
    <w:abstractNumId w:val="4"/>
  </w:num>
  <w:num w:numId="13">
    <w:abstractNumId w:val="20"/>
  </w:num>
  <w:num w:numId="14">
    <w:abstractNumId w:val="1"/>
  </w:num>
  <w:num w:numId="15">
    <w:abstractNumId w:val="26"/>
  </w:num>
  <w:num w:numId="16">
    <w:abstractNumId w:val="30"/>
  </w:num>
  <w:num w:numId="17">
    <w:abstractNumId w:val="36"/>
  </w:num>
  <w:num w:numId="18">
    <w:abstractNumId w:val="16"/>
  </w:num>
  <w:num w:numId="19">
    <w:abstractNumId w:val="9"/>
  </w:num>
  <w:num w:numId="20">
    <w:abstractNumId w:val="7"/>
  </w:num>
  <w:num w:numId="21">
    <w:abstractNumId w:val="31"/>
  </w:num>
  <w:num w:numId="22">
    <w:abstractNumId w:val="13"/>
  </w:num>
  <w:num w:numId="23">
    <w:abstractNumId w:val="39"/>
  </w:num>
  <w:num w:numId="24">
    <w:abstractNumId w:val="12"/>
  </w:num>
  <w:num w:numId="25">
    <w:abstractNumId w:val="8"/>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3"/>
  </w:num>
  <w:num w:numId="29">
    <w:abstractNumId w:val="2"/>
  </w:num>
  <w:num w:numId="30">
    <w:abstractNumId w:val="34"/>
  </w:num>
  <w:num w:numId="31">
    <w:abstractNumId w:val="15"/>
  </w:num>
  <w:num w:numId="32">
    <w:abstractNumId w:val="17"/>
  </w:num>
  <w:num w:numId="33">
    <w:abstractNumId w:val="10"/>
  </w:num>
  <w:num w:numId="34">
    <w:abstractNumId w:val="33"/>
  </w:num>
  <w:num w:numId="35">
    <w:abstractNumId w:val="28"/>
  </w:num>
  <w:num w:numId="36">
    <w:abstractNumId w:val="5"/>
  </w:num>
  <w:num w:numId="37">
    <w:abstractNumId w:val="0"/>
  </w:num>
  <w:num w:numId="38">
    <w:abstractNumId w:val="43"/>
  </w:num>
  <w:num w:numId="39">
    <w:abstractNumId w:val="32"/>
  </w:num>
  <w:num w:numId="40">
    <w:abstractNumId w:val="45"/>
  </w:num>
  <w:num w:numId="41">
    <w:abstractNumId w:val="38"/>
  </w:num>
  <w:num w:numId="42">
    <w:abstractNumId w:val="22"/>
  </w:num>
  <w:num w:numId="43">
    <w:abstractNumId w:val="35"/>
  </w:num>
  <w:num w:numId="44">
    <w:abstractNumId w:val="29"/>
  </w:num>
  <w:num w:numId="45">
    <w:abstractNumId w:val="4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B3"/>
    <w:rsid w:val="000006BF"/>
    <w:rsid w:val="000009AA"/>
    <w:rsid w:val="00000DB0"/>
    <w:rsid w:val="000013E6"/>
    <w:rsid w:val="0000230C"/>
    <w:rsid w:val="000035E8"/>
    <w:rsid w:val="00004B19"/>
    <w:rsid w:val="0000546A"/>
    <w:rsid w:val="000063A4"/>
    <w:rsid w:val="0000689C"/>
    <w:rsid w:val="00006EDC"/>
    <w:rsid w:val="0000702B"/>
    <w:rsid w:val="00012053"/>
    <w:rsid w:val="00012884"/>
    <w:rsid w:val="00013F05"/>
    <w:rsid w:val="00016EC9"/>
    <w:rsid w:val="00020592"/>
    <w:rsid w:val="00020C3D"/>
    <w:rsid w:val="00022335"/>
    <w:rsid w:val="00022D1B"/>
    <w:rsid w:val="0002300C"/>
    <w:rsid w:val="000239C3"/>
    <w:rsid w:val="00023DAE"/>
    <w:rsid w:val="00024103"/>
    <w:rsid w:val="0002436F"/>
    <w:rsid w:val="000246A1"/>
    <w:rsid w:val="00024726"/>
    <w:rsid w:val="00030E9C"/>
    <w:rsid w:val="000323ED"/>
    <w:rsid w:val="00032F42"/>
    <w:rsid w:val="00033139"/>
    <w:rsid w:val="000339E5"/>
    <w:rsid w:val="00034979"/>
    <w:rsid w:val="000356F3"/>
    <w:rsid w:val="000361B7"/>
    <w:rsid w:val="00040166"/>
    <w:rsid w:val="000406E7"/>
    <w:rsid w:val="00045849"/>
    <w:rsid w:val="00046909"/>
    <w:rsid w:val="00047686"/>
    <w:rsid w:val="00047AC0"/>
    <w:rsid w:val="000519D1"/>
    <w:rsid w:val="00051C50"/>
    <w:rsid w:val="0005382A"/>
    <w:rsid w:val="00053860"/>
    <w:rsid w:val="00054963"/>
    <w:rsid w:val="000564B3"/>
    <w:rsid w:val="0005694F"/>
    <w:rsid w:val="00062642"/>
    <w:rsid w:val="00062F60"/>
    <w:rsid w:val="000634C7"/>
    <w:rsid w:val="00063A6C"/>
    <w:rsid w:val="00064957"/>
    <w:rsid w:val="00070083"/>
    <w:rsid w:val="000709A2"/>
    <w:rsid w:val="000726D5"/>
    <w:rsid w:val="00073E49"/>
    <w:rsid w:val="00075649"/>
    <w:rsid w:val="00077C49"/>
    <w:rsid w:val="0008033C"/>
    <w:rsid w:val="00082118"/>
    <w:rsid w:val="0008293A"/>
    <w:rsid w:val="00084492"/>
    <w:rsid w:val="0008688B"/>
    <w:rsid w:val="000901CC"/>
    <w:rsid w:val="00091BE2"/>
    <w:rsid w:val="00092814"/>
    <w:rsid w:val="000936C2"/>
    <w:rsid w:val="00093AE0"/>
    <w:rsid w:val="000955FF"/>
    <w:rsid w:val="00095D49"/>
    <w:rsid w:val="00096A64"/>
    <w:rsid w:val="000A067D"/>
    <w:rsid w:val="000A24FE"/>
    <w:rsid w:val="000A472C"/>
    <w:rsid w:val="000A4A1F"/>
    <w:rsid w:val="000A5FC2"/>
    <w:rsid w:val="000A614F"/>
    <w:rsid w:val="000A6A78"/>
    <w:rsid w:val="000A6DB4"/>
    <w:rsid w:val="000A781D"/>
    <w:rsid w:val="000B0033"/>
    <w:rsid w:val="000B0115"/>
    <w:rsid w:val="000B02D6"/>
    <w:rsid w:val="000B23E7"/>
    <w:rsid w:val="000B26E0"/>
    <w:rsid w:val="000B336F"/>
    <w:rsid w:val="000B4132"/>
    <w:rsid w:val="000B52CF"/>
    <w:rsid w:val="000B6292"/>
    <w:rsid w:val="000B7D38"/>
    <w:rsid w:val="000C1406"/>
    <w:rsid w:val="000C15FF"/>
    <w:rsid w:val="000C195B"/>
    <w:rsid w:val="000C2A63"/>
    <w:rsid w:val="000C3AFC"/>
    <w:rsid w:val="000C3B10"/>
    <w:rsid w:val="000C50D6"/>
    <w:rsid w:val="000C5379"/>
    <w:rsid w:val="000C60F1"/>
    <w:rsid w:val="000C6BC6"/>
    <w:rsid w:val="000C72EC"/>
    <w:rsid w:val="000C7B60"/>
    <w:rsid w:val="000D017A"/>
    <w:rsid w:val="000D0D69"/>
    <w:rsid w:val="000D0E51"/>
    <w:rsid w:val="000D4368"/>
    <w:rsid w:val="000D494E"/>
    <w:rsid w:val="000D5AB0"/>
    <w:rsid w:val="000E053A"/>
    <w:rsid w:val="000E1075"/>
    <w:rsid w:val="000E2058"/>
    <w:rsid w:val="000E4E34"/>
    <w:rsid w:val="000E5541"/>
    <w:rsid w:val="000E60FE"/>
    <w:rsid w:val="000E6AA8"/>
    <w:rsid w:val="000F076D"/>
    <w:rsid w:val="000F1FBD"/>
    <w:rsid w:val="000F36AC"/>
    <w:rsid w:val="000F4171"/>
    <w:rsid w:val="000F541E"/>
    <w:rsid w:val="000F5646"/>
    <w:rsid w:val="000F688B"/>
    <w:rsid w:val="000F73BC"/>
    <w:rsid w:val="000F7DF2"/>
    <w:rsid w:val="0010178D"/>
    <w:rsid w:val="00103059"/>
    <w:rsid w:val="00105554"/>
    <w:rsid w:val="00107169"/>
    <w:rsid w:val="00111A30"/>
    <w:rsid w:val="0011402E"/>
    <w:rsid w:val="00114444"/>
    <w:rsid w:val="00114629"/>
    <w:rsid w:val="001146F8"/>
    <w:rsid w:val="00114730"/>
    <w:rsid w:val="00116BB9"/>
    <w:rsid w:val="00116E14"/>
    <w:rsid w:val="00116F12"/>
    <w:rsid w:val="00122DFB"/>
    <w:rsid w:val="00123565"/>
    <w:rsid w:val="001236E7"/>
    <w:rsid w:val="00125070"/>
    <w:rsid w:val="001250DD"/>
    <w:rsid w:val="001269E4"/>
    <w:rsid w:val="00126A28"/>
    <w:rsid w:val="0012747E"/>
    <w:rsid w:val="00130C59"/>
    <w:rsid w:val="00130CF1"/>
    <w:rsid w:val="00130F3B"/>
    <w:rsid w:val="00131316"/>
    <w:rsid w:val="00131EB9"/>
    <w:rsid w:val="00134D5F"/>
    <w:rsid w:val="0013516B"/>
    <w:rsid w:val="0013544D"/>
    <w:rsid w:val="00135DAA"/>
    <w:rsid w:val="00136ACD"/>
    <w:rsid w:val="00137F87"/>
    <w:rsid w:val="0014120D"/>
    <w:rsid w:val="0014148F"/>
    <w:rsid w:val="001417C9"/>
    <w:rsid w:val="00142C64"/>
    <w:rsid w:val="00143C2C"/>
    <w:rsid w:val="001473CC"/>
    <w:rsid w:val="00147A78"/>
    <w:rsid w:val="00147E0A"/>
    <w:rsid w:val="00150103"/>
    <w:rsid w:val="0015203A"/>
    <w:rsid w:val="00152224"/>
    <w:rsid w:val="00152F81"/>
    <w:rsid w:val="00155290"/>
    <w:rsid w:val="001558BD"/>
    <w:rsid w:val="00155FAA"/>
    <w:rsid w:val="00156171"/>
    <w:rsid w:val="001567BF"/>
    <w:rsid w:val="00156954"/>
    <w:rsid w:val="0016003C"/>
    <w:rsid w:val="001608DE"/>
    <w:rsid w:val="00162CD9"/>
    <w:rsid w:val="0016499B"/>
    <w:rsid w:val="0016573E"/>
    <w:rsid w:val="00167ACE"/>
    <w:rsid w:val="00167B59"/>
    <w:rsid w:val="00167DA6"/>
    <w:rsid w:val="00170187"/>
    <w:rsid w:val="00170822"/>
    <w:rsid w:val="001724A8"/>
    <w:rsid w:val="00173189"/>
    <w:rsid w:val="00174E6A"/>
    <w:rsid w:val="00175CDA"/>
    <w:rsid w:val="00183EB5"/>
    <w:rsid w:val="00184269"/>
    <w:rsid w:val="00184CA1"/>
    <w:rsid w:val="00187E34"/>
    <w:rsid w:val="00191B0B"/>
    <w:rsid w:val="00191E09"/>
    <w:rsid w:val="001921D9"/>
    <w:rsid w:val="00193E0C"/>
    <w:rsid w:val="00195658"/>
    <w:rsid w:val="00196C7F"/>
    <w:rsid w:val="00197452"/>
    <w:rsid w:val="001A16B3"/>
    <w:rsid w:val="001A17DF"/>
    <w:rsid w:val="001A1AC8"/>
    <w:rsid w:val="001A1F5E"/>
    <w:rsid w:val="001A202E"/>
    <w:rsid w:val="001A2951"/>
    <w:rsid w:val="001A43CA"/>
    <w:rsid w:val="001A54EA"/>
    <w:rsid w:val="001A5B58"/>
    <w:rsid w:val="001A69A8"/>
    <w:rsid w:val="001A746A"/>
    <w:rsid w:val="001B0DF0"/>
    <w:rsid w:val="001C00F7"/>
    <w:rsid w:val="001C214E"/>
    <w:rsid w:val="001C2F0F"/>
    <w:rsid w:val="001C6103"/>
    <w:rsid w:val="001D0189"/>
    <w:rsid w:val="001D115D"/>
    <w:rsid w:val="001D1D16"/>
    <w:rsid w:val="001D228D"/>
    <w:rsid w:val="001D3726"/>
    <w:rsid w:val="001D446C"/>
    <w:rsid w:val="001D6AAA"/>
    <w:rsid w:val="001D7C70"/>
    <w:rsid w:val="001E01F0"/>
    <w:rsid w:val="001E0602"/>
    <w:rsid w:val="001E1813"/>
    <w:rsid w:val="001E3E8A"/>
    <w:rsid w:val="001E4624"/>
    <w:rsid w:val="001E76A0"/>
    <w:rsid w:val="001F0379"/>
    <w:rsid w:val="001F4175"/>
    <w:rsid w:val="001F4429"/>
    <w:rsid w:val="001F68FC"/>
    <w:rsid w:val="001F7FE4"/>
    <w:rsid w:val="00202BB3"/>
    <w:rsid w:val="002030E6"/>
    <w:rsid w:val="00203227"/>
    <w:rsid w:val="00203A13"/>
    <w:rsid w:val="00203EB5"/>
    <w:rsid w:val="00204230"/>
    <w:rsid w:val="00206037"/>
    <w:rsid w:val="00207260"/>
    <w:rsid w:val="002076CE"/>
    <w:rsid w:val="00207C1F"/>
    <w:rsid w:val="00207F84"/>
    <w:rsid w:val="00210157"/>
    <w:rsid w:val="002132EC"/>
    <w:rsid w:val="00215F21"/>
    <w:rsid w:val="00216DF1"/>
    <w:rsid w:val="0022028E"/>
    <w:rsid w:val="00220D83"/>
    <w:rsid w:val="00222342"/>
    <w:rsid w:val="00225A40"/>
    <w:rsid w:val="002316E4"/>
    <w:rsid w:val="002327C5"/>
    <w:rsid w:val="00232B7C"/>
    <w:rsid w:val="00233B7E"/>
    <w:rsid w:val="002341BE"/>
    <w:rsid w:val="00235CE8"/>
    <w:rsid w:val="00235DCC"/>
    <w:rsid w:val="00236875"/>
    <w:rsid w:val="00236901"/>
    <w:rsid w:val="00236EFF"/>
    <w:rsid w:val="00237BEE"/>
    <w:rsid w:val="00237FB5"/>
    <w:rsid w:val="00241622"/>
    <w:rsid w:val="00242175"/>
    <w:rsid w:val="00242DCC"/>
    <w:rsid w:val="002448E5"/>
    <w:rsid w:val="00244E4A"/>
    <w:rsid w:val="002453E6"/>
    <w:rsid w:val="00245935"/>
    <w:rsid w:val="002469F4"/>
    <w:rsid w:val="0025038D"/>
    <w:rsid w:val="00250BDD"/>
    <w:rsid w:val="00250CD1"/>
    <w:rsid w:val="002512A9"/>
    <w:rsid w:val="00252275"/>
    <w:rsid w:val="00252828"/>
    <w:rsid w:val="00252E11"/>
    <w:rsid w:val="00256031"/>
    <w:rsid w:val="00256347"/>
    <w:rsid w:val="002574CB"/>
    <w:rsid w:val="00260885"/>
    <w:rsid w:val="00263766"/>
    <w:rsid w:val="00264FB6"/>
    <w:rsid w:val="0026506B"/>
    <w:rsid w:val="00265674"/>
    <w:rsid w:val="00265CD6"/>
    <w:rsid w:val="002673D4"/>
    <w:rsid w:val="002703E4"/>
    <w:rsid w:val="00271C57"/>
    <w:rsid w:val="00273DB8"/>
    <w:rsid w:val="00273F14"/>
    <w:rsid w:val="00274440"/>
    <w:rsid w:val="00275229"/>
    <w:rsid w:val="00275C7C"/>
    <w:rsid w:val="00275E9C"/>
    <w:rsid w:val="00276D38"/>
    <w:rsid w:val="00277DBF"/>
    <w:rsid w:val="00280389"/>
    <w:rsid w:val="002803A7"/>
    <w:rsid w:val="00281703"/>
    <w:rsid w:val="002831BA"/>
    <w:rsid w:val="00283B57"/>
    <w:rsid w:val="002843CC"/>
    <w:rsid w:val="00284576"/>
    <w:rsid w:val="002854AA"/>
    <w:rsid w:val="00286699"/>
    <w:rsid w:val="00290603"/>
    <w:rsid w:val="00290FBC"/>
    <w:rsid w:val="002915CA"/>
    <w:rsid w:val="00293890"/>
    <w:rsid w:val="00293B72"/>
    <w:rsid w:val="00294A55"/>
    <w:rsid w:val="00295516"/>
    <w:rsid w:val="00295E96"/>
    <w:rsid w:val="00297A73"/>
    <w:rsid w:val="002A33CD"/>
    <w:rsid w:val="002A3816"/>
    <w:rsid w:val="002A4F2B"/>
    <w:rsid w:val="002A5FFA"/>
    <w:rsid w:val="002A62F8"/>
    <w:rsid w:val="002A63BC"/>
    <w:rsid w:val="002A6E92"/>
    <w:rsid w:val="002A6EFB"/>
    <w:rsid w:val="002B01AF"/>
    <w:rsid w:val="002B1366"/>
    <w:rsid w:val="002B257B"/>
    <w:rsid w:val="002B2848"/>
    <w:rsid w:val="002B33FC"/>
    <w:rsid w:val="002B463C"/>
    <w:rsid w:val="002B488D"/>
    <w:rsid w:val="002B4956"/>
    <w:rsid w:val="002B4A48"/>
    <w:rsid w:val="002B54BF"/>
    <w:rsid w:val="002B59E7"/>
    <w:rsid w:val="002B6005"/>
    <w:rsid w:val="002B626F"/>
    <w:rsid w:val="002B689B"/>
    <w:rsid w:val="002B6CD5"/>
    <w:rsid w:val="002B6F54"/>
    <w:rsid w:val="002C119D"/>
    <w:rsid w:val="002C1236"/>
    <w:rsid w:val="002C190B"/>
    <w:rsid w:val="002C1BCB"/>
    <w:rsid w:val="002C32B1"/>
    <w:rsid w:val="002C385C"/>
    <w:rsid w:val="002C3FF5"/>
    <w:rsid w:val="002C44AA"/>
    <w:rsid w:val="002C4CFC"/>
    <w:rsid w:val="002C4F3B"/>
    <w:rsid w:val="002C50DB"/>
    <w:rsid w:val="002C5B62"/>
    <w:rsid w:val="002C5E81"/>
    <w:rsid w:val="002C6FBC"/>
    <w:rsid w:val="002C7F3C"/>
    <w:rsid w:val="002D03AA"/>
    <w:rsid w:val="002D1414"/>
    <w:rsid w:val="002D2885"/>
    <w:rsid w:val="002D2AEE"/>
    <w:rsid w:val="002D2E3E"/>
    <w:rsid w:val="002D3195"/>
    <w:rsid w:val="002D3493"/>
    <w:rsid w:val="002D3DA5"/>
    <w:rsid w:val="002D450F"/>
    <w:rsid w:val="002D45EA"/>
    <w:rsid w:val="002D63D1"/>
    <w:rsid w:val="002D6B59"/>
    <w:rsid w:val="002E07FC"/>
    <w:rsid w:val="002E093D"/>
    <w:rsid w:val="002E0E5A"/>
    <w:rsid w:val="002E14A0"/>
    <w:rsid w:val="002E2C76"/>
    <w:rsid w:val="002E3021"/>
    <w:rsid w:val="002E3DD9"/>
    <w:rsid w:val="002E45BD"/>
    <w:rsid w:val="002E6E03"/>
    <w:rsid w:val="002E742B"/>
    <w:rsid w:val="002E7FCE"/>
    <w:rsid w:val="002F0B87"/>
    <w:rsid w:val="002F223F"/>
    <w:rsid w:val="002F2B38"/>
    <w:rsid w:val="002F30FB"/>
    <w:rsid w:val="002F5AB7"/>
    <w:rsid w:val="002F5B74"/>
    <w:rsid w:val="002F65C8"/>
    <w:rsid w:val="002F7FB1"/>
    <w:rsid w:val="00304E52"/>
    <w:rsid w:val="003102A5"/>
    <w:rsid w:val="003116B6"/>
    <w:rsid w:val="00312330"/>
    <w:rsid w:val="00312D58"/>
    <w:rsid w:val="00313323"/>
    <w:rsid w:val="0031622C"/>
    <w:rsid w:val="0031712F"/>
    <w:rsid w:val="00317A7A"/>
    <w:rsid w:val="00317B0E"/>
    <w:rsid w:val="00317EE4"/>
    <w:rsid w:val="00320EB6"/>
    <w:rsid w:val="00321091"/>
    <w:rsid w:val="00321ADC"/>
    <w:rsid w:val="00321DEB"/>
    <w:rsid w:val="00322871"/>
    <w:rsid w:val="00325706"/>
    <w:rsid w:val="00325CA5"/>
    <w:rsid w:val="0033115E"/>
    <w:rsid w:val="00331ADA"/>
    <w:rsid w:val="00332685"/>
    <w:rsid w:val="00333524"/>
    <w:rsid w:val="00333D35"/>
    <w:rsid w:val="00336FF3"/>
    <w:rsid w:val="00337693"/>
    <w:rsid w:val="00337D21"/>
    <w:rsid w:val="00340023"/>
    <w:rsid w:val="00340995"/>
    <w:rsid w:val="0034236C"/>
    <w:rsid w:val="00343DDC"/>
    <w:rsid w:val="0034686B"/>
    <w:rsid w:val="0035024B"/>
    <w:rsid w:val="003508A5"/>
    <w:rsid w:val="00351499"/>
    <w:rsid w:val="00351B69"/>
    <w:rsid w:val="00352796"/>
    <w:rsid w:val="00352D19"/>
    <w:rsid w:val="00352F70"/>
    <w:rsid w:val="00353512"/>
    <w:rsid w:val="00353FA4"/>
    <w:rsid w:val="00355170"/>
    <w:rsid w:val="003577FE"/>
    <w:rsid w:val="00357A0F"/>
    <w:rsid w:val="0036199B"/>
    <w:rsid w:val="00361B1B"/>
    <w:rsid w:val="00362B95"/>
    <w:rsid w:val="00363485"/>
    <w:rsid w:val="00364056"/>
    <w:rsid w:val="00365DBA"/>
    <w:rsid w:val="0036724F"/>
    <w:rsid w:val="003677FE"/>
    <w:rsid w:val="003712DE"/>
    <w:rsid w:val="003720DC"/>
    <w:rsid w:val="003721E1"/>
    <w:rsid w:val="00372B49"/>
    <w:rsid w:val="00373B19"/>
    <w:rsid w:val="00374DF7"/>
    <w:rsid w:val="003769C3"/>
    <w:rsid w:val="003776C6"/>
    <w:rsid w:val="00377D67"/>
    <w:rsid w:val="00377EE4"/>
    <w:rsid w:val="00380597"/>
    <w:rsid w:val="00381242"/>
    <w:rsid w:val="0038197D"/>
    <w:rsid w:val="0038241C"/>
    <w:rsid w:val="00383FAA"/>
    <w:rsid w:val="00384427"/>
    <w:rsid w:val="00384EB0"/>
    <w:rsid w:val="003907FF"/>
    <w:rsid w:val="003908BC"/>
    <w:rsid w:val="0039148C"/>
    <w:rsid w:val="00394840"/>
    <w:rsid w:val="00394A4F"/>
    <w:rsid w:val="00396168"/>
    <w:rsid w:val="00396827"/>
    <w:rsid w:val="003970E4"/>
    <w:rsid w:val="0039725F"/>
    <w:rsid w:val="003A1234"/>
    <w:rsid w:val="003A15A6"/>
    <w:rsid w:val="003A16DD"/>
    <w:rsid w:val="003A2878"/>
    <w:rsid w:val="003A2936"/>
    <w:rsid w:val="003A2A29"/>
    <w:rsid w:val="003A60FE"/>
    <w:rsid w:val="003A6243"/>
    <w:rsid w:val="003A6623"/>
    <w:rsid w:val="003A7BEA"/>
    <w:rsid w:val="003B0884"/>
    <w:rsid w:val="003B0E14"/>
    <w:rsid w:val="003B124C"/>
    <w:rsid w:val="003B240C"/>
    <w:rsid w:val="003B2CC5"/>
    <w:rsid w:val="003B5576"/>
    <w:rsid w:val="003B7AD7"/>
    <w:rsid w:val="003C0016"/>
    <w:rsid w:val="003C079A"/>
    <w:rsid w:val="003C10D2"/>
    <w:rsid w:val="003C2DC3"/>
    <w:rsid w:val="003C44AE"/>
    <w:rsid w:val="003C6A25"/>
    <w:rsid w:val="003C6F50"/>
    <w:rsid w:val="003C768C"/>
    <w:rsid w:val="003D0167"/>
    <w:rsid w:val="003D2074"/>
    <w:rsid w:val="003D3795"/>
    <w:rsid w:val="003D4735"/>
    <w:rsid w:val="003D6DB7"/>
    <w:rsid w:val="003D7669"/>
    <w:rsid w:val="003E0605"/>
    <w:rsid w:val="003E1625"/>
    <w:rsid w:val="003E1CEC"/>
    <w:rsid w:val="003E32A1"/>
    <w:rsid w:val="003E5FF9"/>
    <w:rsid w:val="003E6763"/>
    <w:rsid w:val="003E7DB7"/>
    <w:rsid w:val="003F13A3"/>
    <w:rsid w:val="003F2906"/>
    <w:rsid w:val="003F3596"/>
    <w:rsid w:val="003F4967"/>
    <w:rsid w:val="003F6346"/>
    <w:rsid w:val="003F74EF"/>
    <w:rsid w:val="004011F7"/>
    <w:rsid w:val="004014D4"/>
    <w:rsid w:val="004024D0"/>
    <w:rsid w:val="004032F4"/>
    <w:rsid w:val="0040343F"/>
    <w:rsid w:val="00403999"/>
    <w:rsid w:val="004043BE"/>
    <w:rsid w:val="00406122"/>
    <w:rsid w:val="00411157"/>
    <w:rsid w:val="004115F7"/>
    <w:rsid w:val="00412168"/>
    <w:rsid w:val="00412319"/>
    <w:rsid w:val="00412506"/>
    <w:rsid w:val="00414CBE"/>
    <w:rsid w:val="00415F0C"/>
    <w:rsid w:val="00415F36"/>
    <w:rsid w:val="0041670C"/>
    <w:rsid w:val="004170AD"/>
    <w:rsid w:val="00422344"/>
    <w:rsid w:val="0042247D"/>
    <w:rsid w:val="00423236"/>
    <w:rsid w:val="00423B72"/>
    <w:rsid w:val="0042538C"/>
    <w:rsid w:val="0042548C"/>
    <w:rsid w:val="00426BF0"/>
    <w:rsid w:val="00427848"/>
    <w:rsid w:val="004330D3"/>
    <w:rsid w:val="00433DBA"/>
    <w:rsid w:val="00434160"/>
    <w:rsid w:val="00434A1B"/>
    <w:rsid w:val="0043588C"/>
    <w:rsid w:val="00435C9D"/>
    <w:rsid w:val="00436B1E"/>
    <w:rsid w:val="0044087A"/>
    <w:rsid w:val="0044146F"/>
    <w:rsid w:val="0044156F"/>
    <w:rsid w:val="0044452E"/>
    <w:rsid w:val="00445960"/>
    <w:rsid w:val="00445D5A"/>
    <w:rsid w:val="0044607E"/>
    <w:rsid w:val="0044693F"/>
    <w:rsid w:val="004475B0"/>
    <w:rsid w:val="0045153D"/>
    <w:rsid w:val="00451ECE"/>
    <w:rsid w:val="00452D7A"/>
    <w:rsid w:val="00454A5E"/>
    <w:rsid w:val="00455350"/>
    <w:rsid w:val="00455717"/>
    <w:rsid w:val="00455C94"/>
    <w:rsid w:val="00455E7A"/>
    <w:rsid w:val="00461561"/>
    <w:rsid w:val="00461AF0"/>
    <w:rsid w:val="00461F9F"/>
    <w:rsid w:val="00462D5A"/>
    <w:rsid w:val="00463419"/>
    <w:rsid w:val="004638E8"/>
    <w:rsid w:val="00464CA7"/>
    <w:rsid w:val="00466724"/>
    <w:rsid w:val="00466764"/>
    <w:rsid w:val="004708B6"/>
    <w:rsid w:val="004711EA"/>
    <w:rsid w:val="0047178B"/>
    <w:rsid w:val="00474129"/>
    <w:rsid w:val="00475F6D"/>
    <w:rsid w:val="0047604B"/>
    <w:rsid w:val="00481863"/>
    <w:rsid w:val="00481AAB"/>
    <w:rsid w:val="004822A3"/>
    <w:rsid w:val="00483BD9"/>
    <w:rsid w:val="004841BF"/>
    <w:rsid w:val="00484330"/>
    <w:rsid w:val="00484D31"/>
    <w:rsid w:val="00484D51"/>
    <w:rsid w:val="00485326"/>
    <w:rsid w:val="0048537E"/>
    <w:rsid w:val="00486F92"/>
    <w:rsid w:val="00490229"/>
    <w:rsid w:val="0049076C"/>
    <w:rsid w:val="00491452"/>
    <w:rsid w:val="00491E80"/>
    <w:rsid w:val="00492603"/>
    <w:rsid w:val="00496FE1"/>
    <w:rsid w:val="004973E7"/>
    <w:rsid w:val="00497615"/>
    <w:rsid w:val="004A00F5"/>
    <w:rsid w:val="004A0979"/>
    <w:rsid w:val="004A0A09"/>
    <w:rsid w:val="004A0CC9"/>
    <w:rsid w:val="004A18B5"/>
    <w:rsid w:val="004A1DB4"/>
    <w:rsid w:val="004A2DF8"/>
    <w:rsid w:val="004A4D0B"/>
    <w:rsid w:val="004B0191"/>
    <w:rsid w:val="004B1339"/>
    <w:rsid w:val="004B14DE"/>
    <w:rsid w:val="004B37C7"/>
    <w:rsid w:val="004B427F"/>
    <w:rsid w:val="004B57B2"/>
    <w:rsid w:val="004B6304"/>
    <w:rsid w:val="004C1A88"/>
    <w:rsid w:val="004C1DE9"/>
    <w:rsid w:val="004C2844"/>
    <w:rsid w:val="004C3D16"/>
    <w:rsid w:val="004C7466"/>
    <w:rsid w:val="004D1099"/>
    <w:rsid w:val="004D1538"/>
    <w:rsid w:val="004D3C0E"/>
    <w:rsid w:val="004D3F36"/>
    <w:rsid w:val="004D609A"/>
    <w:rsid w:val="004E26D9"/>
    <w:rsid w:val="004E3904"/>
    <w:rsid w:val="004E4D45"/>
    <w:rsid w:val="004E51AD"/>
    <w:rsid w:val="004E5979"/>
    <w:rsid w:val="004E5C2A"/>
    <w:rsid w:val="004E6041"/>
    <w:rsid w:val="004E61C4"/>
    <w:rsid w:val="004F0709"/>
    <w:rsid w:val="004F0F8A"/>
    <w:rsid w:val="004F1184"/>
    <w:rsid w:val="004F1196"/>
    <w:rsid w:val="004F36D0"/>
    <w:rsid w:val="004F3931"/>
    <w:rsid w:val="004F5589"/>
    <w:rsid w:val="004F65BB"/>
    <w:rsid w:val="004F6AD7"/>
    <w:rsid w:val="004F7601"/>
    <w:rsid w:val="005011B9"/>
    <w:rsid w:val="005028B9"/>
    <w:rsid w:val="005036FD"/>
    <w:rsid w:val="00503EA4"/>
    <w:rsid w:val="005049D9"/>
    <w:rsid w:val="00506846"/>
    <w:rsid w:val="005075D5"/>
    <w:rsid w:val="00510227"/>
    <w:rsid w:val="00510AA5"/>
    <w:rsid w:val="00510D7B"/>
    <w:rsid w:val="00511750"/>
    <w:rsid w:val="00512146"/>
    <w:rsid w:val="00512989"/>
    <w:rsid w:val="00512AEB"/>
    <w:rsid w:val="00513089"/>
    <w:rsid w:val="005135A5"/>
    <w:rsid w:val="00513CD0"/>
    <w:rsid w:val="00513D12"/>
    <w:rsid w:val="00515EDE"/>
    <w:rsid w:val="00516992"/>
    <w:rsid w:val="005202AD"/>
    <w:rsid w:val="00523F75"/>
    <w:rsid w:val="005256DE"/>
    <w:rsid w:val="00527F74"/>
    <w:rsid w:val="00530C53"/>
    <w:rsid w:val="00530FD3"/>
    <w:rsid w:val="005313FD"/>
    <w:rsid w:val="005320DC"/>
    <w:rsid w:val="0053396A"/>
    <w:rsid w:val="00533D2D"/>
    <w:rsid w:val="00534CFB"/>
    <w:rsid w:val="005353C3"/>
    <w:rsid w:val="00535E60"/>
    <w:rsid w:val="005362D6"/>
    <w:rsid w:val="0053664D"/>
    <w:rsid w:val="00537981"/>
    <w:rsid w:val="00540A49"/>
    <w:rsid w:val="0054468F"/>
    <w:rsid w:val="0054563B"/>
    <w:rsid w:val="0054788A"/>
    <w:rsid w:val="00547B3B"/>
    <w:rsid w:val="005511AA"/>
    <w:rsid w:val="00553C62"/>
    <w:rsid w:val="00554152"/>
    <w:rsid w:val="0055589E"/>
    <w:rsid w:val="00556766"/>
    <w:rsid w:val="0056110A"/>
    <w:rsid w:val="00561C60"/>
    <w:rsid w:val="00562055"/>
    <w:rsid w:val="005627CC"/>
    <w:rsid w:val="00562B23"/>
    <w:rsid w:val="005635B0"/>
    <w:rsid w:val="00565588"/>
    <w:rsid w:val="00565CF0"/>
    <w:rsid w:val="00570C5B"/>
    <w:rsid w:val="00571DE4"/>
    <w:rsid w:val="00572310"/>
    <w:rsid w:val="00575C08"/>
    <w:rsid w:val="00576A39"/>
    <w:rsid w:val="0057724F"/>
    <w:rsid w:val="00577FB5"/>
    <w:rsid w:val="00580E8A"/>
    <w:rsid w:val="00581749"/>
    <w:rsid w:val="00582919"/>
    <w:rsid w:val="00582B9B"/>
    <w:rsid w:val="00585A97"/>
    <w:rsid w:val="00585D43"/>
    <w:rsid w:val="0058639E"/>
    <w:rsid w:val="0058676D"/>
    <w:rsid w:val="0059224E"/>
    <w:rsid w:val="00592838"/>
    <w:rsid w:val="005932E6"/>
    <w:rsid w:val="0059446B"/>
    <w:rsid w:val="0059529E"/>
    <w:rsid w:val="00595A34"/>
    <w:rsid w:val="00597518"/>
    <w:rsid w:val="005A08E0"/>
    <w:rsid w:val="005A0BA2"/>
    <w:rsid w:val="005A13A1"/>
    <w:rsid w:val="005A1F98"/>
    <w:rsid w:val="005A265A"/>
    <w:rsid w:val="005A3DBB"/>
    <w:rsid w:val="005A4929"/>
    <w:rsid w:val="005A611E"/>
    <w:rsid w:val="005A77C3"/>
    <w:rsid w:val="005A7AEF"/>
    <w:rsid w:val="005B24E1"/>
    <w:rsid w:val="005B28C1"/>
    <w:rsid w:val="005B384A"/>
    <w:rsid w:val="005B4038"/>
    <w:rsid w:val="005B4D68"/>
    <w:rsid w:val="005B4D78"/>
    <w:rsid w:val="005B506A"/>
    <w:rsid w:val="005B655B"/>
    <w:rsid w:val="005B69A1"/>
    <w:rsid w:val="005C086A"/>
    <w:rsid w:val="005C12C9"/>
    <w:rsid w:val="005C1BD0"/>
    <w:rsid w:val="005C3988"/>
    <w:rsid w:val="005C4B1A"/>
    <w:rsid w:val="005C6E9F"/>
    <w:rsid w:val="005D1E09"/>
    <w:rsid w:val="005D2BC9"/>
    <w:rsid w:val="005D3CAA"/>
    <w:rsid w:val="005D4056"/>
    <w:rsid w:val="005D434E"/>
    <w:rsid w:val="005D445B"/>
    <w:rsid w:val="005D7D3E"/>
    <w:rsid w:val="005E073E"/>
    <w:rsid w:val="005E1024"/>
    <w:rsid w:val="005E1BE4"/>
    <w:rsid w:val="005E514F"/>
    <w:rsid w:val="005E55B2"/>
    <w:rsid w:val="005F0305"/>
    <w:rsid w:val="005F0AAB"/>
    <w:rsid w:val="005F3064"/>
    <w:rsid w:val="005F3085"/>
    <w:rsid w:val="005F339A"/>
    <w:rsid w:val="005F3B3C"/>
    <w:rsid w:val="005F3BB3"/>
    <w:rsid w:val="005F5E5D"/>
    <w:rsid w:val="005F7F20"/>
    <w:rsid w:val="00601563"/>
    <w:rsid w:val="006047BC"/>
    <w:rsid w:val="006047F2"/>
    <w:rsid w:val="00604EA3"/>
    <w:rsid w:val="00606758"/>
    <w:rsid w:val="006068D6"/>
    <w:rsid w:val="0060716C"/>
    <w:rsid w:val="00607644"/>
    <w:rsid w:val="0061213D"/>
    <w:rsid w:val="006131BB"/>
    <w:rsid w:val="00613ECA"/>
    <w:rsid w:val="00614739"/>
    <w:rsid w:val="006166CF"/>
    <w:rsid w:val="00616D1A"/>
    <w:rsid w:val="00617911"/>
    <w:rsid w:val="006179E5"/>
    <w:rsid w:val="0062177A"/>
    <w:rsid w:val="00621D74"/>
    <w:rsid w:val="00622B89"/>
    <w:rsid w:val="00622DF8"/>
    <w:rsid w:val="00624686"/>
    <w:rsid w:val="006258A2"/>
    <w:rsid w:val="006268F6"/>
    <w:rsid w:val="00627CC6"/>
    <w:rsid w:val="006301FD"/>
    <w:rsid w:val="006311A9"/>
    <w:rsid w:val="006331B8"/>
    <w:rsid w:val="006338C1"/>
    <w:rsid w:val="00635565"/>
    <w:rsid w:val="00636C2A"/>
    <w:rsid w:val="006370D9"/>
    <w:rsid w:val="0063736B"/>
    <w:rsid w:val="0064038B"/>
    <w:rsid w:val="006403A9"/>
    <w:rsid w:val="006412E4"/>
    <w:rsid w:val="00641380"/>
    <w:rsid w:val="006425F6"/>
    <w:rsid w:val="00642E7E"/>
    <w:rsid w:val="0064356F"/>
    <w:rsid w:val="00643765"/>
    <w:rsid w:val="00643F5C"/>
    <w:rsid w:val="00644394"/>
    <w:rsid w:val="006447B4"/>
    <w:rsid w:val="00644B01"/>
    <w:rsid w:val="0064575A"/>
    <w:rsid w:val="006473A2"/>
    <w:rsid w:val="0064763F"/>
    <w:rsid w:val="006515A9"/>
    <w:rsid w:val="006523AA"/>
    <w:rsid w:val="00652962"/>
    <w:rsid w:val="00652976"/>
    <w:rsid w:val="0065340C"/>
    <w:rsid w:val="00654F86"/>
    <w:rsid w:val="006558C0"/>
    <w:rsid w:val="00655C93"/>
    <w:rsid w:val="00656207"/>
    <w:rsid w:val="00657955"/>
    <w:rsid w:val="00657B47"/>
    <w:rsid w:val="006601B6"/>
    <w:rsid w:val="006618A8"/>
    <w:rsid w:val="0066529F"/>
    <w:rsid w:val="00665F8D"/>
    <w:rsid w:val="006663A5"/>
    <w:rsid w:val="0066641B"/>
    <w:rsid w:val="0066652E"/>
    <w:rsid w:val="00666752"/>
    <w:rsid w:val="006677F6"/>
    <w:rsid w:val="00670977"/>
    <w:rsid w:val="00670A9C"/>
    <w:rsid w:val="00670B26"/>
    <w:rsid w:val="00670F78"/>
    <w:rsid w:val="006712C7"/>
    <w:rsid w:val="00671564"/>
    <w:rsid w:val="006757AB"/>
    <w:rsid w:val="0067664B"/>
    <w:rsid w:val="0068135F"/>
    <w:rsid w:val="00681453"/>
    <w:rsid w:val="0068368F"/>
    <w:rsid w:val="0068377F"/>
    <w:rsid w:val="00683984"/>
    <w:rsid w:val="00683FD4"/>
    <w:rsid w:val="0068540D"/>
    <w:rsid w:val="00686B4F"/>
    <w:rsid w:val="00692044"/>
    <w:rsid w:val="00692588"/>
    <w:rsid w:val="006929B1"/>
    <w:rsid w:val="00692FAD"/>
    <w:rsid w:val="006935AE"/>
    <w:rsid w:val="00693BCD"/>
    <w:rsid w:val="00694691"/>
    <w:rsid w:val="00695EE3"/>
    <w:rsid w:val="006963D2"/>
    <w:rsid w:val="00697211"/>
    <w:rsid w:val="00697B77"/>
    <w:rsid w:val="00697FF2"/>
    <w:rsid w:val="006A0633"/>
    <w:rsid w:val="006A0FBD"/>
    <w:rsid w:val="006A262A"/>
    <w:rsid w:val="006A2C25"/>
    <w:rsid w:val="006A2F9B"/>
    <w:rsid w:val="006A5C6D"/>
    <w:rsid w:val="006A646F"/>
    <w:rsid w:val="006A7800"/>
    <w:rsid w:val="006B1F92"/>
    <w:rsid w:val="006B4195"/>
    <w:rsid w:val="006B4831"/>
    <w:rsid w:val="006B5432"/>
    <w:rsid w:val="006B5D40"/>
    <w:rsid w:val="006B6595"/>
    <w:rsid w:val="006C1F40"/>
    <w:rsid w:val="006C49A9"/>
    <w:rsid w:val="006C4B67"/>
    <w:rsid w:val="006C4C17"/>
    <w:rsid w:val="006C4E86"/>
    <w:rsid w:val="006C72C2"/>
    <w:rsid w:val="006D0223"/>
    <w:rsid w:val="006D199D"/>
    <w:rsid w:val="006D251A"/>
    <w:rsid w:val="006D327F"/>
    <w:rsid w:val="006D3429"/>
    <w:rsid w:val="006D3745"/>
    <w:rsid w:val="006D505D"/>
    <w:rsid w:val="006D51CF"/>
    <w:rsid w:val="006D6C83"/>
    <w:rsid w:val="006E0546"/>
    <w:rsid w:val="006E2FB9"/>
    <w:rsid w:val="006E3105"/>
    <w:rsid w:val="006E3B7E"/>
    <w:rsid w:val="006E3E43"/>
    <w:rsid w:val="006E4121"/>
    <w:rsid w:val="006E461E"/>
    <w:rsid w:val="006E4CBA"/>
    <w:rsid w:val="006E7123"/>
    <w:rsid w:val="006F07A5"/>
    <w:rsid w:val="006F0BEE"/>
    <w:rsid w:val="006F1556"/>
    <w:rsid w:val="006F1B51"/>
    <w:rsid w:val="006F1CB0"/>
    <w:rsid w:val="006F1F62"/>
    <w:rsid w:val="006F51D3"/>
    <w:rsid w:val="006F69E0"/>
    <w:rsid w:val="006F7713"/>
    <w:rsid w:val="006F7815"/>
    <w:rsid w:val="00700968"/>
    <w:rsid w:val="00703557"/>
    <w:rsid w:val="00704B28"/>
    <w:rsid w:val="00704DB2"/>
    <w:rsid w:val="00705E10"/>
    <w:rsid w:val="007063EF"/>
    <w:rsid w:val="00706E4C"/>
    <w:rsid w:val="0070727A"/>
    <w:rsid w:val="007117EA"/>
    <w:rsid w:val="007123C0"/>
    <w:rsid w:val="00712468"/>
    <w:rsid w:val="007139A2"/>
    <w:rsid w:val="00714973"/>
    <w:rsid w:val="00714B6B"/>
    <w:rsid w:val="0071596D"/>
    <w:rsid w:val="00720691"/>
    <w:rsid w:val="00722871"/>
    <w:rsid w:val="00722946"/>
    <w:rsid w:val="00723408"/>
    <w:rsid w:val="00724331"/>
    <w:rsid w:val="00724A0A"/>
    <w:rsid w:val="00727494"/>
    <w:rsid w:val="007274FE"/>
    <w:rsid w:val="0072768E"/>
    <w:rsid w:val="007302ED"/>
    <w:rsid w:val="00731AEE"/>
    <w:rsid w:val="00732856"/>
    <w:rsid w:val="00733379"/>
    <w:rsid w:val="00734051"/>
    <w:rsid w:val="00734F34"/>
    <w:rsid w:val="0073661D"/>
    <w:rsid w:val="00737586"/>
    <w:rsid w:val="00740F41"/>
    <w:rsid w:val="0074182A"/>
    <w:rsid w:val="00744514"/>
    <w:rsid w:val="007449C4"/>
    <w:rsid w:val="00750823"/>
    <w:rsid w:val="00750D4E"/>
    <w:rsid w:val="0075349D"/>
    <w:rsid w:val="00753C1E"/>
    <w:rsid w:val="00754B6F"/>
    <w:rsid w:val="0075530F"/>
    <w:rsid w:val="0075701E"/>
    <w:rsid w:val="00757CD2"/>
    <w:rsid w:val="00757D1D"/>
    <w:rsid w:val="007611D4"/>
    <w:rsid w:val="007640C5"/>
    <w:rsid w:val="00764C94"/>
    <w:rsid w:val="00764D83"/>
    <w:rsid w:val="0076507F"/>
    <w:rsid w:val="007678B3"/>
    <w:rsid w:val="00770AD5"/>
    <w:rsid w:val="00770E19"/>
    <w:rsid w:val="007712FC"/>
    <w:rsid w:val="00777221"/>
    <w:rsid w:val="00781737"/>
    <w:rsid w:val="007821FB"/>
    <w:rsid w:val="00787AA7"/>
    <w:rsid w:val="00787E7F"/>
    <w:rsid w:val="00790BAF"/>
    <w:rsid w:val="00791952"/>
    <w:rsid w:val="0079375A"/>
    <w:rsid w:val="00795EF0"/>
    <w:rsid w:val="0079691A"/>
    <w:rsid w:val="00797108"/>
    <w:rsid w:val="007A13D0"/>
    <w:rsid w:val="007A2320"/>
    <w:rsid w:val="007A286F"/>
    <w:rsid w:val="007A4D65"/>
    <w:rsid w:val="007B0257"/>
    <w:rsid w:val="007B1097"/>
    <w:rsid w:val="007B19BD"/>
    <w:rsid w:val="007B2026"/>
    <w:rsid w:val="007B203F"/>
    <w:rsid w:val="007B2801"/>
    <w:rsid w:val="007B4588"/>
    <w:rsid w:val="007B5343"/>
    <w:rsid w:val="007B6E23"/>
    <w:rsid w:val="007B7107"/>
    <w:rsid w:val="007B71B8"/>
    <w:rsid w:val="007B777E"/>
    <w:rsid w:val="007B7C06"/>
    <w:rsid w:val="007B7E41"/>
    <w:rsid w:val="007C1A3F"/>
    <w:rsid w:val="007C29FB"/>
    <w:rsid w:val="007C4AFD"/>
    <w:rsid w:val="007C5F98"/>
    <w:rsid w:val="007C736B"/>
    <w:rsid w:val="007C7672"/>
    <w:rsid w:val="007D0C1A"/>
    <w:rsid w:val="007D2281"/>
    <w:rsid w:val="007D2BCC"/>
    <w:rsid w:val="007D5D22"/>
    <w:rsid w:val="007D6828"/>
    <w:rsid w:val="007D7ED9"/>
    <w:rsid w:val="007E0556"/>
    <w:rsid w:val="007E0922"/>
    <w:rsid w:val="007E0C01"/>
    <w:rsid w:val="007E1090"/>
    <w:rsid w:val="007E1770"/>
    <w:rsid w:val="007E31C1"/>
    <w:rsid w:val="007E32F3"/>
    <w:rsid w:val="007E4CFF"/>
    <w:rsid w:val="007E4FA7"/>
    <w:rsid w:val="007E75F0"/>
    <w:rsid w:val="007F1271"/>
    <w:rsid w:val="007F364B"/>
    <w:rsid w:val="007F38CA"/>
    <w:rsid w:val="007F6218"/>
    <w:rsid w:val="007F7484"/>
    <w:rsid w:val="00800097"/>
    <w:rsid w:val="00800F7E"/>
    <w:rsid w:val="00801730"/>
    <w:rsid w:val="00801995"/>
    <w:rsid w:val="00802661"/>
    <w:rsid w:val="008027D1"/>
    <w:rsid w:val="00802EA7"/>
    <w:rsid w:val="00805141"/>
    <w:rsid w:val="0080618D"/>
    <w:rsid w:val="00810744"/>
    <w:rsid w:val="00811808"/>
    <w:rsid w:val="008121B1"/>
    <w:rsid w:val="00813253"/>
    <w:rsid w:val="00814BE8"/>
    <w:rsid w:val="00820EEC"/>
    <w:rsid w:val="00821059"/>
    <w:rsid w:val="00821D76"/>
    <w:rsid w:val="008223A5"/>
    <w:rsid w:val="00822C30"/>
    <w:rsid w:val="00824397"/>
    <w:rsid w:val="00827CEC"/>
    <w:rsid w:val="008304D7"/>
    <w:rsid w:val="008319DF"/>
    <w:rsid w:val="00834C9E"/>
    <w:rsid w:val="00835727"/>
    <w:rsid w:val="00835918"/>
    <w:rsid w:val="0083596E"/>
    <w:rsid w:val="00836754"/>
    <w:rsid w:val="00836792"/>
    <w:rsid w:val="0083689A"/>
    <w:rsid w:val="00837272"/>
    <w:rsid w:val="008436C6"/>
    <w:rsid w:val="0084474C"/>
    <w:rsid w:val="00844E38"/>
    <w:rsid w:val="00845017"/>
    <w:rsid w:val="008457BE"/>
    <w:rsid w:val="00846B06"/>
    <w:rsid w:val="00846EA6"/>
    <w:rsid w:val="00847C65"/>
    <w:rsid w:val="008503AE"/>
    <w:rsid w:val="0085083A"/>
    <w:rsid w:val="0085227F"/>
    <w:rsid w:val="0085325E"/>
    <w:rsid w:val="00855073"/>
    <w:rsid w:val="00861DE6"/>
    <w:rsid w:val="00862662"/>
    <w:rsid w:val="00862851"/>
    <w:rsid w:val="008633C4"/>
    <w:rsid w:val="00863840"/>
    <w:rsid w:val="00864343"/>
    <w:rsid w:val="00867666"/>
    <w:rsid w:val="008703F8"/>
    <w:rsid w:val="00871075"/>
    <w:rsid w:val="00871523"/>
    <w:rsid w:val="00871B78"/>
    <w:rsid w:val="00874269"/>
    <w:rsid w:val="008745CF"/>
    <w:rsid w:val="00874778"/>
    <w:rsid w:val="00875684"/>
    <w:rsid w:val="00875A64"/>
    <w:rsid w:val="00875B2F"/>
    <w:rsid w:val="008760B4"/>
    <w:rsid w:val="00876375"/>
    <w:rsid w:val="00880155"/>
    <w:rsid w:val="00881C39"/>
    <w:rsid w:val="008820E6"/>
    <w:rsid w:val="00884410"/>
    <w:rsid w:val="00884CC6"/>
    <w:rsid w:val="00887C99"/>
    <w:rsid w:val="0089026D"/>
    <w:rsid w:val="008916EA"/>
    <w:rsid w:val="00895B7C"/>
    <w:rsid w:val="008A00DD"/>
    <w:rsid w:val="008A0B1F"/>
    <w:rsid w:val="008A0B82"/>
    <w:rsid w:val="008A2BA9"/>
    <w:rsid w:val="008A2EDF"/>
    <w:rsid w:val="008A4F4F"/>
    <w:rsid w:val="008A5BFF"/>
    <w:rsid w:val="008A7191"/>
    <w:rsid w:val="008A73D5"/>
    <w:rsid w:val="008B0264"/>
    <w:rsid w:val="008B27EE"/>
    <w:rsid w:val="008B35E1"/>
    <w:rsid w:val="008B4263"/>
    <w:rsid w:val="008B4EE2"/>
    <w:rsid w:val="008B6908"/>
    <w:rsid w:val="008C1505"/>
    <w:rsid w:val="008C171A"/>
    <w:rsid w:val="008C2D54"/>
    <w:rsid w:val="008C34E0"/>
    <w:rsid w:val="008C3CBE"/>
    <w:rsid w:val="008C3E75"/>
    <w:rsid w:val="008C4E9E"/>
    <w:rsid w:val="008C560D"/>
    <w:rsid w:val="008C74CA"/>
    <w:rsid w:val="008C7C02"/>
    <w:rsid w:val="008D00B0"/>
    <w:rsid w:val="008D0546"/>
    <w:rsid w:val="008D1A1C"/>
    <w:rsid w:val="008D1FA1"/>
    <w:rsid w:val="008D2724"/>
    <w:rsid w:val="008D29E3"/>
    <w:rsid w:val="008D320D"/>
    <w:rsid w:val="008D35CD"/>
    <w:rsid w:val="008D3E73"/>
    <w:rsid w:val="008D543F"/>
    <w:rsid w:val="008D6865"/>
    <w:rsid w:val="008D7774"/>
    <w:rsid w:val="008D7DCA"/>
    <w:rsid w:val="008E0325"/>
    <w:rsid w:val="008E0934"/>
    <w:rsid w:val="008E0A79"/>
    <w:rsid w:val="008E0B82"/>
    <w:rsid w:val="008E2C2D"/>
    <w:rsid w:val="008E2E13"/>
    <w:rsid w:val="008E4361"/>
    <w:rsid w:val="008E71E8"/>
    <w:rsid w:val="008F01BA"/>
    <w:rsid w:val="008F05F0"/>
    <w:rsid w:val="008F0CA3"/>
    <w:rsid w:val="008F11FC"/>
    <w:rsid w:val="008F1FF2"/>
    <w:rsid w:val="008F40C8"/>
    <w:rsid w:val="008F40CF"/>
    <w:rsid w:val="008F6BBD"/>
    <w:rsid w:val="008F7141"/>
    <w:rsid w:val="00900B7E"/>
    <w:rsid w:val="00900F6F"/>
    <w:rsid w:val="00901C98"/>
    <w:rsid w:val="00902349"/>
    <w:rsid w:val="0090352E"/>
    <w:rsid w:val="00903D4B"/>
    <w:rsid w:val="00905C54"/>
    <w:rsid w:val="00905D1E"/>
    <w:rsid w:val="00906D04"/>
    <w:rsid w:val="009071E4"/>
    <w:rsid w:val="00910806"/>
    <w:rsid w:val="009109D4"/>
    <w:rsid w:val="0091273B"/>
    <w:rsid w:val="009128F7"/>
    <w:rsid w:val="00912E9E"/>
    <w:rsid w:val="009131FF"/>
    <w:rsid w:val="00913460"/>
    <w:rsid w:val="00913C6A"/>
    <w:rsid w:val="00913E1D"/>
    <w:rsid w:val="00914E06"/>
    <w:rsid w:val="009165B1"/>
    <w:rsid w:val="00920D78"/>
    <w:rsid w:val="00922647"/>
    <w:rsid w:val="00922F9E"/>
    <w:rsid w:val="00923163"/>
    <w:rsid w:val="009254B1"/>
    <w:rsid w:val="00925943"/>
    <w:rsid w:val="009264A6"/>
    <w:rsid w:val="00927F52"/>
    <w:rsid w:val="00931734"/>
    <w:rsid w:val="00932C5B"/>
    <w:rsid w:val="00933509"/>
    <w:rsid w:val="00934A03"/>
    <w:rsid w:val="009359DF"/>
    <w:rsid w:val="00945E60"/>
    <w:rsid w:val="00946FF7"/>
    <w:rsid w:val="009473EB"/>
    <w:rsid w:val="009516D2"/>
    <w:rsid w:val="009522EC"/>
    <w:rsid w:val="00953275"/>
    <w:rsid w:val="009534EF"/>
    <w:rsid w:val="009544EA"/>
    <w:rsid w:val="0095591D"/>
    <w:rsid w:val="009570DF"/>
    <w:rsid w:val="009606D5"/>
    <w:rsid w:val="009620BB"/>
    <w:rsid w:val="009622BF"/>
    <w:rsid w:val="00963940"/>
    <w:rsid w:val="009641AE"/>
    <w:rsid w:val="0096468C"/>
    <w:rsid w:val="0096525D"/>
    <w:rsid w:val="0096559F"/>
    <w:rsid w:val="0096581A"/>
    <w:rsid w:val="00965B30"/>
    <w:rsid w:val="009663D7"/>
    <w:rsid w:val="009668AA"/>
    <w:rsid w:val="00967323"/>
    <w:rsid w:val="009676FC"/>
    <w:rsid w:val="00967D7F"/>
    <w:rsid w:val="00967DB5"/>
    <w:rsid w:val="00970397"/>
    <w:rsid w:val="00970823"/>
    <w:rsid w:val="0097218D"/>
    <w:rsid w:val="009721E4"/>
    <w:rsid w:val="009746D2"/>
    <w:rsid w:val="00974870"/>
    <w:rsid w:val="00976170"/>
    <w:rsid w:val="00977256"/>
    <w:rsid w:val="00977BAE"/>
    <w:rsid w:val="009803F9"/>
    <w:rsid w:val="0098098C"/>
    <w:rsid w:val="00980D2B"/>
    <w:rsid w:val="00981754"/>
    <w:rsid w:val="00982006"/>
    <w:rsid w:val="00982E0F"/>
    <w:rsid w:val="00984FFB"/>
    <w:rsid w:val="00985ABD"/>
    <w:rsid w:val="009868BE"/>
    <w:rsid w:val="009876D7"/>
    <w:rsid w:val="00990B58"/>
    <w:rsid w:val="00990DCC"/>
    <w:rsid w:val="009910BA"/>
    <w:rsid w:val="0099197E"/>
    <w:rsid w:val="00991E25"/>
    <w:rsid w:val="00992C72"/>
    <w:rsid w:val="0099395F"/>
    <w:rsid w:val="00993DB8"/>
    <w:rsid w:val="00994D52"/>
    <w:rsid w:val="00994F87"/>
    <w:rsid w:val="009960C8"/>
    <w:rsid w:val="009960EE"/>
    <w:rsid w:val="00997E44"/>
    <w:rsid w:val="009A040C"/>
    <w:rsid w:val="009A0CA3"/>
    <w:rsid w:val="009A0D44"/>
    <w:rsid w:val="009A1122"/>
    <w:rsid w:val="009A1BC0"/>
    <w:rsid w:val="009A286A"/>
    <w:rsid w:val="009A2A67"/>
    <w:rsid w:val="009A32BB"/>
    <w:rsid w:val="009A4710"/>
    <w:rsid w:val="009B0B34"/>
    <w:rsid w:val="009B1B48"/>
    <w:rsid w:val="009B20BC"/>
    <w:rsid w:val="009B2EEA"/>
    <w:rsid w:val="009B7678"/>
    <w:rsid w:val="009C0905"/>
    <w:rsid w:val="009C0EF1"/>
    <w:rsid w:val="009C11EA"/>
    <w:rsid w:val="009C134E"/>
    <w:rsid w:val="009C42EF"/>
    <w:rsid w:val="009C6CEA"/>
    <w:rsid w:val="009C7410"/>
    <w:rsid w:val="009C79CF"/>
    <w:rsid w:val="009D0279"/>
    <w:rsid w:val="009D0E14"/>
    <w:rsid w:val="009D205B"/>
    <w:rsid w:val="009D3A97"/>
    <w:rsid w:val="009D4F89"/>
    <w:rsid w:val="009D609D"/>
    <w:rsid w:val="009D63F1"/>
    <w:rsid w:val="009D6490"/>
    <w:rsid w:val="009D7A4F"/>
    <w:rsid w:val="009E10DD"/>
    <w:rsid w:val="009E1F25"/>
    <w:rsid w:val="009E2E80"/>
    <w:rsid w:val="009E351D"/>
    <w:rsid w:val="009E4051"/>
    <w:rsid w:val="009E5E6D"/>
    <w:rsid w:val="009F1325"/>
    <w:rsid w:val="009F3953"/>
    <w:rsid w:val="009F4CA9"/>
    <w:rsid w:val="009F4DE6"/>
    <w:rsid w:val="009F5948"/>
    <w:rsid w:val="00A00EE7"/>
    <w:rsid w:val="00A00F5D"/>
    <w:rsid w:val="00A01EBB"/>
    <w:rsid w:val="00A02AC4"/>
    <w:rsid w:val="00A044E5"/>
    <w:rsid w:val="00A04BE0"/>
    <w:rsid w:val="00A0738C"/>
    <w:rsid w:val="00A11E57"/>
    <w:rsid w:val="00A14707"/>
    <w:rsid w:val="00A17724"/>
    <w:rsid w:val="00A21153"/>
    <w:rsid w:val="00A21A6A"/>
    <w:rsid w:val="00A227A0"/>
    <w:rsid w:val="00A2331F"/>
    <w:rsid w:val="00A2342A"/>
    <w:rsid w:val="00A23827"/>
    <w:rsid w:val="00A24300"/>
    <w:rsid w:val="00A244C4"/>
    <w:rsid w:val="00A24D87"/>
    <w:rsid w:val="00A31309"/>
    <w:rsid w:val="00A33806"/>
    <w:rsid w:val="00A3579E"/>
    <w:rsid w:val="00A3585B"/>
    <w:rsid w:val="00A35F57"/>
    <w:rsid w:val="00A36229"/>
    <w:rsid w:val="00A4089C"/>
    <w:rsid w:val="00A41DDE"/>
    <w:rsid w:val="00A42189"/>
    <w:rsid w:val="00A43521"/>
    <w:rsid w:val="00A43E63"/>
    <w:rsid w:val="00A44497"/>
    <w:rsid w:val="00A4549A"/>
    <w:rsid w:val="00A475F4"/>
    <w:rsid w:val="00A5067C"/>
    <w:rsid w:val="00A5207A"/>
    <w:rsid w:val="00A520AF"/>
    <w:rsid w:val="00A5299E"/>
    <w:rsid w:val="00A532D2"/>
    <w:rsid w:val="00A53C0D"/>
    <w:rsid w:val="00A54399"/>
    <w:rsid w:val="00A54730"/>
    <w:rsid w:val="00A56828"/>
    <w:rsid w:val="00A56C5D"/>
    <w:rsid w:val="00A60A77"/>
    <w:rsid w:val="00A60DA1"/>
    <w:rsid w:val="00A612F4"/>
    <w:rsid w:val="00A62223"/>
    <w:rsid w:val="00A64A36"/>
    <w:rsid w:val="00A656B6"/>
    <w:rsid w:val="00A6589A"/>
    <w:rsid w:val="00A65E4C"/>
    <w:rsid w:val="00A65F10"/>
    <w:rsid w:val="00A66069"/>
    <w:rsid w:val="00A7009A"/>
    <w:rsid w:val="00A71955"/>
    <w:rsid w:val="00A72DB4"/>
    <w:rsid w:val="00A732E6"/>
    <w:rsid w:val="00A74170"/>
    <w:rsid w:val="00A74E1B"/>
    <w:rsid w:val="00A7548C"/>
    <w:rsid w:val="00A76546"/>
    <w:rsid w:val="00A80BAE"/>
    <w:rsid w:val="00A811F7"/>
    <w:rsid w:val="00A81B7C"/>
    <w:rsid w:val="00A83650"/>
    <w:rsid w:val="00A84ECB"/>
    <w:rsid w:val="00A91003"/>
    <w:rsid w:val="00A9132D"/>
    <w:rsid w:val="00A92075"/>
    <w:rsid w:val="00A92FF4"/>
    <w:rsid w:val="00A935E9"/>
    <w:rsid w:val="00A93AB5"/>
    <w:rsid w:val="00A942A6"/>
    <w:rsid w:val="00A9477F"/>
    <w:rsid w:val="00A97CA9"/>
    <w:rsid w:val="00AA0FC4"/>
    <w:rsid w:val="00AA26A2"/>
    <w:rsid w:val="00AA2D8A"/>
    <w:rsid w:val="00AA3345"/>
    <w:rsid w:val="00AA416F"/>
    <w:rsid w:val="00AB04E5"/>
    <w:rsid w:val="00AB0C0D"/>
    <w:rsid w:val="00AB24FA"/>
    <w:rsid w:val="00AB2F1B"/>
    <w:rsid w:val="00AB3BFE"/>
    <w:rsid w:val="00AB4A3E"/>
    <w:rsid w:val="00AB6B0A"/>
    <w:rsid w:val="00AB7885"/>
    <w:rsid w:val="00AB7DD2"/>
    <w:rsid w:val="00AC0EF7"/>
    <w:rsid w:val="00AC1A22"/>
    <w:rsid w:val="00AC261E"/>
    <w:rsid w:val="00AC2AB4"/>
    <w:rsid w:val="00AC4A12"/>
    <w:rsid w:val="00AC7A23"/>
    <w:rsid w:val="00AD0DCE"/>
    <w:rsid w:val="00AD1495"/>
    <w:rsid w:val="00AD362E"/>
    <w:rsid w:val="00AD36C4"/>
    <w:rsid w:val="00AD4A10"/>
    <w:rsid w:val="00AD62B9"/>
    <w:rsid w:val="00AD6C60"/>
    <w:rsid w:val="00AD7255"/>
    <w:rsid w:val="00AD777B"/>
    <w:rsid w:val="00AD788C"/>
    <w:rsid w:val="00AE0407"/>
    <w:rsid w:val="00AE1529"/>
    <w:rsid w:val="00AE2ABF"/>
    <w:rsid w:val="00AE3B03"/>
    <w:rsid w:val="00AE421D"/>
    <w:rsid w:val="00AE5C96"/>
    <w:rsid w:val="00AE5F0A"/>
    <w:rsid w:val="00AE6129"/>
    <w:rsid w:val="00AE6ED5"/>
    <w:rsid w:val="00AE6F5C"/>
    <w:rsid w:val="00AE74D8"/>
    <w:rsid w:val="00AE7D43"/>
    <w:rsid w:val="00AF0243"/>
    <w:rsid w:val="00AF0539"/>
    <w:rsid w:val="00AF37F4"/>
    <w:rsid w:val="00AF3DCC"/>
    <w:rsid w:val="00AF42B1"/>
    <w:rsid w:val="00AF5B84"/>
    <w:rsid w:val="00AF7579"/>
    <w:rsid w:val="00B0041A"/>
    <w:rsid w:val="00B00EFC"/>
    <w:rsid w:val="00B02E77"/>
    <w:rsid w:val="00B039E7"/>
    <w:rsid w:val="00B060B7"/>
    <w:rsid w:val="00B0742A"/>
    <w:rsid w:val="00B07EA0"/>
    <w:rsid w:val="00B100AF"/>
    <w:rsid w:val="00B119D2"/>
    <w:rsid w:val="00B139D6"/>
    <w:rsid w:val="00B1625F"/>
    <w:rsid w:val="00B16D2C"/>
    <w:rsid w:val="00B17628"/>
    <w:rsid w:val="00B20354"/>
    <w:rsid w:val="00B210D9"/>
    <w:rsid w:val="00B21B2F"/>
    <w:rsid w:val="00B21D1F"/>
    <w:rsid w:val="00B21FCD"/>
    <w:rsid w:val="00B2284B"/>
    <w:rsid w:val="00B24A6B"/>
    <w:rsid w:val="00B2551F"/>
    <w:rsid w:val="00B26D97"/>
    <w:rsid w:val="00B26E9E"/>
    <w:rsid w:val="00B32C92"/>
    <w:rsid w:val="00B32F92"/>
    <w:rsid w:val="00B33C3B"/>
    <w:rsid w:val="00B3424A"/>
    <w:rsid w:val="00B3582B"/>
    <w:rsid w:val="00B3668E"/>
    <w:rsid w:val="00B40C45"/>
    <w:rsid w:val="00B420E0"/>
    <w:rsid w:val="00B44251"/>
    <w:rsid w:val="00B459BE"/>
    <w:rsid w:val="00B45C48"/>
    <w:rsid w:val="00B474BD"/>
    <w:rsid w:val="00B47C6B"/>
    <w:rsid w:val="00B47FA2"/>
    <w:rsid w:val="00B525D9"/>
    <w:rsid w:val="00B54820"/>
    <w:rsid w:val="00B559DB"/>
    <w:rsid w:val="00B55DFD"/>
    <w:rsid w:val="00B56786"/>
    <w:rsid w:val="00B56913"/>
    <w:rsid w:val="00B57F06"/>
    <w:rsid w:val="00B60477"/>
    <w:rsid w:val="00B611B0"/>
    <w:rsid w:val="00B615E8"/>
    <w:rsid w:val="00B622B3"/>
    <w:rsid w:val="00B63C00"/>
    <w:rsid w:val="00B656C8"/>
    <w:rsid w:val="00B65FB4"/>
    <w:rsid w:val="00B66C2B"/>
    <w:rsid w:val="00B674E5"/>
    <w:rsid w:val="00B677AD"/>
    <w:rsid w:val="00B70209"/>
    <w:rsid w:val="00B71238"/>
    <w:rsid w:val="00B71485"/>
    <w:rsid w:val="00B72236"/>
    <w:rsid w:val="00B806EC"/>
    <w:rsid w:val="00B811B8"/>
    <w:rsid w:val="00B813AA"/>
    <w:rsid w:val="00B81F5E"/>
    <w:rsid w:val="00B827DD"/>
    <w:rsid w:val="00B82C6F"/>
    <w:rsid w:val="00B84BC1"/>
    <w:rsid w:val="00B84CEA"/>
    <w:rsid w:val="00B855F0"/>
    <w:rsid w:val="00B86C76"/>
    <w:rsid w:val="00B86DC7"/>
    <w:rsid w:val="00B90130"/>
    <w:rsid w:val="00B909BB"/>
    <w:rsid w:val="00B913A1"/>
    <w:rsid w:val="00B913C6"/>
    <w:rsid w:val="00B91F3A"/>
    <w:rsid w:val="00B91FCE"/>
    <w:rsid w:val="00B926C6"/>
    <w:rsid w:val="00B95185"/>
    <w:rsid w:val="00B96D42"/>
    <w:rsid w:val="00BA2693"/>
    <w:rsid w:val="00BA2701"/>
    <w:rsid w:val="00BA274A"/>
    <w:rsid w:val="00BA2EEF"/>
    <w:rsid w:val="00BA629D"/>
    <w:rsid w:val="00BA7E98"/>
    <w:rsid w:val="00BB059C"/>
    <w:rsid w:val="00BB5B61"/>
    <w:rsid w:val="00BB5DA3"/>
    <w:rsid w:val="00BB6871"/>
    <w:rsid w:val="00BB6F07"/>
    <w:rsid w:val="00BB7024"/>
    <w:rsid w:val="00BB77B1"/>
    <w:rsid w:val="00BC10D0"/>
    <w:rsid w:val="00BC150D"/>
    <w:rsid w:val="00BC1C85"/>
    <w:rsid w:val="00BC3B05"/>
    <w:rsid w:val="00BC4D52"/>
    <w:rsid w:val="00BC51DB"/>
    <w:rsid w:val="00BC62C0"/>
    <w:rsid w:val="00BC6AD3"/>
    <w:rsid w:val="00BC6C4D"/>
    <w:rsid w:val="00BC73F5"/>
    <w:rsid w:val="00BD06FE"/>
    <w:rsid w:val="00BD0D82"/>
    <w:rsid w:val="00BD2076"/>
    <w:rsid w:val="00BD36B3"/>
    <w:rsid w:val="00BD4BE3"/>
    <w:rsid w:val="00BD558D"/>
    <w:rsid w:val="00BD56AB"/>
    <w:rsid w:val="00BD59DC"/>
    <w:rsid w:val="00BD5B0D"/>
    <w:rsid w:val="00BD6058"/>
    <w:rsid w:val="00BE002E"/>
    <w:rsid w:val="00BE1A88"/>
    <w:rsid w:val="00BE5E1A"/>
    <w:rsid w:val="00BE6384"/>
    <w:rsid w:val="00BE675C"/>
    <w:rsid w:val="00BE6DE6"/>
    <w:rsid w:val="00BE77E3"/>
    <w:rsid w:val="00BF1733"/>
    <w:rsid w:val="00BF2C91"/>
    <w:rsid w:val="00BF2F1C"/>
    <w:rsid w:val="00BF3D4D"/>
    <w:rsid w:val="00BF49F9"/>
    <w:rsid w:val="00BF4F3F"/>
    <w:rsid w:val="00C01902"/>
    <w:rsid w:val="00C03787"/>
    <w:rsid w:val="00C03884"/>
    <w:rsid w:val="00C12CE3"/>
    <w:rsid w:val="00C12ED1"/>
    <w:rsid w:val="00C137BA"/>
    <w:rsid w:val="00C1420D"/>
    <w:rsid w:val="00C14918"/>
    <w:rsid w:val="00C15E35"/>
    <w:rsid w:val="00C167EA"/>
    <w:rsid w:val="00C205BD"/>
    <w:rsid w:val="00C207C6"/>
    <w:rsid w:val="00C23149"/>
    <w:rsid w:val="00C23C3E"/>
    <w:rsid w:val="00C247A2"/>
    <w:rsid w:val="00C259A0"/>
    <w:rsid w:val="00C27739"/>
    <w:rsid w:val="00C27FAF"/>
    <w:rsid w:val="00C30257"/>
    <w:rsid w:val="00C30763"/>
    <w:rsid w:val="00C307DF"/>
    <w:rsid w:val="00C31F04"/>
    <w:rsid w:val="00C321B3"/>
    <w:rsid w:val="00C32C66"/>
    <w:rsid w:val="00C33637"/>
    <w:rsid w:val="00C33667"/>
    <w:rsid w:val="00C34E8E"/>
    <w:rsid w:val="00C356F7"/>
    <w:rsid w:val="00C35FC7"/>
    <w:rsid w:val="00C3677A"/>
    <w:rsid w:val="00C3688C"/>
    <w:rsid w:val="00C37A18"/>
    <w:rsid w:val="00C41627"/>
    <w:rsid w:val="00C41973"/>
    <w:rsid w:val="00C41A92"/>
    <w:rsid w:val="00C423EA"/>
    <w:rsid w:val="00C45B52"/>
    <w:rsid w:val="00C503A0"/>
    <w:rsid w:val="00C503F3"/>
    <w:rsid w:val="00C516F6"/>
    <w:rsid w:val="00C51AEF"/>
    <w:rsid w:val="00C51E66"/>
    <w:rsid w:val="00C5280B"/>
    <w:rsid w:val="00C52AAF"/>
    <w:rsid w:val="00C538F8"/>
    <w:rsid w:val="00C56C89"/>
    <w:rsid w:val="00C61B0D"/>
    <w:rsid w:val="00C622B5"/>
    <w:rsid w:val="00C6437B"/>
    <w:rsid w:val="00C65B8D"/>
    <w:rsid w:val="00C66F08"/>
    <w:rsid w:val="00C673F5"/>
    <w:rsid w:val="00C70005"/>
    <w:rsid w:val="00C70782"/>
    <w:rsid w:val="00C70785"/>
    <w:rsid w:val="00C70FDE"/>
    <w:rsid w:val="00C73833"/>
    <w:rsid w:val="00C7499E"/>
    <w:rsid w:val="00C7527F"/>
    <w:rsid w:val="00C7642A"/>
    <w:rsid w:val="00C76D4F"/>
    <w:rsid w:val="00C77F00"/>
    <w:rsid w:val="00C77F8E"/>
    <w:rsid w:val="00C80684"/>
    <w:rsid w:val="00C80877"/>
    <w:rsid w:val="00C80B82"/>
    <w:rsid w:val="00C811B6"/>
    <w:rsid w:val="00C81E1E"/>
    <w:rsid w:val="00C844F6"/>
    <w:rsid w:val="00C8474A"/>
    <w:rsid w:val="00C848F4"/>
    <w:rsid w:val="00C8505E"/>
    <w:rsid w:val="00C86D6F"/>
    <w:rsid w:val="00C87B03"/>
    <w:rsid w:val="00C94257"/>
    <w:rsid w:val="00C958EB"/>
    <w:rsid w:val="00C9798A"/>
    <w:rsid w:val="00C97EEF"/>
    <w:rsid w:val="00CA2B98"/>
    <w:rsid w:val="00CA4450"/>
    <w:rsid w:val="00CA58BE"/>
    <w:rsid w:val="00CA6856"/>
    <w:rsid w:val="00CA6B25"/>
    <w:rsid w:val="00CA7CA3"/>
    <w:rsid w:val="00CA7D32"/>
    <w:rsid w:val="00CB0E8E"/>
    <w:rsid w:val="00CB123C"/>
    <w:rsid w:val="00CB2DD3"/>
    <w:rsid w:val="00CB2E66"/>
    <w:rsid w:val="00CB35BD"/>
    <w:rsid w:val="00CB39FA"/>
    <w:rsid w:val="00CB3C28"/>
    <w:rsid w:val="00CB4B6D"/>
    <w:rsid w:val="00CB5E5F"/>
    <w:rsid w:val="00CB5F22"/>
    <w:rsid w:val="00CC2651"/>
    <w:rsid w:val="00CC6C21"/>
    <w:rsid w:val="00CD0E28"/>
    <w:rsid w:val="00CD1B91"/>
    <w:rsid w:val="00CD3BF8"/>
    <w:rsid w:val="00CD4A2B"/>
    <w:rsid w:val="00CD69CD"/>
    <w:rsid w:val="00CD724F"/>
    <w:rsid w:val="00CE0C47"/>
    <w:rsid w:val="00CE3063"/>
    <w:rsid w:val="00CE3D7D"/>
    <w:rsid w:val="00CE59E0"/>
    <w:rsid w:val="00CE5F4B"/>
    <w:rsid w:val="00CE6C8D"/>
    <w:rsid w:val="00CE7446"/>
    <w:rsid w:val="00CF143D"/>
    <w:rsid w:val="00CF40A3"/>
    <w:rsid w:val="00CF667B"/>
    <w:rsid w:val="00D0042D"/>
    <w:rsid w:val="00D0190D"/>
    <w:rsid w:val="00D02E66"/>
    <w:rsid w:val="00D04217"/>
    <w:rsid w:val="00D04B7A"/>
    <w:rsid w:val="00D05B1B"/>
    <w:rsid w:val="00D06339"/>
    <w:rsid w:val="00D10556"/>
    <w:rsid w:val="00D10774"/>
    <w:rsid w:val="00D15494"/>
    <w:rsid w:val="00D20731"/>
    <w:rsid w:val="00D22349"/>
    <w:rsid w:val="00D22C4F"/>
    <w:rsid w:val="00D22CDA"/>
    <w:rsid w:val="00D235F6"/>
    <w:rsid w:val="00D24461"/>
    <w:rsid w:val="00D247F6"/>
    <w:rsid w:val="00D2481B"/>
    <w:rsid w:val="00D25039"/>
    <w:rsid w:val="00D27FE0"/>
    <w:rsid w:val="00D305AD"/>
    <w:rsid w:val="00D314AB"/>
    <w:rsid w:val="00D33DDA"/>
    <w:rsid w:val="00D3594F"/>
    <w:rsid w:val="00D359E1"/>
    <w:rsid w:val="00D36923"/>
    <w:rsid w:val="00D37973"/>
    <w:rsid w:val="00D415AC"/>
    <w:rsid w:val="00D41BD5"/>
    <w:rsid w:val="00D42564"/>
    <w:rsid w:val="00D43115"/>
    <w:rsid w:val="00D44165"/>
    <w:rsid w:val="00D46C4D"/>
    <w:rsid w:val="00D46E70"/>
    <w:rsid w:val="00D507BA"/>
    <w:rsid w:val="00D51215"/>
    <w:rsid w:val="00D5202F"/>
    <w:rsid w:val="00D52503"/>
    <w:rsid w:val="00D55798"/>
    <w:rsid w:val="00D57934"/>
    <w:rsid w:val="00D61B40"/>
    <w:rsid w:val="00D62CB5"/>
    <w:rsid w:val="00D62D1F"/>
    <w:rsid w:val="00D643EB"/>
    <w:rsid w:val="00D64A74"/>
    <w:rsid w:val="00D6511B"/>
    <w:rsid w:val="00D664C6"/>
    <w:rsid w:val="00D66C2E"/>
    <w:rsid w:val="00D676AD"/>
    <w:rsid w:val="00D707C3"/>
    <w:rsid w:val="00D70CE3"/>
    <w:rsid w:val="00D718A3"/>
    <w:rsid w:val="00D71FDA"/>
    <w:rsid w:val="00D73A7D"/>
    <w:rsid w:val="00D74532"/>
    <w:rsid w:val="00D76FB4"/>
    <w:rsid w:val="00D7754E"/>
    <w:rsid w:val="00D77B51"/>
    <w:rsid w:val="00D77EF5"/>
    <w:rsid w:val="00D804B5"/>
    <w:rsid w:val="00D80957"/>
    <w:rsid w:val="00D825EA"/>
    <w:rsid w:val="00D83BD3"/>
    <w:rsid w:val="00D849D7"/>
    <w:rsid w:val="00D84ADC"/>
    <w:rsid w:val="00D84F43"/>
    <w:rsid w:val="00D86D37"/>
    <w:rsid w:val="00D875D8"/>
    <w:rsid w:val="00D90F13"/>
    <w:rsid w:val="00D9121C"/>
    <w:rsid w:val="00D9250E"/>
    <w:rsid w:val="00D929EF"/>
    <w:rsid w:val="00D97BD5"/>
    <w:rsid w:val="00D97C12"/>
    <w:rsid w:val="00D97DB0"/>
    <w:rsid w:val="00DA1B8E"/>
    <w:rsid w:val="00DA2E87"/>
    <w:rsid w:val="00DA3522"/>
    <w:rsid w:val="00DA3E35"/>
    <w:rsid w:val="00DA4162"/>
    <w:rsid w:val="00DA4899"/>
    <w:rsid w:val="00DA5AAE"/>
    <w:rsid w:val="00DA6DDD"/>
    <w:rsid w:val="00DA7663"/>
    <w:rsid w:val="00DB0384"/>
    <w:rsid w:val="00DB662E"/>
    <w:rsid w:val="00DC20AF"/>
    <w:rsid w:val="00DC2A7D"/>
    <w:rsid w:val="00DC3D0F"/>
    <w:rsid w:val="00DC41BD"/>
    <w:rsid w:val="00DC4E83"/>
    <w:rsid w:val="00DC5358"/>
    <w:rsid w:val="00DC64B0"/>
    <w:rsid w:val="00DC750D"/>
    <w:rsid w:val="00DC76DD"/>
    <w:rsid w:val="00DD0034"/>
    <w:rsid w:val="00DD30E7"/>
    <w:rsid w:val="00DD3491"/>
    <w:rsid w:val="00DD3E07"/>
    <w:rsid w:val="00DD51CA"/>
    <w:rsid w:val="00DD5669"/>
    <w:rsid w:val="00DD74BC"/>
    <w:rsid w:val="00DD7A7D"/>
    <w:rsid w:val="00DD7B4D"/>
    <w:rsid w:val="00DE028C"/>
    <w:rsid w:val="00DE04B7"/>
    <w:rsid w:val="00DE052A"/>
    <w:rsid w:val="00DE0CD6"/>
    <w:rsid w:val="00DE1C37"/>
    <w:rsid w:val="00DE2580"/>
    <w:rsid w:val="00DE3B80"/>
    <w:rsid w:val="00DE3C39"/>
    <w:rsid w:val="00DE3E13"/>
    <w:rsid w:val="00DE4A67"/>
    <w:rsid w:val="00DE531F"/>
    <w:rsid w:val="00DE6194"/>
    <w:rsid w:val="00DE65E1"/>
    <w:rsid w:val="00DE70E4"/>
    <w:rsid w:val="00DE7729"/>
    <w:rsid w:val="00DF0199"/>
    <w:rsid w:val="00DF1382"/>
    <w:rsid w:val="00DF15BE"/>
    <w:rsid w:val="00DF5D20"/>
    <w:rsid w:val="00DF64E8"/>
    <w:rsid w:val="00DF6A62"/>
    <w:rsid w:val="00DF6D31"/>
    <w:rsid w:val="00E001D8"/>
    <w:rsid w:val="00E036D2"/>
    <w:rsid w:val="00E037C5"/>
    <w:rsid w:val="00E03B3A"/>
    <w:rsid w:val="00E048BC"/>
    <w:rsid w:val="00E05091"/>
    <w:rsid w:val="00E05E9D"/>
    <w:rsid w:val="00E11FF5"/>
    <w:rsid w:val="00E1203C"/>
    <w:rsid w:val="00E143F4"/>
    <w:rsid w:val="00E14A0F"/>
    <w:rsid w:val="00E14D1B"/>
    <w:rsid w:val="00E14E0E"/>
    <w:rsid w:val="00E1593B"/>
    <w:rsid w:val="00E159F1"/>
    <w:rsid w:val="00E167F4"/>
    <w:rsid w:val="00E16D51"/>
    <w:rsid w:val="00E17672"/>
    <w:rsid w:val="00E177D9"/>
    <w:rsid w:val="00E17E44"/>
    <w:rsid w:val="00E20062"/>
    <w:rsid w:val="00E23C33"/>
    <w:rsid w:val="00E24DEC"/>
    <w:rsid w:val="00E2599D"/>
    <w:rsid w:val="00E26801"/>
    <w:rsid w:val="00E27A1C"/>
    <w:rsid w:val="00E30346"/>
    <w:rsid w:val="00E31BF8"/>
    <w:rsid w:val="00E32DD0"/>
    <w:rsid w:val="00E352A0"/>
    <w:rsid w:val="00E35EA0"/>
    <w:rsid w:val="00E365BA"/>
    <w:rsid w:val="00E36A45"/>
    <w:rsid w:val="00E374E7"/>
    <w:rsid w:val="00E37734"/>
    <w:rsid w:val="00E37A0C"/>
    <w:rsid w:val="00E37B7F"/>
    <w:rsid w:val="00E4041F"/>
    <w:rsid w:val="00E4043C"/>
    <w:rsid w:val="00E44CA2"/>
    <w:rsid w:val="00E44EC1"/>
    <w:rsid w:val="00E514DB"/>
    <w:rsid w:val="00E51A06"/>
    <w:rsid w:val="00E51F1C"/>
    <w:rsid w:val="00E51FAB"/>
    <w:rsid w:val="00E524C7"/>
    <w:rsid w:val="00E5439C"/>
    <w:rsid w:val="00E54B43"/>
    <w:rsid w:val="00E54E09"/>
    <w:rsid w:val="00E54E62"/>
    <w:rsid w:val="00E553F6"/>
    <w:rsid w:val="00E56FB9"/>
    <w:rsid w:val="00E570E8"/>
    <w:rsid w:val="00E5762A"/>
    <w:rsid w:val="00E578B3"/>
    <w:rsid w:val="00E57D86"/>
    <w:rsid w:val="00E603ED"/>
    <w:rsid w:val="00E60AE6"/>
    <w:rsid w:val="00E610B2"/>
    <w:rsid w:val="00E61680"/>
    <w:rsid w:val="00E618B3"/>
    <w:rsid w:val="00E623CF"/>
    <w:rsid w:val="00E649B9"/>
    <w:rsid w:val="00E70012"/>
    <w:rsid w:val="00E7067E"/>
    <w:rsid w:val="00E70D2C"/>
    <w:rsid w:val="00E728F3"/>
    <w:rsid w:val="00E7340E"/>
    <w:rsid w:val="00E73777"/>
    <w:rsid w:val="00E750C4"/>
    <w:rsid w:val="00E7584D"/>
    <w:rsid w:val="00E767C6"/>
    <w:rsid w:val="00E772C7"/>
    <w:rsid w:val="00E77F91"/>
    <w:rsid w:val="00E80E94"/>
    <w:rsid w:val="00E81AA2"/>
    <w:rsid w:val="00E81CA3"/>
    <w:rsid w:val="00E82ABC"/>
    <w:rsid w:val="00E82BD5"/>
    <w:rsid w:val="00E83DC0"/>
    <w:rsid w:val="00E86206"/>
    <w:rsid w:val="00E86592"/>
    <w:rsid w:val="00E868BF"/>
    <w:rsid w:val="00E87701"/>
    <w:rsid w:val="00E87927"/>
    <w:rsid w:val="00E93FEB"/>
    <w:rsid w:val="00E94B0D"/>
    <w:rsid w:val="00E96ED9"/>
    <w:rsid w:val="00E9717A"/>
    <w:rsid w:val="00E97642"/>
    <w:rsid w:val="00EA0FCF"/>
    <w:rsid w:val="00EA240C"/>
    <w:rsid w:val="00EA4CD1"/>
    <w:rsid w:val="00EA6547"/>
    <w:rsid w:val="00EB01A1"/>
    <w:rsid w:val="00EB1281"/>
    <w:rsid w:val="00EB192D"/>
    <w:rsid w:val="00EB1DD3"/>
    <w:rsid w:val="00EB3712"/>
    <w:rsid w:val="00EB38C4"/>
    <w:rsid w:val="00EB3C9B"/>
    <w:rsid w:val="00EB45CD"/>
    <w:rsid w:val="00EB55C1"/>
    <w:rsid w:val="00EB5A9D"/>
    <w:rsid w:val="00EB7472"/>
    <w:rsid w:val="00EC0249"/>
    <w:rsid w:val="00EC3BCD"/>
    <w:rsid w:val="00EC3C5B"/>
    <w:rsid w:val="00EC64E3"/>
    <w:rsid w:val="00EC7F0C"/>
    <w:rsid w:val="00ED499B"/>
    <w:rsid w:val="00ED5A7F"/>
    <w:rsid w:val="00ED72E3"/>
    <w:rsid w:val="00EE235A"/>
    <w:rsid w:val="00EE3FD6"/>
    <w:rsid w:val="00EE4E01"/>
    <w:rsid w:val="00EE4EA6"/>
    <w:rsid w:val="00EE633A"/>
    <w:rsid w:val="00EE6352"/>
    <w:rsid w:val="00EF0481"/>
    <w:rsid w:val="00EF1F3E"/>
    <w:rsid w:val="00EF2D1F"/>
    <w:rsid w:val="00EF2E58"/>
    <w:rsid w:val="00EF57B2"/>
    <w:rsid w:val="00EF710E"/>
    <w:rsid w:val="00EF72EE"/>
    <w:rsid w:val="00F00EE3"/>
    <w:rsid w:val="00F022F8"/>
    <w:rsid w:val="00F0240A"/>
    <w:rsid w:val="00F0250B"/>
    <w:rsid w:val="00F02634"/>
    <w:rsid w:val="00F040E7"/>
    <w:rsid w:val="00F04753"/>
    <w:rsid w:val="00F04B55"/>
    <w:rsid w:val="00F0576B"/>
    <w:rsid w:val="00F066B1"/>
    <w:rsid w:val="00F074CD"/>
    <w:rsid w:val="00F10C9F"/>
    <w:rsid w:val="00F10F20"/>
    <w:rsid w:val="00F12E23"/>
    <w:rsid w:val="00F149BE"/>
    <w:rsid w:val="00F165B8"/>
    <w:rsid w:val="00F178E0"/>
    <w:rsid w:val="00F17D86"/>
    <w:rsid w:val="00F20513"/>
    <w:rsid w:val="00F20F74"/>
    <w:rsid w:val="00F235C3"/>
    <w:rsid w:val="00F26C6B"/>
    <w:rsid w:val="00F26F3E"/>
    <w:rsid w:val="00F27532"/>
    <w:rsid w:val="00F311BA"/>
    <w:rsid w:val="00F312E2"/>
    <w:rsid w:val="00F32A5B"/>
    <w:rsid w:val="00F32A92"/>
    <w:rsid w:val="00F331AD"/>
    <w:rsid w:val="00F3374A"/>
    <w:rsid w:val="00F341B8"/>
    <w:rsid w:val="00F3422D"/>
    <w:rsid w:val="00F35874"/>
    <w:rsid w:val="00F364D9"/>
    <w:rsid w:val="00F36A7C"/>
    <w:rsid w:val="00F37DC7"/>
    <w:rsid w:val="00F40C96"/>
    <w:rsid w:val="00F411D1"/>
    <w:rsid w:val="00F42C9F"/>
    <w:rsid w:val="00F4515D"/>
    <w:rsid w:val="00F506F9"/>
    <w:rsid w:val="00F51C1B"/>
    <w:rsid w:val="00F55324"/>
    <w:rsid w:val="00F554FA"/>
    <w:rsid w:val="00F55915"/>
    <w:rsid w:val="00F57A8A"/>
    <w:rsid w:val="00F60507"/>
    <w:rsid w:val="00F607D5"/>
    <w:rsid w:val="00F61E9E"/>
    <w:rsid w:val="00F64097"/>
    <w:rsid w:val="00F643A6"/>
    <w:rsid w:val="00F65F08"/>
    <w:rsid w:val="00F6687E"/>
    <w:rsid w:val="00F67479"/>
    <w:rsid w:val="00F70545"/>
    <w:rsid w:val="00F70D4E"/>
    <w:rsid w:val="00F71823"/>
    <w:rsid w:val="00F72E4F"/>
    <w:rsid w:val="00F73B7E"/>
    <w:rsid w:val="00F73F0A"/>
    <w:rsid w:val="00F742E1"/>
    <w:rsid w:val="00F76332"/>
    <w:rsid w:val="00F76636"/>
    <w:rsid w:val="00F7788E"/>
    <w:rsid w:val="00F80906"/>
    <w:rsid w:val="00F80DB6"/>
    <w:rsid w:val="00F8196A"/>
    <w:rsid w:val="00F82AEC"/>
    <w:rsid w:val="00F84904"/>
    <w:rsid w:val="00F85549"/>
    <w:rsid w:val="00F85883"/>
    <w:rsid w:val="00F85E77"/>
    <w:rsid w:val="00F876AC"/>
    <w:rsid w:val="00F919D3"/>
    <w:rsid w:val="00F92C3E"/>
    <w:rsid w:val="00F92FA4"/>
    <w:rsid w:val="00F956B2"/>
    <w:rsid w:val="00F967FB"/>
    <w:rsid w:val="00FA04ED"/>
    <w:rsid w:val="00FA35B7"/>
    <w:rsid w:val="00FA4480"/>
    <w:rsid w:val="00FA518E"/>
    <w:rsid w:val="00FA584A"/>
    <w:rsid w:val="00FA77B6"/>
    <w:rsid w:val="00FA7FC9"/>
    <w:rsid w:val="00FB0B68"/>
    <w:rsid w:val="00FB1D5D"/>
    <w:rsid w:val="00FB4611"/>
    <w:rsid w:val="00FB5D12"/>
    <w:rsid w:val="00FB6889"/>
    <w:rsid w:val="00FB6F03"/>
    <w:rsid w:val="00FB7390"/>
    <w:rsid w:val="00FC2140"/>
    <w:rsid w:val="00FC250F"/>
    <w:rsid w:val="00FC2645"/>
    <w:rsid w:val="00FC327D"/>
    <w:rsid w:val="00FC571B"/>
    <w:rsid w:val="00FC61A2"/>
    <w:rsid w:val="00FD0A0C"/>
    <w:rsid w:val="00FD1158"/>
    <w:rsid w:val="00FD1C45"/>
    <w:rsid w:val="00FD1C68"/>
    <w:rsid w:val="00FD47E7"/>
    <w:rsid w:val="00FD79EF"/>
    <w:rsid w:val="00FD7A9A"/>
    <w:rsid w:val="00FE04E0"/>
    <w:rsid w:val="00FE1108"/>
    <w:rsid w:val="00FE1681"/>
    <w:rsid w:val="00FE19C7"/>
    <w:rsid w:val="00FE3689"/>
    <w:rsid w:val="00FE3AB0"/>
    <w:rsid w:val="00FE3F20"/>
    <w:rsid w:val="00FF06B9"/>
    <w:rsid w:val="00FF0D37"/>
    <w:rsid w:val="00FF1BE5"/>
    <w:rsid w:val="00FF299A"/>
    <w:rsid w:val="00FF33A8"/>
    <w:rsid w:val="00FF360A"/>
    <w:rsid w:val="00FF420E"/>
    <w:rsid w:val="00FF4267"/>
    <w:rsid w:val="00FF4D76"/>
    <w:rsid w:val="00FF601B"/>
    <w:rsid w:val="00FF7D3D"/>
    <w:rsid w:val="00FF7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E8759"/>
  <w15:docId w15:val="{558903DD-C7B2-4C68-B98D-8582BF73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157"/>
  </w:style>
  <w:style w:type="paragraph" w:styleId="1">
    <w:name w:val="heading 1"/>
    <w:basedOn w:val="a"/>
    <w:link w:val="10"/>
    <w:qFormat/>
    <w:rsid w:val="008626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862662"/>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link w:val="30"/>
    <w:qFormat/>
    <w:rsid w:val="008626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qFormat/>
    <w:rsid w:val="00862662"/>
    <w:pPr>
      <w:keepNext/>
      <w:spacing w:after="0" w:line="240" w:lineRule="auto"/>
      <w:jc w:val="center"/>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Знак,Знак Знак Знак, Знак Знак Знак,Текст сноски Знак Знак1 Знак, Знак Знак Знак1 Знак,Текст сноски Знак Знак Знак Знак,Текст сноски Знак Знак1,Зн,f, Знак2,Текст сноски-FN,Oaeno niinee-FN,Oaeno niinee Ciae, Знак Знак Знак Знак Знак"/>
    <w:basedOn w:val="a"/>
    <w:link w:val="a4"/>
    <w:uiPriority w:val="99"/>
    <w:unhideWhenUsed/>
    <w:qFormat/>
    <w:rsid w:val="00BD36B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 Знак Знак,Знак Знак,Знак Знак Знак Знак1, Знак Знак Знак Знак,Текст сноски Знак Знак1 Знак Знак, Знак Знак Знак1 Знак Знак,Текст сноски Знак Знак Знак Знак Знак,Текст сноски Знак Знак1 Знак1,Зн Знак,f Знак, Знак2 Знак"/>
    <w:basedOn w:val="a0"/>
    <w:link w:val="a3"/>
    <w:uiPriority w:val="99"/>
    <w:rsid w:val="00BD36B3"/>
    <w:rPr>
      <w:rFonts w:ascii="Times New Roman" w:eastAsia="Times New Roman" w:hAnsi="Times New Roman" w:cs="Times New Roman"/>
      <w:sz w:val="20"/>
      <w:szCs w:val="20"/>
      <w:lang w:eastAsia="ru-RU"/>
    </w:rPr>
  </w:style>
  <w:style w:type="character" w:styleId="a5">
    <w:name w:val="footnote reference"/>
    <w:aliases w:val="Знак сноски-FN,Ciae niinee-FN,Знак сноски 1,текст сноски,анкета сноска,Ciae niinee 1,fr,Used by Word for Help footnote symbols,Avg - Знак сноски,avg-Знак сноски,Referencia nota al pie,ООО Знак сноски,СНОСКА,сноска1,ftref,Avg,вески,ХИА_ЗС"/>
    <w:uiPriority w:val="99"/>
    <w:unhideWhenUsed/>
    <w:qFormat/>
    <w:rsid w:val="00BD36B3"/>
    <w:rPr>
      <w:vertAlign w:val="superscript"/>
    </w:rPr>
  </w:style>
  <w:style w:type="paragraph" w:styleId="a6">
    <w:name w:val="header"/>
    <w:basedOn w:val="a"/>
    <w:link w:val="a7"/>
    <w:uiPriority w:val="99"/>
    <w:unhideWhenUsed/>
    <w:rsid w:val="000B2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23E7"/>
  </w:style>
  <w:style w:type="paragraph" w:styleId="a8">
    <w:name w:val="footer"/>
    <w:basedOn w:val="a"/>
    <w:link w:val="a9"/>
    <w:uiPriority w:val="99"/>
    <w:unhideWhenUsed/>
    <w:rsid w:val="000B2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23E7"/>
  </w:style>
  <w:style w:type="character" w:customStyle="1" w:styleId="10">
    <w:name w:val="Заголовок 1 Знак"/>
    <w:basedOn w:val="a0"/>
    <w:link w:val="1"/>
    <w:rsid w:val="008626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62662"/>
    <w:rPr>
      <w:rFonts w:ascii="Cambria" w:eastAsia="Times New Roman" w:hAnsi="Cambria" w:cs="Times New Roman"/>
      <w:b/>
      <w:bCs/>
      <w:color w:val="4F81BD"/>
      <w:sz w:val="26"/>
      <w:szCs w:val="26"/>
    </w:rPr>
  </w:style>
  <w:style w:type="character" w:customStyle="1" w:styleId="30">
    <w:name w:val="Заголовок 3 Знак"/>
    <w:basedOn w:val="a0"/>
    <w:link w:val="3"/>
    <w:rsid w:val="0086266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862662"/>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862662"/>
  </w:style>
  <w:style w:type="paragraph" w:styleId="aa">
    <w:name w:val="List Paragraph"/>
    <w:basedOn w:val="a"/>
    <w:uiPriority w:val="99"/>
    <w:qFormat/>
    <w:rsid w:val="00862662"/>
    <w:pPr>
      <w:spacing w:after="0" w:line="240" w:lineRule="auto"/>
      <w:ind w:left="720"/>
      <w:contextualSpacing/>
    </w:pPr>
    <w:rPr>
      <w:rFonts w:ascii="Times New Roman" w:eastAsia="Calibri" w:hAnsi="Times New Roman" w:cs="Times New Roman"/>
      <w:sz w:val="20"/>
    </w:rPr>
  </w:style>
  <w:style w:type="paragraph" w:customStyle="1" w:styleId="rvps698610">
    <w:name w:val="rvps698610"/>
    <w:basedOn w:val="a"/>
    <w:rsid w:val="00862662"/>
    <w:pPr>
      <w:spacing w:after="150" w:line="240" w:lineRule="auto"/>
      <w:ind w:right="300"/>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862662"/>
    <w:pPr>
      <w:spacing w:after="0" w:line="240" w:lineRule="auto"/>
      <w:ind w:firstLine="720"/>
    </w:pPr>
    <w:rPr>
      <w:rFonts w:ascii="Arial" w:eastAsia="Times New Roman" w:hAnsi="Arial" w:cs="Times New Roman"/>
      <w:snapToGrid w:val="0"/>
      <w:sz w:val="20"/>
      <w:szCs w:val="20"/>
      <w:lang w:eastAsia="ru-RU"/>
    </w:rPr>
  </w:style>
  <w:style w:type="paragraph" w:styleId="ab">
    <w:name w:val="Plain Text"/>
    <w:basedOn w:val="a"/>
    <w:link w:val="ac"/>
    <w:rsid w:val="00862662"/>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862662"/>
    <w:rPr>
      <w:rFonts w:ascii="Courier New" w:eastAsia="Times New Roman" w:hAnsi="Courier New" w:cs="Courier New"/>
      <w:sz w:val="20"/>
      <w:szCs w:val="20"/>
      <w:lang w:eastAsia="ru-RU"/>
    </w:rPr>
  </w:style>
  <w:style w:type="paragraph" w:styleId="ad">
    <w:name w:val="Normal Indent"/>
    <w:basedOn w:val="a"/>
    <w:rsid w:val="00862662"/>
    <w:pPr>
      <w:spacing w:after="0" w:line="240" w:lineRule="auto"/>
      <w:ind w:firstLine="709"/>
      <w:jc w:val="both"/>
    </w:pPr>
    <w:rPr>
      <w:rFonts w:ascii="Times New Roman" w:eastAsia="Times New Roman" w:hAnsi="Times New Roman" w:cs="Times New Roman"/>
      <w:sz w:val="28"/>
      <w:szCs w:val="20"/>
      <w:lang w:eastAsia="ru-RU"/>
    </w:rPr>
  </w:style>
  <w:style w:type="paragraph" w:styleId="ae">
    <w:name w:val="Balloon Text"/>
    <w:basedOn w:val="a"/>
    <w:link w:val="af"/>
    <w:uiPriority w:val="99"/>
    <w:unhideWhenUsed/>
    <w:rsid w:val="00862662"/>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rsid w:val="00862662"/>
    <w:rPr>
      <w:rFonts w:ascii="Tahoma" w:eastAsia="Calibri" w:hAnsi="Tahoma" w:cs="Tahoma"/>
      <w:sz w:val="16"/>
      <w:szCs w:val="16"/>
    </w:rPr>
  </w:style>
  <w:style w:type="paragraph" w:styleId="af0">
    <w:name w:val="Body Text Indent"/>
    <w:aliases w:val="Надин стиль,Основной текст 1,Нумерованный список !!,Iniiaiie oaeno 1,Ioia?iaaiiue nienie !!,Iaaei noeeu"/>
    <w:basedOn w:val="a"/>
    <w:link w:val="af1"/>
    <w:rsid w:val="00862662"/>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0"/>
    <w:rsid w:val="00862662"/>
    <w:rPr>
      <w:rFonts w:ascii="Times New Roman" w:eastAsia="Times New Roman" w:hAnsi="Times New Roman" w:cs="Times New Roman"/>
      <w:sz w:val="24"/>
      <w:szCs w:val="24"/>
      <w:lang w:eastAsia="ru-RU"/>
    </w:rPr>
  </w:style>
  <w:style w:type="table" w:styleId="af2">
    <w:name w:val="Table Grid"/>
    <w:basedOn w:val="a1"/>
    <w:rsid w:val="008626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РАЗДЕЛ*"/>
    <w:next w:val="a"/>
    <w:link w:val="af4"/>
    <w:qFormat/>
    <w:rsid w:val="00862662"/>
    <w:pPr>
      <w:keepNext/>
      <w:keepLines/>
      <w:suppressAutoHyphens/>
      <w:spacing w:before="240" w:after="120" w:line="240" w:lineRule="auto"/>
      <w:contextualSpacing/>
      <w:jc w:val="center"/>
    </w:pPr>
    <w:rPr>
      <w:rFonts w:ascii="Times New Roman" w:eastAsia="Calibri" w:hAnsi="Times New Roman" w:cs="Times New Roman"/>
      <w:b/>
      <w:sz w:val="28"/>
    </w:rPr>
  </w:style>
  <w:style w:type="character" w:customStyle="1" w:styleId="af4">
    <w:name w:val="*РАЗДЕЛ* Знак"/>
    <w:link w:val="af3"/>
    <w:locked/>
    <w:rsid w:val="00862662"/>
    <w:rPr>
      <w:rFonts w:ascii="Times New Roman" w:eastAsia="Calibri" w:hAnsi="Times New Roman" w:cs="Times New Roman"/>
      <w:b/>
      <w:sz w:val="28"/>
    </w:rPr>
  </w:style>
  <w:style w:type="paragraph" w:customStyle="1" w:styleId="af5">
    <w:name w:val="*ЧАСТЬ*"/>
    <w:next w:val="a"/>
    <w:qFormat/>
    <w:rsid w:val="00862662"/>
    <w:pPr>
      <w:keepNext/>
      <w:keepLines/>
      <w:pBdr>
        <w:top w:val="thinThickLargeGap" w:sz="24" w:space="5" w:color="auto"/>
      </w:pBdr>
      <w:suppressAutoHyphens/>
      <w:spacing w:before="840" w:after="120" w:line="240" w:lineRule="auto"/>
      <w:contextualSpacing/>
      <w:jc w:val="center"/>
    </w:pPr>
    <w:rPr>
      <w:rFonts w:ascii="Book Antiqua" w:eastAsia="Calibri" w:hAnsi="Book Antiqua" w:cs="Times New Roman"/>
      <w:b/>
      <w:caps/>
      <w:spacing w:val="20"/>
      <w:sz w:val="32"/>
    </w:rPr>
  </w:style>
  <w:style w:type="character" w:customStyle="1" w:styleId="af6">
    <w:name w:val="*Курсив*"/>
    <w:uiPriority w:val="99"/>
    <w:qFormat/>
    <w:rsid w:val="00862662"/>
    <w:rPr>
      <w:i/>
    </w:rPr>
  </w:style>
  <w:style w:type="paragraph" w:customStyle="1" w:styleId="af7">
    <w:name w:val="*ТЕКСТ С ИНТЕРВ. ПЕРЕД*"/>
    <w:basedOn w:val="af8"/>
    <w:next w:val="af8"/>
    <w:link w:val="af9"/>
    <w:uiPriority w:val="99"/>
    <w:qFormat/>
    <w:rsid w:val="00862662"/>
    <w:pPr>
      <w:spacing w:before="120"/>
    </w:pPr>
  </w:style>
  <w:style w:type="paragraph" w:customStyle="1" w:styleId="af8">
    <w:name w:val="*ТЕКСТ*"/>
    <w:link w:val="afa"/>
    <w:qFormat/>
    <w:rsid w:val="0086266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a">
    <w:name w:val="*ТЕКСТ* Знак"/>
    <w:link w:val="af8"/>
    <w:rsid w:val="00862662"/>
    <w:rPr>
      <w:rFonts w:ascii="Times New Roman" w:eastAsia="Times New Roman" w:hAnsi="Times New Roman" w:cs="Times New Roman"/>
      <w:sz w:val="28"/>
      <w:szCs w:val="28"/>
      <w:lang w:eastAsia="ru-RU"/>
    </w:rPr>
  </w:style>
  <w:style w:type="character" w:customStyle="1" w:styleId="af9">
    <w:name w:val="*ТЕКСТ С ИНТЕРВ. ПЕРЕД* Знак"/>
    <w:link w:val="af7"/>
    <w:uiPriority w:val="99"/>
    <w:rsid w:val="00862662"/>
    <w:rPr>
      <w:rFonts w:ascii="Times New Roman" w:eastAsia="Times New Roman" w:hAnsi="Times New Roman" w:cs="Times New Roman"/>
      <w:sz w:val="28"/>
      <w:szCs w:val="28"/>
      <w:lang w:eastAsia="ru-RU"/>
    </w:rPr>
  </w:style>
  <w:style w:type="paragraph" w:customStyle="1" w:styleId="afb">
    <w:name w:val="*ТЕКСТ С ИНТЕРВ. ПОСЛЕ*"/>
    <w:basedOn w:val="af8"/>
    <w:next w:val="af8"/>
    <w:link w:val="afc"/>
    <w:uiPriority w:val="99"/>
    <w:qFormat/>
    <w:rsid w:val="00862662"/>
    <w:pPr>
      <w:spacing w:after="120"/>
    </w:pPr>
  </w:style>
  <w:style w:type="character" w:customStyle="1" w:styleId="afc">
    <w:name w:val="*ТЕКСТ С ИНТЕРВ. ПОСЛЕ* Знак"/>
    <w:link w:val="afb"/>
    <w:uiPriority w:val="99"/>
    <w:rsid w:val="00862662"/>
    <w:rPr>
      <w:rFonts w:ascii="Times New Roman" w:eastAsia="Times New Roman" w:hAnsi="Times New Roman" w:cs="Times New Roman"/>
      <w:sz w:val="28"/>
      <w:szCs w:val="28"/>
      <w:lang w:eastAsia="ru-RU"/>
    </w:rPr>
  </w:style>
  <w:style w:type="paragraph" w:customStyle="1" w:styleId="afd">
    <w:name w:val="*ТЕКСТ С ИНТЕРВ.*"/>
    <w:basedOn w:val="af8"/>
    <w:next w:val="af8"/>
    <w:link w:val="afe"/>
    <w:uiPriority w:val="99"/>
    <w:qFormat/>
    <w:rsid w:val="00862662"/>
    <w:pPr>
      <w:spacing w:before="120" w:after="120"/>
    </w:pPr>
  </w:style>
  <w:style w:type="character" w:customStyle="1" w:styleId="afe">
    <w:name w:val="*ТЕКСТ С ИНТЕРВ.* Знак"/>
    <w:basedOn w:val="afa"/>
    <w:link w:val="afd"/>
    <w:uiPriority w:val="99"/>
    <w:rsid w:val="00862662"/>
    <w:rPr>
      <w:rFonts w:ascii="Times New Roman" w:eastAsia="Times New Roman" w:hAnsi="Times New Roman" w:cs="Times New Roman"/>
      <w:sz w:val="28"/>
      <w:szCs w:val="28"/>
      <w:lang w:eastAsia="ru-RU"/>
    </w:rPr>
  </w:style>
  <w:style w:type="character" w:customStyle="1" w:styleId="FontStyle22">
    <w:name w:val="Font Style22"/>
    <w:rsid w:val="00862662"/>
    <w:rPr>
      <w:rFonts w:ascii="Times New Roman" w:hAnsi="Times New Roman" w:cs="Times New Roman"/>
      <w:sz w:val="24"/>
      <w:szCs w:val="24"/>
    </w:rPr>
  </w:style>
  <w:style w:type="paragraph" w:customStyle="1" w:styleId="Style3">
    <w:name w:val="Style3"/>
    <w:basedOn w:val="a"/>
    <w:rsid w:val="00862662"/>
    <w:pPr>
      <w:widowControl w:val="0"/>
      <w:autoSpaceDE w:val="0"/>
      <w:autoSpaceDN w:val="0"/>
      <w:adjustRightInd w:val="0"/>
      <w:spacing w:after="0" w:line="326" w:lineRule="exact"/>
      <w:ind w:firstLine="403"/>
      <w:jc w:val="both"/>
    </w:pPr>
    <w:rPr>
      <w:rFonts w:ascii="Times New Roman" w:eastAsia="Times New Roman" w:hAnsi="Times New Roman" w:cs="Times New Roman"/>
      <w:sz w:val="24"/>
      <w:szCs w:val="24"/>
      <w:lang w:eastAsia="ru-RU"/>
    </w:rPr>
  </w:style>
  <w:style w:type="paragraph" w:styleId="aff">
    <w:name w:val="No Spacing"/>
    <w:link w:val="aff0"/>
    <w:uiPriority w:val="1"/>
    <w:qFormat/>
    <w:rsid w:val="00862662"/>
    <w:pPr>
      <w:spacing w:after="0" w:line="240" w:lineRule="auto"/>
    </w:pPr>
    <w:rPr>
      <w:rFonts w:ascii="Calibri" w:eastAsia="Calibri" w:hAnsi="Calibri" w:cs="Times New Roman"/>
    </w:rPr>
  </w:style>
  <w:style w:type="character" w:customStyle="1" w:styleId="aff0">
    <w:name w:val="Без интервала Знак"/>
    <w:link w:val="aff"/>
    <w:uiPriority w:val="1"/>
    <w:rsid w:val="00862662"/>
    <w:rPr>
      <w:rFonts w:ascii="Calibri" w:eastAsia="Calibri" w:hAnsi="Calibri" w:cs="Times New Roman"/>
    </w:rPr>
  </w:style>
  <w:style w:type="paragraph" w:styleId="31">
    <w:name w:val="Body Text Indent 3"/>
    <w:basedOn w:val="a"/>
    <w:link w:val="32"/>
    <w:uiPriority w:val="99"/>
    <w:rsid w:val="0086266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862662"/>
    <w:rPr>
      <w:rFonts w:ascii="Times New Roman" w:eastAsia="Times New Roman" w:hAnsi="Times New Roman" w:cs="Times New Roman"/>
      <w:sz w:val="16"/>
      <w:szCs w:val="16"/>
      <w:lang w:eastAsia="ru-RU"/>
    </w:rPr>
  </w:style>
  <w:style w:type="paragraph" w:styleId="aff1">
    <w:name w:val="Subtitle"/>
    <w:basedOn w:val="a"/>
    <w:link w:val="aff2"/>
    <w:qFormat/>
    <w:rsid w:val="00862662"/>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aff2">
    <w:name w:val="Подзаголовок Знак"/>
    <w:basedOn w:val="a0"/>
    <w:link w:val="aff1"/>
    <w:rsid w:val="00862662"/>
    <w:rPr>
      <w:rFonts w:ascii="Times New Roman" w:eastAsia="Times New Roman" w:hAnsi="Times New Roman" w:cs="Times New Roman"/>
      <w:b/>
      <w:sz w:val="28"/>
      <w:szCs w:val="24"/>
      <w:lang w:eastAsia="ru-RU"/>
    </w:rPr>
  </w:style>
  <w:style w:type="character" w:styleId="aff3">
    <w:name w:val="page number"/>
    <w:basedOn w:val="a0"/>
    <w:rsid w:val="00862662"/>
  </w:style>
  <w:style w:type="paragraph" w:styleId="aff4">
    <w:name w:val="Title"/>
    <w:basedOn w:val="a"/>
    <w:link w:val="aff5"/>
    <w:qFormat/>
    <w:rsid w:val="00862662"/>
    <w:pPr>
      <w:spacing w:after="0" w:line="240" w:lineRule="auto"/>
      <w:jc w:val="center"/>
    </w:pPr>
    <w:rPr>
      <w:rFonts w:ascii="Times New Roman" w:eastAsia="Times New Roman" w:hAnsi="Times New Roman" w:cs="Times New Roman"/>
      <w:b/>
      <w:bCs/>
      <w:sz w:val="24"/>
      <w:szCs w:val="24"/>
      <w:lang w:eastAsia="ru-RU"/>
    </w:rPr>
  </w:style>
  <w:style w:type="character" w:customStyle="1" w:styleId="aff5">
    <w:name w:val="Название Знак"/>
    <w:basedOn w:val="a0"/>
    <w:link w:val="aff4"/>
    <w:rsid w:val="00862662"/>
    <w:rPr>
      <w:rFonts w:ascii="Times New Roman" w:eastAsia="Times New Roman" w:hAnsi="Times New Roman" w:cs="Times New Roman"/>
      <w:b/>
      <w:bCs/>
      <w:sz w:val="24"/>
      <w:szCs w:val="24"/>
      <w:lang w:eastAsia="ru-RU"/>
    </w:rPr>
  </w:style>
  <w:style w:type="paragraph" w:customStyle="1" w:styleId="aff6">
    <w:name w:val="Знак Знак Знак Знак"/>
    <w:basedOn w:val="a"/>
    <w:autoRedefine/>
    <w:rsid w:val="00862662"/>
    <w:pPr>
      <w:spacing w:line="240" w:lineRule="exact"/>
    </w:pPr>
    <w:rPr>
      <w:rFonts w:ascii="Times New Roman" w:eastAsia="SimSun" w:hAnsi="Times New Roman" w:cs="Times New Roman"/>
      <w:b/>
      <w:sz w:val="28"/>
      <w:szCs w:val="24"/>
      <w:lang w:val="en-US"/>
    </w:rPr>
  </w:style>
  <w:style w:type="paragraph" w:styleId="aff7">
    <w:name w:val="Body Text"/>
    <w:basedOn w:val="a"/>
    <w:link w:val="aff8"/>
    <w:rsid w:val="00862662"/>
    <w:pPr>
      <w:spacing w:after="120" w:line="240" w:lineRule="auto"/>
    </w:pPr>
    <w:rPr>
      <w:rFonts w:ascii="Times New Roman" w:eastAsia="Times New Roman" w:hAnsi="Times New Roman" w:cs="Times New Roman"/>
      <w:sz w:val="24"/>
      <w:szCs w:val="24"/>
      <w:lang w:eastAsia="ru-RU"/>
    </w:rPr>
  </w:style>
  <w:style w:type="character" w:customStyle="1" w:styleId="aff8">
    <w:name w:val="Основной текст Знак"/>
    <w:basedOn w:val="a0"/>
    <w:link w:val="aff7"/>
    <w:rsid w:val="00862662"/>
    <w:rPr>
      <w:rFonts w:ascii="Times New Roman" w:eastAsia="Times New Roman" w:hAnsi="Times New Roman" w:cs="Times New Roman"/>
      <w:sz w:val="24"/>
      <w:szCs w:val="24"/>
      <w:lang w:eastAsia="ru-RU"/>
    </w:rPr>
  </w:style>
  <w:style w:type="paragraph" w:customStyle="1" w:styleId="ConsPlusTitle">
    <w:name w:val="ConsPlusTitle"/>
    <w:rsid w:val="0086266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9">
    <w:name w:val="Знак Знак Знак Знак Знак Знак Знак Знак Знак Знак Знак Знак Знак Знак Знак Знак"/>
    <w:basedOn w:val="a"/>
    <w:rsid w:val="00862662"/>
    <w:pPr>
      <w:spacing w:line="240" w:lineRule="exact"/>
    </w:pPr>
    <w:rPr>
      <w:rFonts w:ascii="Verdana" w:eastAsia="Times New Roman" w:hAnsi="Verdana" w:cs="Times New Roman"/>
      <w:sz w:val="24"/>
      <w:szCs w:val="24"/>
      <w:lang w:val="en-US"/>
    </w:rPr>
  </w:style>
  <w:style w:type="paragraph" w:customStyle="1" w:styleId="12">
    <w:name w:val="Знак Знак Знак1 Знак Знак Знак Знак"/>
    <w:basedOn w:val="a"/>
    <w:autoRedefine/>
    <w:rsid w:val="00862662"/>
    <w:pPr>
      <w:spacing w:line="240" w:lineRule="exact"/>
    </w:pPr>
    <w:rPr>
      <w:rFonts w:ascii="Times New Roman" w:eastAsia="SimSun" w:hAnsi="Times New Roman" w:cs="Times New Roman"/>
      <w:b/>
      <w:sz w:val="28"/>
      <w:szCs w:val="24"/>
      <w:lang w:val="en-US"/>
    </w:rPr>
  </w:style>
  <w:style w:type="paragraph" w:customStyle="1" w:styleId="13">
    <w:name w:val="1"/>
    <w:rsid w:val="00862662"/>
    <w:pPr>
      <w:spacing w:after="0" w:line="240" w:lineRule="auto"/>
    </w:pPr>
    <w:rPr>
      <w:rFonts w:ascii="Times New Roman" w:eastAsia="Times New Roman" w:hAnsi="Times New Roman" w:cs="Times New Roman"/>
      <w:sz w:val="24"/>
      <w:szCs w:val="20"/>
      <w:lang w:eastAsia="ru-RU"/>
    </w:rPr>
  </w:style>
  <w:style w:type="paragraph" w:customStyle="1" w:styleId="14">
    <w:name w:val="Знак1"/>
    <w:basedOn w:val="a"/>
    <w:rsid w:val="00862662"/>
    <w:pPr>
      <w:spacing w:line="240" w:lineRule="exact"/>
    </w:pPr>
    <w:rPr>
      <w:rFonts w:ascii="Verdana" w:eastAsia="Times New Roman" w:hAnsi="Verdana" w:cs="Times New Roman"/>
      <w:sz w:val="20"/>
      <w:szCs w:val="20"/>
      <w:lang w:val="en-US"/>
    </w:rPr>
  </w:style>
  <w:style w:type="paragraph" w:styleId="affa">
    <w:name w:val="Normal (Web)"/>
    <w:basedOn w:val="a"/>
    <w:uiPriority w:val="99"/>
    <w:rsid w:val="00862662"/>
    <w:pPr>
      <w:spacing w:after="75" w:line="240" w:lineRule="auto"/>
    </w:pPr>
    <w:rPr>
      <w:rFonts w:ascii="Verdana" w:eastAsia="Times New Roman" w:hAnsi="Verdana" w:cs="Times New Roman"/>
      <w:color w:val="000000"/>
      <w:sz w:val="18"/>
      <w:szCs w:val="18"/>
      <w:lang w:eastAsia="ru-RU"/>
    </w:rPr>
  </w:style>
  <w:style w:type="paragraph" w:customStyle="1" w:styleId="ConsPlusNonformat">
    <w:name w:val="ConsPlusNonformat"/>
    <w:rsid w:val="008626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b">
    <w:name w:val="Текст концевой сноски Знак"/>
    <w:basedOn w:val="a0"/>
    <w:link w:val="affc"/>
    <w:rsid w:val="00862662"/>
    <w:rPr>
      <w:rFonts w:ascii="Calibri" w:eastAsia="Calibri" w:hAnsi="Calibri" w:cs="Times New Roman"/>
      <w:sz w:val="20"/>
      <w:szCs w:val="20"/>
    </w:rPr>
  </w:style>
  <w:style w:type="paragraph" w:styleId="affc">
    <w:name w:val="endnote text"/>
    <w:basedOn w:val="a"/>
    <w:link w:val="affb"/>
    <w:unhideWhenUsed/>
    <w:rsid w:val="00862662"/>
    <w:pPr>
      <w:spacing w:after="0" w:line="240" w:lineRule="auto"/>
    </w:pPr>
    <w:rPr>
      <w:rFonts w:ascii="Calibri" w:eastAsia="Calibri" w:hAnsi="Calibri" w:cs="Times New Roman"/>
      <w:sz w:val="20"/>
      <w:szCs w:val="20"/>
    </w:rPr>
  </w:style>
  <w:style w:type="character" w:customStyle="1" w:styleId="15">
    <w:name w:val="Текст концевой сноски Знак1"/>
    <w:basedOn w:val="a0"/>
    <w:rsid w:val="00862662"/>
    <w:rPr>
      <w:sz w:val="20"/>
      <w:szCs w:val="20"/>
    </w:rPr>
  </w:style>
  <w:style w:type="paragraph" w:customStyle="1" w:styleId="affd">
    <w:name w:val="ЗАГОЛОВОК"/>
    <w:next w:val="a"/>
    <w:rsid w:val="00862662"/>
    <w:pPr>
      <w:keepNext/>
      <w:keepLines/>
      <w:spacing w:before="240" w:after="120" w:line="240" w:lineRule="auto"/>
      <w:contextualSpacing/>
      <w:jc w:val="center"/>
      <w:outlineLvl w:val="0"/>
    </w:pPr>
    <w:rPr>
      <w:rFonts w:ascii="Times New Roman" w:eastAsia="Times New Roman" w:hAnsi="Times New Roman" w:cs="Times New Roman"/>
      <w:b/>
      <w:sz w:val="28"/>
      <w:szCs w:val="28"/>
      <w:lang w:eastAsia="ru-RU"/>
    </w:rPr>
  </w:style>
  <w:style w:type="paragraph" w:customStyle="1" w:styleId="21">
    <w:name w:val="ЗАГОЛОВОК 2"/>
    <w:next w:val="a"/>
    <w:rsid w:val="00862662"/>
    <w:pPr>
      <w:keepNext/>
      <w:keepLines/>
      <w:spacing w:before="120" w:after="120" w:line="240" w:lineRule="auto"/>
      <w:ind w:left="709"/>
      <w:outlineLvl w:val="1"/>
    </w:pPr>
    <w:rPr>
      <w:rFonts w:ascii="Times New Roman" w:eastAsia="Times New Roman" w:hAnsi="Times New Roman" w:cs="Times New Roman"/>
      <w:b/>
      <w:i/>
      <w:sz w:val="28"/>
      <w:szCs w:val="28"/>
      <w:lang w:eastAsia="ru-RU"/>
    </w:rPr>
  </w:style>
  <w:style w:type="paragraph" w:customStyle="1" w:styleId="affe">
    <w:name w:val="НАИМЕНОВАНИЕ"/>
    <w:next w:val="a"/>
    <w:rsid w:val="00862662"/>
    <w:pPr>
      <w:keepNext/>
      <w:keepLines/>
      <w:spacing w:after="600" w:line="240" w:lineRule="auto"/>
      <w:jc w:val="center"/>
    </w:pPr>
    <w:rPr>
      <w:rFonts w:ascii="Times New Roman" w:eastAsia="Times New Roman" w:hAnsi="Times New Roman" w:cs="Times New Roman"/>
      <w:b/>
      <w:sz w:val="28"/>
      <w:szCs w:val="28"/>
      <w:lang w:eastAsia="ru-RU"/>
    </w:rPr>
  </w:style>
  <w:style w:type="paragraph" w:customStyle="1" w:styleId="afff">
    <w:name w:val="СПИСОК"/>
    <w:rsid w:val="00862662"/>
    <w:pPr>
      <w:tabs>
        <w:tab w:val="num" w:pos="1021"/>
      </w:tabs>
      <w:spacing w:after="0" w:line="240" w:lineRule="auto"/>
      <w:ind w:left="1021" w:hanging="312"/>
      <w:jc w:val="both"/>
    </w:pPr>
    <w:rPr>
      <w:rFonts w:ascii="Times New Roman" w:eastAsia="Times New Roman" w:hAnsi="Times New Roman" w:cs="Times New Roman"/>
      <w:sz w:val="28"/>
      <w:szCs w:val="28"/>
      <w:lang w:eastAsia="ru-RU"/>
    </w:rPr>
  </w:style>
  <w:style w:type="paragraph" w:customStyle="1" w:styleId="22">
    <w:name w:val="СПИСОК 2"/>
    <w:rsid w:val="00862662"/>
    <w:pPr>
      <w:tabs>
        <w:tab w:val="num" w:pos="1247"/>
      </w:tabs>
      <w:spacing w:after="0" w:line="240" w:lineRule="auto"/>
      <w:ind w:left="1247" w:hanging="226"/>
      <w:jc w:val="both"/>
    </w:pPr>
    <w:rPr>
      <w:rFonts w:ascii="Times New Roman" w:eastAsia="Times New Roman" w:hAnsi="Times New Roman" w:cs="Times New Roman"/>
      <w:sz w:val="28"/>
      <w:szCs w:val="28"/>
      <w:lang w:eastAsia="ru-RU"/>
    </w:rPr>
  </w:style>
  <w:style w:type="paragraph" w:customStyle="1" w:styleId="afff0">
    <w:name w:val="ТЕКСТ"/>
    <w:rsid w:val="00862662"/>
    <w:pPr>
      <w:spacing w:after="0" w:line="240" w:lineRule="auto"/>
      <w:ind w:firstLine="709"/>
      <w:jc w:val="both"/>
    </w:pPr>
    <w:rPr>
      <w:rFonts w:ascii="Times New Roman" w:eastAsia="Times New Roman" w:hAnsi="Times New Roman" w:cs="Times New Roman"/>
      <w:sz w:val="28"/>
      <w:szCs w:val="28"/>
      <w:lang w:eastAsia="ru-RU"/>
    </w:rPr>
  </w:style>
  <w:style w:type="paragraph" w:styleId="23">
    <w:name w:val="Body Text Indent 2"/>
    <w:basedOn w:val="a"/>
    <w:link w:val="24"/>
    <w:rsid w:val="00862662"/>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862662"/>
    <w:rPr>
      <w:rFonts w:ascii="Times New Roman" w:eastAsia="Times New Roman" w:hAnsi="Times New Roman" w:cs="Times New Roman"/>
      <w:sz w:val="24"/>
      <w:szCs w:val="24"/>
      <w:lang w:eastAsia="ru-RU"/>
    </w:rPr>
  </w:style>
  <w:style w:type="paragraph" w:customStyle="1" w:styleId="afff1">
    <w:name w:val="Знак Знак Знак Знак Знак Знак Знак"/>
    <w:basedOn w:val="a"/>
    <w:rsid w:val="0086266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Основной текст.Основной текст Знак"/>
    <w:basedOn w:val="a"/>
    <w:rsid w:val="00862662"/>
    <w:pPr>
      <w:spacing w:after="0" w:line="240" w:lineRule="auto"/>
      <w:jc w:val="both"/>
    </w:pPr>
    <w:rPr>
      <w:rFonts w:ascii="Times New Roman" w:eastAsia="Times New Roman" w:hAnsi="Times New Roman" w:cs="Times New Roman"/>
      <w:sz w:val="28"/>
      <w:szCs w:val="20"/>
      <w:lang w:eastAsia="ru-RU"/>
    </w:rPr>
  </w:style>
  <w:style w:type="paragraph" w:customStyle="1" w:styleId="ConsNonformat">
    <w:name w:val="ConsNonformat"/>
    <w:rsid w:val="00862662"/>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ff3">
    <w:name w:val="*ВЫВОДЫ*"/>
    <w:next w:val="a"/>
    <w:qFormat/>
    <w:rsid w:val="00862662"/>
    <w:pPr>
      <w:keepNext/>
      <w:keepLines/>
      <w:suppressAutoHyphens/>
      <w:spacing w:before="480" w:after="120" w:line="240" w:lineRule="auto"/>
      <w:ind w:firstLine="709"/>
      <w:contextualSpacing/>
    </w:pPr>
    <w:rPr>
      <w:rFonts w:ascii="Book Antiqua" w:eastAsia="Calibri" w:hAnsi="Book Antiqua" w:cs="Times New Roman"/>
      <w:b/>
      <w:i/>
      <w:sz w:val="32"/>
    </w:rPr>
  </w:style>
  <w:style w:type="paragraph" w:customStyle="1" w:styleId="afff4">
    <w:name w:val="*ПОДПИСЬ*"/>
    <w:next w:val="a"/>
    <w:qFormat/>
    <w:rsid w:val="00862662"/>
    <w:pPr>
      <w:keepLines/>
      <w:tabs>
        <w:tab w:val="right" w:pos="10206"/>
      </w:tabs>
      <w:suppressAutoHyphens/>
      <w:spacing w:before="1440" w:after="0" w:line="240" w:lineRule="auto"/>
      <w:contextualSpacing/>
    </w:pPr>
    <w:rPr>
      <w:rFonts w:ascii="Times New Roman" w:eastAsia="Calibri" w:hAnsi="Times New Roman" w:cs="Times New Roman"/>
      <w:sz w:val="28"/>
    </w:rPr>
  </w:style>
  <w:style w:type="paragraph" w:customStyle="1" w:styleId="958556">
    <w:name w:val="Стиль 95 пт Серый 85% Перед:  5 пт После:  6 пт"/>
    <w:basedOn w:val="a"/>
    <w:rsid w:val="00862662"/>
    <w:pPr>
      <w:spacing w:before="100" w:after="120" w:line="240" w:lineRule="auto"/>
    </w:pPr>
    <w:rPr>
      <w:rFonts w:ascii="Times New Roman" w:eastAsia="Times New Roman" w:hAnsi="Times New Roman" w:cs="Times New Roman"/>
      <w:color w:val="262626"/>
      <w:szCs w:val="20"/>
      <w:lang w:eastAsia="ru-RU"/>
    </w:rPr>
  </w:style>
  <w:style w:type="character" w:customStyle="1" w:styleId="FontStyle15">
    <w:name w:val="Font Style15"/>
    <w:rsid w:val="00862662"/>
    <w:rPr>
      <w:rFonts w:ascii="Times New Roman" w:hAnsi="Times New Roman" w:cs="Times New Roman" w:hint="default"/>
      <w:sz w:val="24"/>
      <w:szCs w:val="24"/>
    </w:rPr>
  </w:style>
  <w:style w:type="paragraph" w:customStyle="1" w:styleId="ConsPlusCell">
    <w:name w:val="ConsPlusCell"/>
    <w:rsid w:val="00862662"/>
    <w:pPr>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fff5">
    <w:name w:val="Текст примечания Знак"/>
    <w:link w:val="afff6"/>
    <w:uiPriority w:val="99"/>
    <w:rsid w:val="00862662"/>
    <w:rPr>
      <w:rFonts w:ascii="Times New Roman" w:eastAsia="Times New Roman" w:hAnsi="Times New Roman" w:cs="Times New Roman"/>
      <w:sz w:val="20"/>
      <w:szCs w:val="20"/>
      <w:lang w:eastAsia="ru-RU"/>
    </w:rPr>
  </w:style>
  <w:style w:type="paragraph" w:styleId="afff6">
    <w:name w:val="annotation text"/>
    <w:basedOn w:val="a"/>
    <w:link w:val="afff5"/>
    <w:uiPriority w:val="99"/>
    <w:unhideWhenUsed/>
    <w:rsid w:val="00862662"/>
    <w:pPr>
      <w:spacing w:after="0" w:line="240" w:lineRule="auto"/>
    </w:pPr>
    <w:rPr>
      <w:rFonts w:ascii="Times New Roman" w:eastAsia="Times New Roman" w:hAnsi="Times New Roman" w:cs="Times New Roman"/>
      <w:sz w:val="20"/>
      <w:szCs w:val="20"/>
      <w:lang w:eastAsia="ru-RU"/>
    </w:rPr>
  </w:style>
  <w:style w:type="character" w:customStyle="1" w:styleId="16">
    <w:name w:val="Текст примечания Знак1"/>
    <w:basedOn w:val="a0"/>
    <w:rsid w:val="00862662"/>
    <w:rPr>
      <w:sz w:val="20"/>
      <w:szCs w:val="20"/>
    </w:rPr>
  </w:style>
  <w:style w:type="character" w:customStyle="1" w:styleId="afff7">
    <w:name w:val="Тема примечания Знак"/>
    <w:link w:val="afff8"/>
    <w:rsid w:val="00862662"/>
    <w:rPr>
      <w:rFonts w:ascii="Times New Roman" w:eastAsia="Times New Roman" w:hAnsi="Times New Roman" w:cs="Times New Roman"/>
      <w:b/>
      <w:bCs/>
      <w:sz w:val="20"/>
      <w:szCs w:val="20"/>
      <w:lang w:eastAsia="ru-RU"/>
    </w:rPr>
  </w:style>
  <w:style w:type="paragraph" w:styleId="afff8">
    <w:name w:val="annotation subject"/>
    <w:basedOn w:val="afff6"/>
    <w:next w:val="afff6"/>
    <w:link w:val="afff7"/>
    <w:unhideWhenUsed/>
    <w:rsid w:val="00862662"/>
    <w:rPr>
      <w:b/>
      <w:bCs/>
    </w:rPr>
  </w:style>
  <w:style w:type="character" w:customStyle="1" w:styleId="17">
    <w:name w:val="Тема примечания Знак1"/>
    <w:basedOn w:val="16"/>
    <w:rsid w:val="00862662"/>
    <w:rPr>
      <w:b/>
      <w:bCs/>
      <w:sz w:val="20"/>
      <w:szCs w:val="20"/>
    </w:rPr>
  </w:style>
  <w:style w:type="paragraph" w:customStyle="1" w:styleId="afff9">
    <w:name w:val="Документ"/>
    <w:basedOn w:val="a"/>
    <w:link w:val="afffa"/>
    <w:rsid w:val="00862662"/>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fa">
    <w:name w:val="Документ Знак"/>
    <w:link w:val="afff9"/>
    <w:rsid w:val="00862662"/>
    <w:rPr>
      <w:rFonts w:ascii="Times New Roman" w:eastAsia="Times New Roman" w:hAnsi="Times New Roman" w:cs="Times New Roman"/>
      <w:sz w:val="28"/>
      <w:szCs w:val="20"/>
      <w:lang w:eastAsia="ru-RU"/>
    </w:rPr>
  </w:style>
  <w:style w:type="character" w:customStyle="1" w:styleId="9585">
    <w:name w:val="Стиль 95 пт Серый 85%"/>
    <w:rsid w:val="00862662"/>
    <w:rPr>
      <w:color w:val="262626"/>
      <w:sz w:val="22"/>
    </w:rPr>
  </w:style>
  <w:style w:type="paragraph" w:customStyle="1" w:styleId="afffb">
    <w:name w:val="*АБЗАЦ.БЕЗ ОТСТУПОВ"/>
    <w:link w:val="afffc"/>
    <w:qFormat/>
    <w:rsid w:val="00862662"/>
    <w:pPr>
      <w:spacing w:after="0" w:line="240" w:lineRule="auto"/>
      <w:ind w:firstLine="709"/>
      <w:jc w:val="both"/>
    </w:pPr>
    <w:rPr>
      <w:rFonts w:ascii="Times New Roman" w:eastAsia="Calibri" w:hAnsi="Times New Roman" w:cs="Times New Roman"/>
      <w:sz w:val="28"/>
      <w:lang w:eastAsia="ru-RU"/>
    </w:rPr>
  </w:style>
  <w:style w:type="character" w:customStyle="1" w:styleId="afffc">
    <w:name w:val="*АБЗАЦ.БЕЗ ОТСТУПОВ Знак"/>
    <w:link w:val="afffb"/>
    <w:rsid w:val="00862662"/>
    <w:rPr>
      <w:rFonts w:ascii="Times New Roman" w:eastAsia="Calibri" w:hAnsi="Times New Roman" w:cs="Times New Roman"/>
      <w:sz w:val="28"/>
      <w:lang w:eastAsia="ru-RU"/>
    </w:rPr>
  </w:style>
  <w:style w:type="character" w:customStyle="1" w:styleId="18">
    <w:name w:val="Без интервала Знак1"/>
    <w:locked/>
    <w:rsid w:val="00862662"/>
    <w:rPr>
      <w:rFonts w:cs="Times New Roman"/>
      <w:sz w:val="22"/>
      <w:szCs w:val="22"/>
      <w:lang w:val="ru-RU" w:eastAsia="en-US" w:bidi="ar-SA"/>
    </w:rPr>
  </w:style>
  <w:style w:type="paragraph" w:customStyle="1" w:styleId="19">
    <w:name w:val="Без интервала1"/>
    <w:rsid w:val="00862662"/>
    <w:pPr>
      <w:spacing w:after="0" w:line="240" w:lineRule="auto"/>
    </w:pPr>
    <w:rPr>
      <w:rFonts w:ascii="Calibri" w:eastAsia="Times New Roman" w:hAnsi="Calibri" w:cs="Times New Roman"/>
    </w:rPr>
  </w:style>
  <w:style w:type="character" w:customStyle="1" w:styleId="afffd">
    <w:name w:val="Шапка Знак"/>
    <w:link w:val="afffe"/>
    <w:rsid w:val="00862662"/>
    <w:rPr>
      <w:rFonts w:ascii="Arial" w:eastAsia="Times New Roman" w:hAnsi="Arial" w:cs="Times New Roman"/>
      <w:i/>
      <w:szCs w:val="20"/>
      <w:lang w:eastAsia="ru-RU"/>
    </w:rPr>
  </w:style>
  <w:style w:type="paragraph" w:styleId="afffe">
    <w:name w:val="Message Header"/>
    <w:basedOn w:val="a"/>
    <w:link w:val="afffd"/>
    <w:rsid w:val="00862662"/>
    <w:pPr>
      <w:spacing w:before="40" w:after="40" w:line="204" w:lineRule="auto"/>
      <w:jc w:val="center"/>
    </w:pPr>
    <w:rPr>
      <w:rFonts w:ascii="Arial" w:eastAsia="Times New Roman" w:hAnsi="Arial" w:cs="Times New Roman"/>
      <w:i/>
      <w:szCs w:val="20"/>
      <w:lang w:eastAsia="ru-RU"/>
    </w:rPr>
  </w:style>
  <w:style w:type="character" w:customStyle="1" w:styleId="1a">
    <w:name w:val="Шапка Знак1"/>
    <w:basedOn w:val="a0"/>
    <w:rsid w:val="00862662"/>
    <w:rPr>
      <w:rFonts w:asciiTheme="majorHAnsi" w:eastAsiaTheme="majorEastAsia" w:hAnsiTheme="majorHAnsi" w:cstheme="majorBidi"/>
      <w:sz w:val="24"/>
      <w:szCs w:val="24"/>
      <w:shd w:val="pct20" w:color="auto" w:fill="auto"/>
    </w:rPr>
  </w:style>
  <w:style w:type="character" w:styleId="affff">
    <w:name w:val="Strong"/>
    <w:qFormat/>
    <w:rsid w:val="00862662"/>
    <w:rPr>
      <w:b/>
      <w:bCs/>
    </w:rPr>
  </w:style>
  <w:style w:type="paragraph" w:customStyle="1" w:styleId="NormalANX">
    <w:name w:val="NormalANX"/>
    <w:basedOn w:val="a"/>
    <w:rsid w:val="00862662"/>
    <w:pPr>
      <w:spacing w:before="240" w:after="240" w:line="360" w:lineRule="auto"/>
      <w:ind w:firstLine="720"/>
      <w:jc w:val="both"/>
    </w:pPr>
    <w:rPr>
      <w:rFonts w:ascii="Times New Roman" w:eastAsia="Times New Roman" w:hAnsi="Times New Roman" w:cs="Times New Roman"/>
      <w:sz w:val="28"/>
      <w:szCs w:val="20"/>
      <w:lang w:eastAsia="ru-RU"/>
    </w:rPr>
  </w:style>
  <w:style w:type="character" w:customStyle="1" w:styleId="MessageHeaderChar">
    <w:name w:val="Message Header Char"/>
    <w:locked/>
    <w:rsid w:val="00862662"/>
    <w:rPr>
      <w:rFonts w:ascii="Arial" w:hAnsi="Arial"/>
      <w:i/>
      <w:sz w:val="20"/>
      <w:lang w:eastAsia="ru-RU"/>
    </w:rPr>
  </w:style>
  <w:style w:type="paragraph" w:customStyle="1" w:styleId="Default">
    <w:name w:val="Default"/>
    <w:rsid w:val="008626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ff0">
    <w:name w:val="Схема документа Знак"/>
    <w:basedOn w:val="a0"/>
    <w:link w:val="affff1"/>
    <w:semiHidden/>
    <w:rsid w:val="00862662"/>
    <w:rPr>
      <w:rFonts w:ascii="Tahoma" w:eastAsia="Calibri" w:hAnsi="Tahoma" w:cs="Tahoma"/>
      <w:sz w:val="16"/>
      <w:szCs w:val="16"/>
    </w:rPr>
  </w:style>
  <w:style w:type="paragraph" w:styleId="affff1">
    <w:name w:val="Document Map"/>
    <w:basedOn w:val="a"/>
    <w:link w:val="affff0"/>
    <w:semiHidden/>
    <w:unhideWhenUsed/>
    <w:rsid w:val="00862662"/>
    <w:pPr>
      <w:spacing w:after="0" w:line="240" w:lineRule="auto"/>
    </w:pPr>
    <w:rPr>
      <w:rFonts w:ascii="Tahoma" w:eastAsia="Calibri" w:hAnsi="Tahoma" w:cs="Tahoma"/>
      <w:sz w:val="16"/>
      <w:szCs w:val="16"/>
    </w:rPr>
  </w:style>
  <w:style w:type="character" w:customStyle="1" w:styleId="1b">
    <w:name w:val="Схема документа Знак1"/>
    <w:basedOn w:val="a0"/>
    <w:rsid w:val="00862662"/>
    <w:rPr>
      <w:rFonts w:ascii="Segoe UI" w:hAnsi="Segoe UI" w:cs="Segoe UI"/>
      <w:sz w:val="16"/>
      <w:szCs w:val="16"/>
    </w:rPr>
  </w:style>
  <w:style w:type="character" w:customStyle="1" w:styleId="WW8Num1z0">
    <w:name w:val="WW8Num1z0"/>
    <w:rsid w:val="00862662"/>
    <w:rPr>
      <w:rFonts w:ascii="Symbol" w:hAnsi="Symbol" w:cs="Symbol"/>
    </w:rPr>
  </w:style>
  <w:style w:type="character" w:customStyle="1" w:styleId="WW8Num1z1">
    <w:name w:val="WW8Num1z1"/>
    <w:rsid w:val="00862662"/>
    <w:rPr>
      <w:rFonts w:ascii="Courier New" w:hAnsi="Courier New" w:cs="Courier New"/>
    </w:rPr>
  </w:style>
  <w:style w:type="character" w:customStyle="1" w:styleId="WW8Num1z2">
    <w:name w:val="WW8Num1z2"/>
    <w:rsid w:val="00862662"/>
    <w:rPr>
      <w:rFonts w:ascii="Wingdings" w:hAnsi="Wingdings" w:cs="Wingdings"/>
    </w:rPr>
  </w:style>
  <w:style w:type="character" w:customStyle="1" w:styleId="WW8Num2z0">
    <w:name w:val="WW8Num2z0"/>
    <w:rsid w:val="00862662"/>
    <w:rPr>
      <w:rFonts w:ascii="Symbol" w:hAnsi="Symbol" w:cs="Symbol"/>
    </w:rPr>
  </w:style>
  <w:style w:type="character" w:customStyle="1" w:styleId="WW8Num2z1">
    <w:name w:val="WW8Num2z1"/>
    <w:rsid w:val="00862662"/>
    <w:rPr>
      <w:rFonts w:ascii="Courier New" w:hAnsi="Courier New" w:cs="Courier New"/>
    </w:rPr>
  </w:style>
  <w:style w:type="character" w:customStyle="1" w:styleId="WW8Num2z2">
    <w:name w:val="WW8Num2z2"/>
    <w:rsid w:val="00862662"/>
    <w:rPr>
      <w:rFonts w:ascii="Wingdings" w:hAnsi="Wingdings" w:cs="Wingdings"/>
    </w:rPr>
  </w:style>
  <w:style w:type="character" w:customStyle="1" w:styleId="WW8Num3z0">
    <w:name w:val="WW8Num3z0"/>
    <w:rsid w:val="00862662"/>
    <w:rPr>
      <w:rFonts w:ascii="Times New Roman" w:eastAsia="Times New Roman" w:hAnsi="Times New Roman" w:cs="Times New Roman"/>
    </w:rPr>
  </w:style>
  <w:style w:type="character" w:customStyle="1" w:styleId="WW8Num3z1">
    <w:name w:val="WW8Num3z1"/>
    <w:rsid w:val="00862662"/>
    <w:rPr>
      <w:rFonts w:ascii="Courier New" w:hAnsi="Courier New" w:cs="Courier New"/>
    </w:rPr>
  </w:style>
  <w:style w:type="character" w:customStyle="1" w:styleId="WW8Num3z2">
    <w:name w:val="WW8Num3z2"/>
    <w:rsid w:val="00862662"/>
    <w:rPr>
      <w:rFonts w:ascii="Wingdings" w:hAnsi="Wingdings" w:cs="Wingdings"/>
    </w:rPr>
  </w:style>
  <w:style w:type="character" w:customStyle="1" w:styleId="WW8Num3z3">
    <w:name w:val="WW8Num3z3"/>
    <w:rsid w:val="00862662"/>
    <w:rPr>
      <w:rFonts w:ascii="Symbol" w:hAnsi="Symbol" w:cs="Symbol"/>
    </w:rPr>
  </w:style>
  <w:style w:type="character" w:customStyle="1" w:styleId="WW8Num4z0">
    <w:name w:val="WW8Num4z0"/>
    <w:rsid w:val="00862662"/>
    <w:rPr>
      <w:rFonts w:ascii="Symbol" w:hAnsi="Symbol" w:cs="Symbol"/>
    </w:rPr>
  </w:style>
  <w:style w:type="character" w:customStyle="1" w:styleId="WW8Num5z0">
    <w:name w:val="WW8Num5z0"/>
    <w:rsid w:val="00862662"/>
    <w:rPr>
      <w:rFonts w:ascii="Symbol" w:hAnsi="Symbol" w:cs="Symbol"/>
    </w:rPr>
  </w:style>
  <w:style w:type="character" w:customStyle="1" w:styleId="WW8Num5z1">
    <w:name w:val="WW8Num5z1"/>
    <w:rsid w:val="00862662"/>
    <w:rPr>
      <w:rFonts w:ascii="Courier New" w:hAnsi="Courier New" w:cs="Courier New"/>
    </w:rPr>
  </w:style>
  <w:style w:type="character" w:customStyle="1" w:styleId="WW8Num5z2">
    <w:name w:val="WW8Num5z2"/>
    <w:rsid w:val="00862662"/>
    <w:rPr>
      <w:rFonts w:ascii="Wingdings" w:hAnsi="Wingdings" w:cs="Wingdings"/>
    </w:rPr>
  </w:style>
  <w:style w:type="character" w:customStyle="1" w:styleId="WW8Num6z0">
    <w:name w:val="WW8Num6z0"/>
    <w:rsid w:val="00862662"/>
    <w:rPr>
      <w:rFonts w:ascii="Symbol" w:hAnsi="Symbol" w:cs="Symbol"/>
    </w:rPr>
  </w:style>
  <w:style w:type="character" w:customStyle="1" w:styleId="WW8Num6z1">
    <w:name w:val="WW8Num6z1"/>
    <w:rsid w:val="00862662"/>
    <w:rPr>
      <w:rFonts w:ascii="Courier New" w:hAnsi="Courier New" w:cs="Courier New"/>
    </w:rPr>
  </w:style>
  <w:style w:type="character" w:customStyle="1" w:styleId="WW8Num6z2">
    <w:name w:val="WW8Num6z2"/>
    <w:rsid w:val="00862662"/>
    <w:rPr>
      <w:rFonts w:ascii="Wingdings" w:hAnsi="Wingdings" w:cs="Wingdings"/>
    </w:rPr>
  </w:style>
  <w:style w:type="character" w:customStyle="1" w:styleId="1c">
    <w:name w:val="Основной шрифт абзаца1"/>
    <w:rsid w:val="00862662"/>
  </w:style>
  <w:style w:type="paragraph" w:customStyle="1" w:styleId="affff2">
    <w:name w:val="Заголовок"/>
    <w:basedOn w:val="a"/>
    <w:next w:val="aff7"/>
    <w:rsid w:val="00862662"/>
    <w:pPr>
      <w:keepNext/>
      <w:suppressAutoHyphens/>
      <w:spacing w:before="240" w:after="120" w:line="240" w:lineRule="auto"/>
    </w:pPr>
    <w:rPr>
      <w:rFonts w:ascii="Arial" w:eastAsia="Microsoft YaHei" w:hAnsi="Arial" w:cs="Mangal"/>
      <w:sz w:val="28"/>
      <w:szCs w:val="28"/>
      <w:lang w:eastAsia="ar-SA"/>
    </w:rPr>
  </w:style>
  <w:style w:type="paragraph" w:styleId="affff3">
    <w:name w:val="List"/>
    <w:basedOn w:val="aff7"/>
    <w:rsid w:val="00862662"/>
    <w:pPr>
      <w:suppressAutoHyphens/>
    </w:pPr>
    <w:rPr>
      <w:rFonts w:cs="Mangal"/>
      <w:sz w:val="20"/>
      <w:szCs w:val="20"/>
      <w:lang w:eastAsia="ar-SA"/>
    </w:rPr>
  </w:style>
  <w:style w:type="paragraph" w:customStyle="1" w:styleId="1d">
    <w:name w:val="Название1"/>
    <w:basedOn w:val="a"/>
    <w:rsid w:val="0086266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
    <w:rsid w:val="0086266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4">
    <w:name w:val="Содержимое таблицы"/>
    <w:basedOn w:val="a"/>
    <w:rsid w:val="00862662"/>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5">
    <w:name w:val="Заголовок таблицы"/>
    <w:basedOn w:val="affff4"/>
    <w:rsid w:val="00862662"/>
    <w:pPr>
      <w:jc w:val="center"/>
    </w:pPr>
    <w:rPr>
      <w:b/>
      <w:bCs/>
    </w:rPr>
  </w:style>
  <w:style w:type="character" w:customStyle="1" w:styleId="25">
    <w:name w:val="Основной текст 2 Знак"/>
    <w:basedOn w:val="a0"/>
    <w:link w:val="26"/>
    <w:semiHidden/>
    <w:rsid w:val="00862662"/>
    <w:rPr>
      <w:rFonts w:ascii="Times New Roman" w:eastAsia="Times New Roman" w:hAnsi="Times New Roman" w:cs="Times New Roman"/>
      <w:sz w:val="20"/>
      <w:szCs w:val="20"/>
      <w:lang w:eastAsia="ar-SA"/>
    </w:rPr>
  </w:style>
  <w:style w:type="paragraph" w:styleId="26">
    <w:name w:val="Body Text 2"/>
    <w:basedOn w:val="a"/>
    <w:link w:val="25"/>
    <w:semiHidden/>
    <w:unhideWhenUsed/>
    <w:rsid w:val="00862662"/>
    <w:pPr>
      <w:suppressAutoHyphens/>
      <w:spacing w:after="120" w:line="480" w:lineRule="auto"/>
    </w:pPr>
    <w:rPr>
      <w:rFonts w:ascii="Times New Roman" w:eastAsia="Times New Roman" w:hAnsi="Times New Roman" w:cs="Times New Roman"/>
      <w:sz w:val="20"/>
      <w:szCs w:val="20"/>
      <w:lang w:eastAsia="ar-SA"/>
    </w:rPr>
  </w:style>
  <w:style w:type="character" w:customStyle="1" w:styleId="210">
    <w:name w:val="Основной текст 2 Знак1"/>
    <w:basedOn w:val="a0"/>
    <w:rsid w:val="00862662"/>
  </w:style>
  <w:style w:type="paragraph" w:customStyle="1" w:styleId="Style1">
    <w:name w:val="Style1"/>
    <w:basedOn w:val="a"/>
    <w:rsid w:val="00862662"/>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character" w:customStyle="1" w:styleId="FontStyle13">
    <w:name w:val="Font Style13"/>
    <w:rsid w:val="00862662"/>
    <w:rPr>
      <w:rFonts w:ascii="Times New Roman" w:hAnsi="Times New Roman" w:cs="Times New Roman"/>
      <w:sz w:val="26"/>
      <w:szCs w:val="26"/>
    </w:rPr>
  </w:style>
  <w:style w:type="paragraph" w:customStyle="1" w:styleId="-">
    <w:name w:val="Наименование док-та"/>
    <w:basedOn w:val="a"/>
    <w:rsid w:val="00862662"/>
    <w:pPr>
      <w:spacing w:after="0" w:line="240" w:lineRule="auto"/>
    </w:pPr>
    <w:rPr>
      <w:rFonts w:ascii="Times New Roman" w:eastAsia="Times New Roman" w:hAnsi="Times New Roman" w:cs="Times New Roman"/>
      <w:sz w:val="28"/>
      <w:szCs w:val="20"/>
      <w:lang w:eastAsia="ru-RU"/>
    </w:rPr>
  </w:style>
  <w:style w:type="paragraph" w:customStyle="1" w:styleId="ConsPlusDocList">
    <w:name w:val="ConsPlusDocList"/>
    <w:rsid w:val="00862662"/>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fff6">
    <w:name w:val="endnote reference"/>
    <w:uiPriority w:val="99"/>
    <w:semiHidden/>
    <w:unhideWhenUsed/>
    <w:rsid w:val="00862662"/>
    <w:rPr>
      <w:vertAlign w:val="superscript"/>
    </w:rPr>
  </w:style>
  <w:style w:type="table" w:customStyle="1" w:styleId="1f">
    <w:name w:val="Сетка таблицы1"/>
    <w:basedOn w:val="a1"/>
    <w:next w:val="af2"/>
    <w:uiPriority w:val="39"/>
    <w:rsid w:val="0086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862662"/>
    <w:pPr>
      <w:autoSpaceDE w:val="0"/>
      <w:autoSpaceDN w:val="0"/>
      <w:adjustRightInd w:val="0"/>
      <w:spacing w:after="0" w:line="240" w:lineRule="auto"/>
    </w:pPr>
    <w:rPr>
      <w:rFonts w:ascii="Tahoma" w:hAnsi="Tahoma" w:cs="Tahoma"/>
      <w:sz w:val="26"/>
      <w:szCs w:val="26"/>
    </w:rPr>
  </w:style>
  <w:style w:type="character" w:styleId="affff7">
    <w:name w:val="annotation reference"/>
    <w:basedOn w:val="a0"/>
    <w:uiPriority w:val="99"/>
    <w:semiHidden/>
    <w:unhideWhenUsed/>
    <w:rsid w:val="00862662"/>
    <w:rPr>
      <w:sz w:val="16"/>
      <w:szCs w:val="16"/>
    </w:rPr>
  </w:style>
  <w:style w:type="numbering" w:customStyle="1" w:styleId="110">
    <w:name w:val="Нет списка11"/>
    <w:next w:val="a2"/>
    <w:uiPriority w:val="99"/>
    <w:semiHidden/>
    <w:unhideWhenUsed/>
    <w:rsid w:val="00862662"/>
  </w:style>
  <w:style w:type="table" w:customStyle="1" w:styleId="27">
    <w:name w:val="Сетка таблицы2"/>
    <w:basedOn w:val="a1"/>
    <w:next w:val="af2"/>
    <w:uiPriority w:val="39"/>
    <w:rsid w:val="008626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Hyperlink"/>
    <w:unhideWhenUsed/>
    <w:rsid w:val="00862662"/>
    <w:rPr>
      <w:color w:val="0000FF"/>
      <w:u w:val="single"/>
    </w:rPr>
  </w:style>
  <w:style w:type="paragraph" w:customStyle="1" w:styleId="paragraph">
    <w:name w:val="paragraph"/>
    <w:basedOn w:val="a"/>
    <w:rsid w:val="00862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862662"/>
  </w:style>
  <w:style w:type="character" w:customStyle="1" w:styleId="eop">
    <w:name w:val="eop"/>
    <w:rsid w:val="00862662"/>
  </w:style>
  <w:style w:type="table" w:customStyle="1" w:styleId="33">
    <w:name w:val="Сетка таблицы3"/>
    <w:basedOn w:val="a1"/>
    <w:next w:val="af2"/>
    <w:uiPriority w:val="39"/>
    <w:rsid w:val="0086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Placeholder Text"/>
    <w:basedOn w:val="a0"/>
    <w:uiPriority w:val="99"/>
    <w:semiHidden/>
    <w:rsid w:val="00862662"/>
    <w:rPr>
      <w:color w:val="808080"/>
    </w:rPr>
  </w:style>
  <w:style w:type="numbering" w:customStyle="1" w:styleId="28">
    <w:name w:val="Нет списка2"/>
    <w:next w:val="a2"/>
    <w:uiPriority w:val="99"/>
    <w:semiHidden/>
    <w:unhideWhenUsed/>
    <w:rsid w:val="00862662"/>
  </w:style>
  <w:style w:type="character" w:customStyle="1" w:styleId="WW8Num1z3">
    <w:name w:val="WW8Num1z3"/>
    <w:rsid w:val="00862662"/>
  </w:style>
  <w:style w:type="character" w:customStyle="1" w:styleId="WW8Num1z4">
    <w:name w:val="WW8Num1z4"/>
    <w:rsid w:val="00862662"/>
  </w:style>
  <w:style w:type="character" w:customStyle="1" w:styleId="WW8Num1z5">
    <w:name w:val="WW8Num1z5"/>
    <w:rsid w:val="00862662"/>
  </w:style>
  <w:style w:type="character" w:customStyle="1" w:styleId="WW8Num1z6">
    <w:name w:val="WW8Num1z6"/>
    <w:rsid w:val="00862662"/>
  </w:style>
  <w:style w:type="character" w:customStyle="1" w:styleId="WW8Num1z7">
    <w:name w:val="WW8Num1z7"/>
    <w:rsid w:val="00862662"/>
  </w:style>
  <w:style w:type="character" w:customStyle="1" w:styleId="WW8Num1z8">
    <w:name w:val="WW8Num1z8"/>
    <w:rsid w:val="00862662"/>
  </w:style>
  <w:style w:type="character" w:customStyle="1" w:styleId="WW8Num4z1">
    <w:name w:val="WW8Num4z1"/>
    <w:rsid w:val="00862662"/>
  </w:style>
  <w:style w:type="character" w:customStyle="1" w:styleId="WW8Num4z2">
    <w:name w:val="WW8Num4z2"/>
    <w:rsid w:val="00862662"/>
  </w:style>
  <w:style w:type="character" w:customStyle="1" w:styleId="WW8Num4z3">
    <w:name w:val="WW8Num4z3"/>
    <w:rsid w:val="00862662"/>
  </w:style>
  <w:style w:type="character" w:customStyle="1" w:styleId="WW8Num4z4">
    <w:name w:val="WW8Num4z4"/>
    <w:rsid w:val="00862662"/>
  </w:style>
  <w:style w:type="character" w:customStyle="1" w:styleId="WW8Num4z5">
    <w:name w:val="WW8Num4z5"/>
    <w:rsid w:val="00862662"/>
  </w:style>
  <w:style w:type="character" w:customStyle="1" w:styleId="WW8Num4z6">
    <w:name w:val="WW8Num4z6"/>
    <w:rsid w:val="00862662"/>
  </w:style>
  <w:style w:type="character" w:customStyle="1" w:styleId="WW8Num4z7">
    <w:name w:val="WW8Num4z7"/>
    <w:rsid w:val="00862662"/>
  </w:style>
  <w:style w:type="character" w:customStyle="1" w:styleId="WW8Num4z8">
    <w:name w:val="WW8Num4z8"/>
    <w:rsid w:val="00862662"/>
  </w:style>
  <w:style w:type="character" w:customStyle="1" w:styleId="WW8Num5z3">
    <w:name w:val="WW8Num5z3"/>
    <w:rsid w:val="00862662"/>
  </w:style>
  <w:style w:type="character" w:customStyle="1" w:styleId="WW8Num5z4">
    <w:name w:val="WW8Num5z4"/>
    <w:rsid w:val="00862662"/>
  </w:style>
  <w:style w:type="character" w:customStyle="1" w:styleId="WW8Num5z5">
    <w:name w:val="WW8Num5z5"/>
    <w:rsid w:val="00862662"/>
  </w:style>
  <w:style w:type="character" w:customStyle="1" w:styleId="WW8Num5z6">
    <w:name w:val="WW8Num5z6"/>
    <w:rsid w:val="00862662"/>
  </w:style>
  <w:style w:type="character" w:customStyle="1" w:styleId="WW8Num5z7">
    <w:name w:val="WW8Num5z7"/>
    <w:rsid w:val="00862662"/>
  </w:style>
  <w:style w:type="character" w:customStyle="1" w:styleId="WW8Num5z8">
    <w:name w:val="WW8Num5z8"/>
    <w:rsid w:val="00862662"/>
  </w:style>
  <w:style w:type="character" w:customStyle="1" w:styleId="WW8Num7z0">
    <w:name w:val="WW8Num7z0"/>
    <w:rsid w:val="00862662"/>
    <w:rPr>
      <w:rFonts w:ascii="Symbol" w:hAnsi="Symbol" w:cs="Symbol" w:hint="default"/>
    </w:rPr>
  </w:style>
  <w:style w:type="character" w:customStyle="1" w:styleId="WW8Num7z1">
    <w:name w:val="WW8Num7z1"/>
    <w:rsid w:val="00862662"/>
    <w:rPr>
      <w:rFonts w:ascii="Courier New" w:hAnsi="Courier New" w:cs="Courier New" w:hint="default"/>
    </w:rPr>
  </w:style>
  <w:style w:type="character" w:customStyle="1" w:styleId="WW8Num7z2">
    <w:name w:val="WW8Num7z2"/>
    <w:rsid w:val="00862662"/>
    <w:rPr>
      <w:rFonts w:ascii="Wingdings" w:hAnsi="Wingdings" w:cs="Wingdings" w:hint="default"/>
    </w:rPr>
  </w:style>
  <w:style w:type="character" w:customStyle="1" w:styleId="WW8Num8z0">
    <w:name w:val="WW8Num8z0"/>
    <w:rsid w:val="00862662"/>
    <w:rPr>
      <w:rFonts w:ascii="Symbol" w:hAnsi="Symbol" w:cs="Symbol" w:hint="default"/>
    </w:rPr>
  </w:style>
  <w:style w:type="character" w:customStyle="1" w:styleId="WW8Num8z1">
    <w:name w:val="WW8Num8z1"/>
    <w:rsid w:val="00862662"/>
    <w:rPr>
      <w:rFonts w:ascii="Courier New" w:hAnsi="Courier New" w:cs="Courier New" w:hint="default"/>
    </w:rPr>
  </w:style>
  <w:style w:type="character" w:customStyle="1" w:styleId="WW8Num8z2">
    <w:name w:val="WW8Num8z2"/>
    <w:rsid w:val="00862662"/>
    <w:rPr>
      <w:rFonts w:ascii="Wingdings" w:hAnsi="Wingdings" w:cs="Wingdings" w:hint="default"/>
    </w:rPr>
  </w:style>
  <w:style w:type="character" w:customStyle="1" w:styleId="WW8Num9z0">
    <w:name w:val="WW8Num9z0"/>
    <w:rsid w:val="00862662"/>
    <w:rPr>
      <w:rFonts w:hint="default"/>
    </w:rPr>
  </w:style>
  <w:style w:type="character" w:customStyle="1" w:styleId="WW8Num9z1">
    <w:name w:val="WW8Num9z1"/>
    <w:rsid w:val="00862662"/>
  </w:style>
  <w:style w:type="character" w:customStyle="1" w:styleId="WW8Num9z2">
    <w:name w:val="WW8Num9z2"/>
    <w:rsid w:val="00862662"/>
  </w:style>
  <w:style w:type="character" w:customStyle="1" w:styleId="WW8Num9z3">
    <w:name w:val="WW8Num9z3"/>
    <w:rsid w:val="00862662"/>
  </w:style>
  <w:style w:type="character" w:customStyle="1" w:styleId="WW8Num9z4">
    <w:name w:val="WW8Num9z4"/>
    <w:rsid w:val="00862662"/>
  </w:style>
  <w:style w:type="character" w:customStyle="1" w:styleId="WW8Num9z5">
    <w:name w:val="WW8Num9z5"/>
    <w:rsid w:val="00862662"/>
  </w:style>
  <w:style w:type="character" w:customStyle="1" w:styleId="WW8Num9z6">
    <w:name w:val="WW8Num9z6"/>
    <w:rsid w:val="00862662"/>
  </w:style>
  <w:style w:type="character" w:customStyle="1" w:styleId="WW8Num9z7">
    <w:name w:val="WW8Num9z7"/>
    <w:rsid w:val="00862662"/>
  </w:style>
  <w:style w:type="character" w:customStyle="1" w:styleId="WW8Num9z8">
    <w:name w:val="WW8Num9z8"/>
    <w:rsid w:val="00862662"/>
  </w:style>
  <w:style w:type="character" w:customStyle="1" w:styleId="WW8Num10z0">
    <w:name w:val="WW8Num10z0"/>
    <w:rsid w:val="00862662"/>
    <w:rPr>
      <w:rFonts w:ascii="Symbol" w:hAnsi="Symbol" w:cs="Symbol" w:hint="default"/>
    </w:rPr>
  </w:style>
  <w:style w:type="character" w:customStyle="1" w:styleId="WW8Num10z1">
    <w:name w:val="WW8Num10z1"/>
    <w:rsid w:val="00862662"/>
    <w:rPr>
      <w:rFonts w:ascii="Courier New" w:hAnsi="Courier New" w:cs="Courier New" w:hint="default"/>
    </w:rPr>
  </w:style>
  <w:style w:type="character" w:customStyle="1" w:styleId="WW8Num10z2">
    <w:name w:val="WW8Num10z2"/>
    <w:rsid w:val="00862662"/>
    <w:rPr>
      <w:rFonts w:ascii="Wingdings" w:hAnsi="Wingdings" w:cs="Wingdings" w:hint="default"/>
    </w:rPr>
  </w:style>
  <w:style w:type="character" w:customStyle="1" w:styleId="WW8Num11z0">
    <w:name w:val="WW8Num11z0"/>
    <w:rsid w:val="00862662"/>
    <w:rPr>
      <w:rFonts w:ascii="Symbol" w:hAnsi="Symbol" w:cs="Symbol" w:hint="default"/>
    </w:rPr>
  </w:style>
  <w:style w:type="character" w:customStyle="1" w:styleId="WW8Num11z1">
    <w:name w:val="WW8Num11z1"/>
    <w:rsid w:val="00862662"/>
    <w:rPr>
      <w:rFonts w:ascii="Courier New" w:hAnsi="Courier New" w:cs="Courier New" w:hint="default"/>
    </w:rPr>
  </w:style>
  <w:style w:type="character" w:customStyle="1" w:styleId="WW8Num11z2">
    <w:name w:val="WW8Num11z2"/>
    <w:rsid w:val="00862662"/>
    <w:rPr>
      <w:rFonts w:ascii="Wingdings" w:hAnsi="Wingdings" w:cs="Wingdings" w:hint="default"/>
    </w:rPr>
  </w:style>
  <w:style w:type="character" w:customStyle="1" w:styleId="WW8Num12z0">
    <w:name w:val="WW8Num12z0"/>
    <w:rsid w:val="00862662"/>
    <w:rPr>
      <w:rFonts w:hint="default"/>
    </w:rPr>
  </w:style>
  <w:style w:type="character" w:customStyle="1" w:styleId="WW8Num12z1">
    <w:name w:val="WW8Num12z1"/>
    <w:rsid w:val="00862662"/>
  </w:style>
  <w:style w:type="character" w:customStyle="1" w:styleId="WW8Num12z2">
    <w:name w:val="WW8Num12z2"/>
    <w:rsid w:val="00862662"/>
  </w:style>
  <w:style w:type="character" w:customStyle="1" w:styleId="WW8Num12z3">
    <w:name w:val="WW8Num12z3"/>
    <w:rsid w:val="00862662"/>
  </w:style>
  <w:style w:type="character" w:customStyle="1" w:styleId="WW8Num12z4">
    <w:name w:val="WW8Num12z4"/>
    <w:rsid w:val="00862662"/>
  </w:style>
  <w:style w:type="character" w:customStyle="1" w:styleId="WW8Num12z5">
    <w:name w:val="WW8Num12z5"/>
    <w:rsid w:val="00862662"/>
  </w:style>
  <w:style w:type="character" w:customStyle="1" w:styleId="WW8Num12z6">
    <w:name w:val="WW8Num12z6"/>
    <w:rsid w:val="00862662"/>
  </w:style>
  <w:style w:type="character" w:customStyle="1" w:styleId="WW8Num12z7">
    <w:name w:val="WW8Num12z7"/>
    <w:rsid w:val="00862662"/>
  </w:style>
  <w:style w:type="character" w:customStyle="1" w:styleId="WW8Num12z8">
    <w:name w:val="WW8Num12z8"/>
    <w:rsid w:val="00862662"/>
  </w:style>
  <w:style w:type="character" w:customStyle="1" w:styleId="WW8Num13z0">
    <w:name w:val="WW8Num13z0"/>
    <w:rsid w:val="00862662"/>
    <w:rPr>
      <w:rFonts w:ascii="Wingdings" w:hAnsi="Wingdings" w:cs="Wingdings" w:hint="default"/>
    </w:rPr>
  </w:style>
  <w:style w:type="character" w:customStyle="1" w:styleId="WW8Num13z1">
    <w:name w:val="WW8Num13z1"/>
    <w:rsid w:val="00862662"/>
    <w:rPr>
      <w:rFonts w:ascii="Courier New" w:hAnsi="Courier New" w:cs="Courier New" w:hint="default"/>
    </w:rPr>
  </w:style>
  <w:style w:type="character" w:customStyle="1" w:styleId="WW8Num13z3">
    <w:name w:val="WW8Num13z3"/>
    <w:rsid w:val="00862662"/>
    <w:rPr>
      <w:rFonts w:ascii="Symbol" w:hAnsi="Symbol" w:cs="Symbol" w:hint="default"/>
    </w:rPr>
  </w:style>
  <w:style w:type="character" w:customStyle="1" w:styleId="WW8Num14z0">
    <w:name w:val="WW8Num14z0"/>
    <w:rsid w:val="00862662"/>
    <w:rPr>
      <w:rFonts w:ascii="Wingdings" w:hAnsi="Wingdings" w:cs="Wingdings" w:hint="default"/>
    </w:rPr>
  </w:style>
  <w:style w:type="character" w:customStyle="1" w:styleId="WW8Num14z1">
    <w:name w:val="WW8Num14z1"/>
    <w:rsid w:val="00862662"/>
    <w:rPr>
      <w:rFonts w:ascii="Courier New" w:hAnsi="Courier New" w:cs="Courier New" w:hint="default"/>
    </w:rPr>
  </w:style>
  <w:style w:type="character" w:customStyle="1" w:styleId="WW8Num14z3">
    <w:name w:val="WW8Num14z3"/>
    <w:rsid w:val="00862662"/>
    <w:rPr>
      <w:rFonts w:ascii="Symbol" w:hAnsi="Symbol" w:cs="Symbol" w:hint="default"/>
    </w:rPr>
  </w:style>
  <w:style w:type="character" w:customStyle="1" w:styleId="WW8Num15z0">
    <w:name w:val="WW8Num15z0"/>
    <w:rsid w:val="00862662"/>
    <w:rPr>
      <w:rFonts w:ascii="Wingdings" w:hAnsi="Wingdings" w:cs="Wingdings" w:hint="default"/>
    </w:rPr>
  </w:style>
  <w:style w:type="character" w:customStyle="1" w:styleId="WW8Num15z1">
    <w:name w:val="WW8Num15z1"/>
    <w:rsid w:val="00862662"/>
    <w:rPr>
      <w:rFonts w:ascii="Courier New" w:hAnsi="Courier New" w:cs="Courier New" w:hint="default"/>
    </w:rPr>
  </w:style>
  <w:style w:type="character" w:customStyle="1" w:styleId="WW8Num15z3">
    <w:name w:val="WW8Num15z3"/>
    <w:rsid w:val="00862662"/>
    <w:rPr>
      <w:rFonts w:ascii="Symbol" w:hAnsi="Symbol" w:cs="Symbol" w:hint="default"/>
    </w:rPr>
  </w:style>
  <w:style w:type="character" w:customStyle="1" w:styleId="WW8Num16z0">
    <w:name w:val="WW8Num16z0"/>
    <w:rsid w:val="00862662"/>
    <w:rPr>
      <w:rFonts w:hint="default"/>
    </w:rPr>
  </w:style>
  <w:style w:type="character" w:customStyle="1" w:styleId="WW8Num16z1">
    <w:name w:val="WW8Num16z1"/>
    <w:rsid w:val="00862662"/>
  </w:style>
  <w:style w:type="character" w:customStyle="1" w:styleId="WW8Num16z2">
    <w:name w:val="WW8Num16z2"/>
    <w:rsid w:val="00862662"/>
  </w:style>
  <w:style w:type="character" w:customStyle="1" w:styleId="WW8Num16z3">
    <w:name w:val="WW8Num16z3"/>
    <w:rsid w:val="00862662"/>
  </w:style>
  <w:style w:type="character" w:customStyle="1" w:styleId="WW8Num16z4">
    <w:name w:val="WW8Num16z4"/>
    <w:rsid w:val="00862662"/>
  </w:style>
  <w:style w:type="character" w:customStyle="1" w:styleId="WW8Num16z5">
    <w:name w:val="WW8Num16z5"/>
    <w:rsid w:val="00862662"/>
  </w:style>
  <w:style w:type="character" w:customStyle="1" w:styleId="WW8Num16z6">
    <w:name w:val="WW8Num16z6"/>
    <w:rsid w:val="00862662"/>
  </w:style>
  <w:style w:type="character" w:customStyle="1" w:styleId="WW8Num16z7">
    <w:name w:val="WW8Num16z7"/>
    <w:rsid w:val="00862662"/>
  </w:style>
  <w:style w:type="character" w:customStyle="1" w:styleId="WW8Num16z8">
    <w:name w:val="WW8Num16z8"/>
    <w:rsid w:val="00862662"/>
  </w:style>
  <w:style w:type="character" w:customStyle="1" w:styleId="WW8Num17z0">
    <w:name w:val="WW8Num17z0"/>
    <w:rsid w:val="00862662"/>
    <w:rPr>
      <w:rFonts w:hint="default"/>
    </w:rPr>
  </w:style>
  <w:style w:type="character" w:customStyle="1" w:styleId="WW8Num17z1">
    <w:name w:val="WW8Num17z1"/>
    <w:rsid w:val="00862662"/>
  </w:style>
  <w:style w:type="character" w:customStyle="1" w:styleId="WW8Num17z2">
    <w:name w:val="WW8Num17z2"/>
    <w:rsid w:val="00862662"/>
  </w:style>
  <w:style w:type="character" w:customStyle="1" w:styleId="WW8Num17z3">
    <w:name w:val="WW8Num17z3"/>
    <w:rsid w:val="00862662"/>
  </w:style>
  <w:style w:type="character" w:customStyle="1" w:styleId="WW8Num17z4">
    <w:name w:val="WW8Num17z4"/>
    <w:rsid w:val="00862662"/>
  </w:style>
  <w:style w:type="character" w:customStyle="1" w:styleId="WW8Num17z5">
    <w:name w:val="WW8Num17z5"/>
    <w:rsid w:val="00862662"/>
  </w:style>
  <w:style w:type="character" w:customStyle="1" w:styleId="WW8Num17z6">
    <w:name w:val="WW8Num17z6"/>
    <w:rsid w:val="00862662"/>
  </w:style>
  <w:style w:type="character" w:customStyle="1" w:styleId="WW8Num17z7">
    <w:name w:val="WW8Num17z7"/>
    <w:rsid w:val="00862662"/>
  </w:style>
  <w:style w:type="character" w:customStyle="1" w:styleId="WW8Num17z8">
    <w:name w:val="WW8Num17z8"/>
    <w:rsid w:val="00862662"/>
  </w:style>
  <w:style w:type="character" w:customStyle="1" w:styleId="WW8Num18z0">
    <w:name w:val="WW8Num18z0"/>
    <w:rsid w:val="00862662"/>
    <w:rPr>
      <w:rFonts w:ascii="Wingdings" w:hAnsi="Wingdings" w:cs="Wingdings" w:hint="default"/>
    </w:rPr>
  </w:style>
  <w:style w:type="character" w:customStyle="1" w:styleId="WW8Num18z1">
    <w:name w:val="WW8Num18z1"/>
    <w:rsid w:val="00862662"/>
    <w:rPr>
      <w:rFonts w:ascii="Courier New" w:hAnsi="Courier New" w:cs="Courier New" w:hint="default"/>
    </w:rPr>
  </w:style>
  <w:style w:type="character" w:customStyle="1" w:styleId="WW8Num18z3">
    <w:name w:val="WW8Num18z3"/>
    <w:rsid w:val="00862662"/>
    <w:rPr>
      <w:rFonts w:ascii="Symbol" w:hAnsi="Symbol" w:cs="Symbol" w:hint="default"/>
    </w:rPr>
  </w:style>
  <w:style w:type="character" w:customStyle="1" w:styleId="WW8Num19z0">
    <w:name w:val="WW8Num19z0"/>
    <w:rsid w:val="00862662"/>
    <w:rPr>
      <w:rFonts w:ascii="Symbol" w:hAnsi="Symbol" w:cs="Symbol" w:hint="default"/>
    </w:rPr>
  </w:style>
  <w:style w:type="character" w:customStyle="1" w:styleId="WW8Num19z1">
    <w:name w:val="WW8Num19z1"/>
    <w:rsid w:val="00862662"/>
    <w:rPr>
      <w:rFonts w:cs="Times New Roman"/>
    </w:rPr>
  </w:style>
  <w:style w:type="character" w:customStyle="1" w:styleId="WW8Num20z0">
    <w:name w:val="WW8Num20z0"/>
    <w:rsid w:val="00862662"/>
    <w:rPr>
      <w:rFonts w:ascii="Wingdings" w:hAnsi="Wingdings" w:cs="Wingdings" w:hint="default"/>
    </w:rPr>
  </w:style>
  <w:style w:type="character" w:customStyle="1" w:styleId="WW8Num20z1">
    <w:name w:val="WW8Num20z1"/>
    <w:rsid w:val="00862662"/>
    <w:rPr>
      <w:rFonts w:ascii="Courier New" w:hAnsi="Courier New" w:cs="Courier New" w:hint="default"/>
    </w:rPr>
  </w:style>
  <w:style w:type="character" w:customStyle="1" w:styleId="WW8Num20z3">
    <w:name w:val="WW8Num20z3"/>
    <w:rsid w:val="00862662"/>
    <w:rPr>
      <w:rFonts w:ascii="Symbol" w:hAnsi="Symbol" w:cs="Symbol" w:hint="default"/>
    </w:rPr>
  </w:style>
  <w:style w:type="character" w:customStyle="1" w:styleId="WW8Num21z0">
    <w:name w:val="WW8Num21z0"/>
    <w:rsid w:val="00862662"/>
    <w:rPr>
      <w:rFonts w:hint="default"/>
      <w:sz w:val="28"/>
    </w:rPr>
  </w:style>
  <w:style w:type="character" w:customStyle="1" w:styleId="WW8Num21z1">
    <w:name w:val="WW8Num21z1"/>
    <w:rsid w:val="00862662"/>
  </w:style>
  <w:style w:type="character" w:customStyle="1" w:styleId="WW8Num21z2">
    <w:name w:val="WW8Num21z2"/>
    <w:rsid w:val="00862662"/>
  </w:style>
  <w:style w:type="character" w:customStyle="1" w:styleId="WW8Num21z3">
    <w:name w:val="WW8Num21z3"/>
    <w:rsid w:val="00862662"/>
  </w:style>
  <w:style w:type="character" w:customStyle="1" w:styleId="WW8Num21z4">
    <w:name w:val="WW8Num21z4"/>
    <w:rsid w:val="00862662"/>
  </w:style>
  <w:style w:type="character" w:customStyle="1" w:styleId="WW8Num21z5">
    <w:name w:val="WW8Num21z5"/>
    <w:rsid w:val="00862662"/>
  </w:style>
  <w:style w:type="character" w:customStyle="1" w:styleId="WW8Num21z6">
    <w:name w:val="WW8Num21z6"/>
    <w:rsid w:val="00862662"/>
  </w:style>
  <w:style w:type="character" w:customStyle="1" w:styleId="WW8Num21z7">
    <w:name w:val="WW8Num21z7"/>
    <w:rsid w:val="00862662"/>
  </w:style>
  <w:style w:type="character" w:customStyle="1" w:styleId="WW8Num21z8">
    <w:name w:val="WW8Num21z8"/>
    <w:rsid w:val="00862662"/>
  </w:style>
  <w:style w:type="character" w:customStyle="1" w:styleId="WW8Num22z0">
    <w:name w:val="WW8Num22z0"/>
    <w:rsid w:val="00862662"/>
    <w:rPr>
      <w:rFonts w:hint="default"/>
    </w:rPr>
  </w:style>
  <w:style w:type="character" w:customStyle="1" w:styleId="WW8Num22z1">
    <w:name w:val="WW8Num22z1"/>
    <w:rsid w:val="00862662"/>
  </w:style>
  <w:style w:type="character" w:customStyle="1" w:styleId="WW8Num22z2">
    <w:name w:val="WW8Num22z2"/>
    <w:rsid w:val="00862662"/>
  </w:style>
  <w:style w:type="character" w:customStyle="1" w:styleId="WW8Num22z3">
    <w:name w:val="WW8Num22z3"/>
    <w:rsid w:val="00862662"/>
  </w:style>
  <w:style w:type="character" w:customStyle="1" w:styleId="WW8Num22z4">
    <w:name w:val="WW8Num22z4"/>
    <w:rsid w:val="00862662"/>
  </w:style>
  <w:style w:type="character" w:customStyle="1" w:styleId="WW8Num22z5">
    <w:name w:val="WW8Num22z5"/>
    <w:rsid w:val="00862662"/>
  </w:style>
  <w:style w:type="character" w:customStyle="1" w:styleId="WW8Num22z6">
    <w:name w:val="WW8Num22z6"/>
    <w:rsid w:val="00862662"/>
  </w:style>
  <w:style w:type="character" w:customStyle="1" w:styleId="WW8Num22z7">
    <w:name w:val="WW8Num22z7"/>
    <w:rsid w:val="00862662"/>
  </w:style>
  <w:style w:type="character" w:customStyle="1" w:styleId="WW8Num22z8">
    <w:name w:val="WW8Num22z8"/>
    <w:rsid w:val="00862662"/>
  </w:style>
  <w:style w:type="character" w:customStyle="1" w:styleId="WW8Num23z0">
    <w:name w:val="WW8Num23z0"/>
    <w:rsid w:val="00862662"/>
    <w:rPr>
      <w:rFonts w:hint="default"/>
    </w:rPr>
  </w:style>
  <w:style w:type="character" w:customStyle="1" w:styleId="WW8Num24z0">
    <w:name w:val="WW8Num24z0"/>
    <w:rsid w:val="00862662"/>
    <w:rPr>
      <w:rFonts w:ascii="Symbol" w:hAnsi="Symbol" w:cs="Symbol" w:hint="default"/>
    </w:rPr>
  </w:style>
  <w:style w:type="character" w:customStyle="1" w:styleId="WW8Num24z1">
    <w:name w:val="WW8Num24z1"/>
    <w:rsid w:val="00862662"/>
    <w:rPr>
      <w:rFonts w:ascii="Courier New" w:hAnsi="Courier New" w:cs="Courier New" w:hint="default"/>
    </w:rPr>
  </w:style>
  <w:style w:type="character" w:customStyle="1" w:styleId="WW8Num24z2">
    <w:name w:val="WW8Num24z2"/>
    <w:rsid w:val="00862662"/>
    <w:rPr>
      <w:rFonts w:ascii="Wingdings" w:hAnsi="Wingdings" w:cs="Wingdings" w:hint="default"/>
    </w:rPr>
  </w:style>
  <w:style w:type="character" w:customStyle="1" w:styleId="WW8Num25z0">
    <w:name w:val="WW8Num25z0"/>
    <w:rsid w:val="00862662"/>
    <w:rPr>
      <w:rFonts w:ascii="Symbol" w:hAnsi="Symbol" w:cs="Symbol" w:hint="default"/>
    </w:rPr>
  </w:style>
  <w:style w:type="character" w:customStyle="1" w:styleId="WW8Num25z1">
    <w:name w:val="WW8Num25z1"/>
    <w:rsid w:val="00862662"/>
    <w:rPr>
      <w:rFonts w:ascii="Courier New" w:hAnsi="Courier New" w:cs="Courier New" w:hint="default"/>
    </w:rPr>
  </w:style>
  <w:style w:type="character" w:customStyle="1" w:styleId="WW8Num25z2">
    <w:name w:val="WW8Num25z2"/>
    <w:rsid w:val="00862662"/>
    <w:rPr>
      <w:rFonts w:ascii="Wingdings" w:hAnsi="Wingdings" w:cs="Wingdings" w:hint="default"/>
    </w:rPr>
  </w:style>
  <w:style w:type="character" w:customStyle="1" w:styleId="WW8Num26z0">
    <w:name w:val="WW8Num26z0"/>
    <w:rsid w:val="00862662"/>
    <w:rPr>
      <w:rFonts w:ascii="Wingdings" w:hAnsi="Wingdings" w:cs="Wingdings" w:hint="default"/>
    </w:rPr>
  </w:style>
  <w:style w:type="character" w:customStyle="1" w:styleId="WW8Num26z1">
    <w:name w:val="WW8Num26z1"/>
    <w:rsid w:val="00862662"/>
    <w:rPr>
      <w:rFonts w:ascii="Courier New" w:hAnsi="Courier New" w:cs="Courier New" w:hint="default"/>
    </w:rPr>
  </w:style>
  <w:style w:type="character" w:customStyle="1" w:styleId="WW8Num26z3">
    <w:name w:val="WW8Num26z3"/>
    <w:rsid w:val="00862662"/>
    <w:rPr>
      <w:rFonts w:ascii="Symbol" w:hAnsi="Symbol" w:cs="Symbol" w:hint="default"/>
    </w:rPr>
  </w:style>
  <w:style w:type="character" w:customStyle="1" w:styleId="WW8Num27z0">
    <w:name w:val="WW8Num27z0"/>
    <w:rsid w:val="00862662"/>
    <w:rPr>
      <w:rFonts w:ascii="Symbol" w:hAnsi="Symbol" w:cs="Symbol" w:hint="default"/>
    </w:rPr>
  </w:style>
  <w:style w:type="character" w:customStyle="1" w:styleId="WW8Num27z1">
    <w:name w:val="WW8Num27z1"/>
    <w:rsid w:val="00862662"/>
    <w:rPr>
      <w:rFonts w:ascii="Courier New" w:hAnsi="Courier New" w:cs="Courier New" w:hint="default"/>
    </w:rPr>
  </w:style>
  <w:style w:type="character" w:customStyle="1" w:styleId="WW8Num27z2">
    <w:name w:val="WW8Num27z2"/>
    <w:rsid w:val="00862662"/>
    <w:rPr>
      <w:rFonts w:ascii="Wingdings" w:hAnsi="Wingdings" w:cs="Wingdings" w:hint="default"/>
    </w:rPr>
  </w:style>
  <w:style w:type="character" w:customStyle="1" w:styleId="WW8Num28z0">
    <w:name w:val="WW8Num28z0"/>
    <w:rsid w:val="00862662"/>
    <w:rPr>
      <w:rFonts w:ascii="Wingdings" w:hAnsi="Wingdings" w:cs="Wingdings" w:hint="default"/>
    </w:rPr>
  </w:style>
  <w:style w:type="character" w:customStyle="1" w:styleId="WW8Num28z1">
    <w:name w:val="WW8Num28z1"/>
    <w:rsid w:val="00862662"/>
    <w:rPr>
      <w:rFonts w:ascii="Courier New" w:hAnsi="Courier New" w:cs="Courier New" w:hint="default"/>
    </w:rPr>
  </w:style>
  <w:style w:type="character" w:customStyle="1" w:styleId="WW8Num28z3">
    <w:name w:val="WW8Num28z3"/>
    <w:rsid w:val="00862662"/>
    <w:rPr>
      <w:rFonts w:ascii="Symbol" w:hAnsi="Symbol" w:cs="Symbol" w:hint="default"/>
    </w:rPr>
  </w:style>
  <w:style w:type="character" w:customStyle="1" w:styleId="WW8Num29z0">
    <w:name w:val="WW8Num29z0"/>
    <w:rsid w:val="00862662"/>
    <w:rPr>
      <w:rFonts w:ascii="Times New Roman" w:eastAsia="Times New Roman" w:hAnsi="Times New Roman" w:cs="Times New Roman" w:hint="default"/>
    </w:rPr>
  </w:style>
  <w:style w:type="character" w:customStyle="1" w:styleId="WW8Num29z1">
    <w:name w:val="WW8Num29z1"/>
    <w:rsid w:val="00862662"/>
    <w:rPr>
      <w:rFonts w:ascii="Courier New" w:hAnsi="Courier New" w:cs="Courier New" w:hint="default"/>
    </w:rPr>
  </w:style>
  <w:style w:type="character" w:customStyle="1" w:styleId="WW8Num29z2">
    <w:name w:val="WW8Num29z2"/>
    <w:rsid w:val="00862662"/>
    <w:rPr>
      <w:rFonts w:ascii="Wingdings" w:hAnsi="Wingdings" w:cs="Wingdings" w:hint="default"/>
    </w:rPr>
  </w:style>
  <w:style w:type="character" w:customStyle="1" w:styleId="WW8Num29z3">
    <w:name w:val="WW8Num29z3"/>
    <w:rsid w:val="00862662"/>
    <w:rPr>
      <w:rFonts w:ascii="Symbol" w:hAnsi="Symbol" w:cs="Symbol" w:hint="default"/>
    </w:rPr>
  </w:style>
  <w:style w:type="character" w:customStyle="1" w:styleId="WW8Num30z0">
    <w:name w:val="WW8Num30z0"/>
    <w:rsid w:val="00862662"/>
    <w:rPr>
      <w:rFonts w:cs="Times New Roman" w:hint="default"/>
    </w:rPr>
  </w:style>
  <w:style w:type="character" w:customStyle="1" w:styleId="WW8Num30z1">
    <w:name w:val="WW8Num30z1"/>
    <w:rsid w:val="00862662"/>
    <w:rPr>
      <w:rFonts w:cs="Times New Roman"/>
    </w:rPr>
  </w:style>
  <w:style w:type="character" w:customStyle="1" w:styleId="29">
    <w:name w:val="Основной шрифт абзаца2"/>
    <w:rsid w:val="00862662"/>
  </w:style>
  <w:style w:type="character" w:customStyle="1" w:styleId="affffa">
    <w:name w:val="Символ сноски"/>
    <w:rsid w:val="00862662"/>
    <w:rPr>
      <w:vertAlign w:val="superscript"/>
    </w:rPr>
  </w:style>
  <w:style w:type="character" w:customStyle="1" w:styleId="affffb">
    <w:name w:val="Символы концевой сноски"/>
    <w:rsid w:val="00862662"/>
    <w:rPr>
      <w:vertAlign w:val="superscript"/>
    </w:rPr>
  </w:style>
  <w:style w:type="character" w:customStyle="1" w:styleId="1f0">
    <w:name w:val="Знак примечания1"/>
    <w:rsid w:val="00862662"/>
    <w:rPr>
      <w:sz w:val="16"/>
      <w:szCs w:val="16"/>
    </w:rPr>
  </w:style>
  <w:style w:type="paragraph" w:customStyle="1" w:styleId="2a">
    <w:name w:val="Название2"/>
    <w:basedOn w:val="a"/>
    <w:rsid w:val="00862662"/>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2b">
    <w:name w:val="Указатель2"/>
    <w:basedOn w:val="a"/>
    <w:rsid w:val="00862662"/>
    <w:pPr>
      <w:suppressLineNumbers/>
      <w:suppressAutoHyphens/>
      <w:spacing w:after="0" w:line="240" w:lineRule="auto"/>
    </w:pPr>
    <w:rPr>
      <w:rFonts w:ascii="Times New Roman" w:eastAsia="Calibri" w:hAnsi="Times New Roman" w:cs="Mangal"/>
      <w:sz w:val="20"/>
      <w:lang w:eastAsia="ar-SA"/>
    </w:rPr>
  </w:style>
  <w:style w:type="paragraph" w:customStyle="1" w:styleId="1f1">
    <w:name w:val="Текст1"/>
    <w:basedOn w:val="a"/>
    <w:rsid w:val="00862662"/>
    <w:pPr>
      <w:suppressAutoHyphens/>
      <w:spacing w:after="0" w:line="240" w:lineRule="auto"/>
    </w:pPr>
    <w:rPr>
      <w:rFonts w:ascii="Courier New" w:eastAsia="Times New Roman" w:hAnsi="Courier New" w:cs="Courier New"/>
      <w:sz w:val="20"/>
      <w:szCs w:val="20"/>
      <w:lang w:eastAsia="ar-SA"/>
    </w:rPr>
  </w:style>
  <w:style w:type="paragraph" w:customStyle="1" w:styleId="1f2">
    <w:name w:val="Обычный отступ1"/>
    <w:basedOn w:val="a"/>
    <w:rsid w:val="0086266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86266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
    <w:rsid w:val="00862662"/>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f3">
    <w:name w:val="Текст примечания1"/>
    <w:basedOn w:val="a"/>
    <w:rsid w:val="00862662"/>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Шапка1"/>
    <w:basedOn w:val="a"/>
    <w:rsid w:val="00862662"/>
    <w:pPr>
      <w:suppressAutoHyphens/>
      <w:spacing w:before="40" w:after="40" w:line="204" w:lineRule="auto"/>
      <w:jc w:val="center"/>
    </w:pPr>
    <w:rPr>
      <w:rFonts w:ascii="Arial" w:eastAsia="Times New Roman" w:hAnsi="Arial" w:cs="Arial"/>
      <w:i/>
      <w:szCs w:val="20"/>
      <w:lang w:eastAsia="ar-SA"/>
    </w:rPr>
  </w:style>
  <w:style w:type="paragraph" w:customStyle="1" w:styleId="1f5">
    <w:name w:val="Схема документа1"/>
    <w:basedOn w:val="a"/>
    <w:rsid w:val="00862662"/>
    <w:pPr>
      <w:suppressAutoHyphens/>
      <w:spacing w:after="0" w:line="240" w:lineRule="auto"/>
    </w:pPr>
    <w:rPr>
      <w:rFonts w:ascii="Tahoma" w:eastAsia="Calibri" w:hAnsi="Tahoma" w:cs="Tahoma"/>
      <w:sz w:val="16"/>
      <w:szCs w:val="16"/>
      <w:lang w:eastAsia="ar-SA"/>
    </w:rPr>
  </w:style>
  <w:style w:type="paragraph" w:customStyle="1" w:styleId="212">
    <w:name w:val="Основной текст 21"/>
    <w:basedOn w:val="a"/>
    <w:rsid w:val="00862662"/>
    <w:pPr>
      <w:suppressAutoHyphens/>
      <w:spacing w:after="120" w:line="480" w:lineRule="auto"/>
    </w:pPr>
    <w:rPr>
      <w:rFonts w:ascii="Times New Roman" w:eastAsia="Times New Roman" w:hAnsi="Times New Roman" w:cs="Times New Roman"/>
      <w:sz w:val="20"/>
      <w:szCs w:val="20"/>
      <w:lang w:eastAsia="ar-SA"/>
    </w:rPr>
  </w:style>
  <w:style w:type="numbering" w:customStyle="1" w:styleId="34">
    <w:name w:val="Нет списка3"/>
    <w:next w:val="a2"/>
    <w:uiPriority w:val="99"/>
    <w:semiHidden/>
    <w:unhideWhenUsed/>
    <w:rsid w:val="00862662"/>
  </w:style>
  <w:style w:type="table" w:customStyle="1" w:styleId="4">
    <w:name w:val="Сетка таблицы4"/>
    <w:basedOn w:val="a1"/>
    <w:next w:val="af2"/>
    <w:uiPriority w:val="39"/>
    <w:rsid w:val="008626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862662"/>
  </w:style>
  <w:style w:type="table" w:customStyle="1" w:styleId="5">
    <w:name w:val="Сетка таблицы5"/>
    <w:basedOn w:val="a1"/>
    <w:next w:val="af2"/>
    <w:rsid w:val="008626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39"/>
    <w:rsid w:val="0086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62662"/>
  </w:style>
  <w:style w:type="table" w:customStyle="1" w:styleId="213">
    <w:name w:val="Сетка таблицы21"/>
    <w:basedOn w:val="a1"/>
    <w:next w:val="af2"/>
    <w:uiPriority w:val="39"/>
    <w:rsid w:val="008626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2"/>
    <w:uiPriority w:val="39"/>
    <w:rsid w:val="0086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862662"/>
  </w:style>
  <w:style w:type="numbering" w:customStyle="1" w:styleId="312">
    <w:name w:val="Нет списка31"/>
    <w:next w:val="a2"/>
    <w:uiPriority w:val="99"/>
    <w:semiHidden/>
    <w:unhideWhenUsed/>
    <w:rsid w:val="00862662"/>
  </w:style>
  <w:style w:type="table" w:customStyle="1" w:styleId="41">
    <w:name w:val="Сетка таблицы41"/>
    <w:basedOn w:val="a1"/>
    <w:next w:val="af2"/>
    <w:uiPriority w:val="39"/>
    <w:rsid w:val="008626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f2"/>
    <w:uiPriority w:val="39"/>
    <w:rsid w:val="0086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862662"/>
  </w:style>
  <w:style w:type="table" w:customStyle="1" w:styleId="7">
    <w:name w:val="Сетка таблицы7"/>
    <w:basedOn w:val="a1"/>
    <w:next w:val="af2"/>
    <w:uiPriority w:val="39"/>
    <w:rsid w:val="008626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2"/>
    <w:uiPriority w:val="39"/>
    <w:rsid w:val="0086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62662"/>
  </w:style>
  <w:style w:type="table" w:customStyle="1" w:styleId="220">
    <w:name w:val="Сетка таблицы22"/>
    <w:basedOn w:val="a1"/>
    <w:next w:val="af2"/>
    <w:uiPriority w:val="39"/>
    <w:rsid w:val="008626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39"/>
    <w:rsid w:val="0086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862662"/>
  </w:style>
  <w:style w:type="numbering" w:customStyle="1" w:styleId="321">
    <w:name w:val="Нет списка32"/>
    <w:next w:val="a2"/>
    <w:uiPriority w:val="99"/>
    <w:semiHidden/>
    <w:unhideWhenUsed/>
    <w:rsid w:val="00862662"/>
  </w:style>
  <w:style w:type="table" w:customStyle="1" w:styleId="42">
    <w:name w:val="Сетка таблицы42"/>
    <w:basedOn w:val="a1"/>
    <w:next w:val="af2"/>
    <w:uiPriority w:val="39"/>
    <w:rsid w:val="008626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
    <w:name w:val="Нет списка6"/>
    <w:next w:val="a2"/>
    <w:uiPriority w:val="99"/>
    <w:semiHidden/>
    <w:unhideWhenUsed/>
    <w:rsid w:val="00862662"/>
  </w:style>
  <w:style w:type="table" w:customStyle="1" w:styleId="8">
    <w:name w:val="Сетка таблицы8"/>
    <w:basedOn w:val="a1"/>
    <w:next w:val="af2"/>
    <w:rsid w:val="008626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2"/>
    <w:uiPriority w:val="39"/>
    <w:rsid w:val="0086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862662"/>
  </w:style>
  <w:style w:type="table" w:customStyle="1" w:styleId="230">
    <w:name w:val="Сетка таблицы23"/>
    <w:basedOn w:val="a1"/>
    <w:next w:val="af2"/>
    <w:uiPriority w:val="39"/>
    <w:rsid w:val="008626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2"/>
    <w:uiPriority w:val="39"/>
    <w:rsid w:val="0086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862662"/>
  </w:style>
  <w:style w:type="numbering" w:customStyle="1" w:styleId="331">
    <w:name w:val="Нет списка33"/>
    <w:next w:val="a2"/>
    <w:uiPriority w:val="99"/>
    <w:semiHidden/>
    <w:unhideWhenUsed/>
    <w:rsid w:val="00862662"/>
  </w:style>
  <w:style w:type="table" w:customStyle="1" w:styleId="43">
    <w:name w:val="Сетка таблицы43"/>
    <w:basedOn w:val="a1"/>
    <w:next w:val="af2"/>
    <w:uiPriority w:val="39"/>
    <w:rsid w:val="008626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дрес"/>
    <w:basedOn w:val="a"/>
    <w:rsid w:val="00862662"/>
    <w:pPr>
      <w:overflowPunct w:val="0"/>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table" w:customStyle="1" w:styleId="9">
    <w:name w:val="Сетка таблицы9"/>
    <w:basedOn w:val="a1"/>
    <w:next w:val="af2"/>
    <w:uiPriority w:val="59"/>
    <w:rsid w:val="00E374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2"/>
    <w:uiPriority w:val="39"/>
    <w:rsid w:val="00A43E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036FD"/>
    <w:rPr>
      <w:rFonts w:ascii="Arial" w:eastAsia="Times New Roman" w:hAnsi="Arial" w:cs="Times New Roman"/>
      <w:snapToGrid w:val="0"/>
      <w:sz w:val="20"/>
      <w:szCs w:val="20"/>
      <w:lang w:eastAsia="ru-RU"/>
    </w:rPr>
  </w:style>
  <w:style w:type="table" w:customStyle="1" w:styleId="141">
    <w:name w:val="Сетка таблицы14"/>
    <w:basedOn w:val="a1"/>
    <w:next w:val="af2"/>
    <w:rsid w:val="006473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2"/>
    <w:rsid w:val="00E377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105">
      <w:bodyDiv w:val="1"/>
      <w:marLeft w:val="0"/>
      <w:marRight w:val="0"/>
      <w:marTop w:val="0"/>
      <w:marBottom w:val="0"/>
      <w:divBdr>
        <w:top w:val="none" w:sz="0" w:space="0" w:color="auto"/>
        <w:left w:val="none" w:sz="0" w:space="0" w:color="auto"/>
        <w:bottom w:val="none" w:sz="0" w:space="0" w:color="auto"/>
        <w:right w:val="none" w:sz="0" w:space="0" w:color="auto"/>
      </w:divBdr>
    </w:div>
    <w:div w:id="143477387">
      <w:bodyDiv w:val="1"/>
      <w:marLeft w:val="0"/>
      <w:marRight w:val="0"/>
      <w:marTop w:val="0"/>
      <w:marBottom w:val="0"/>
      <w:divBdr>
        <w:top w:val="none" w:sz="0" w:space="0" w:color="auto"/>
        <w:left w:val="none" w:sz="0" w:space="0" w:color="auto"/>
        <w:bottom w:val="none" w:sz="0" w:space="0" w:color="auto"/>
        <w:right w:val="none" w:sz="0" w:space="0" w:color="auto"/>
      </w:divBdr>
    </w:div>
    <w:div w:id="149712059">
      <w:bodyDiv w:val="1"/>
      <w:marLeft w:val="0"/>
      <w:marRight w:val="0"/>
      <w:marTop w:val="0"/>
      <w:marBottom w:val="0"/>
      <w:divBdr>
        <w:top w:val="none" w:sz="0" w:space="0" w:color="auto"/>
        <w:left w:val="none" w:sz="0" w:space="0" w:color="auto"/>
        <w:bottom w:val="none" w:sz="0" w:space="0" w:color="auto"/>
        <w:right w:val="none" w:sz="0" w:space="0" w:color="auto"/>
      </w:divBdr>
    </w:div>
    <w:div w:id="442575133">
      <w:bodyDiv w:val="1"/>
      <w:marLeft w:val="0"/>
      <w:marRight w:val="0"/>
      <w:marTop w:val="0"/>
      <w:marBottom w:val="0"/>
      <w:divBdr>
        <w:top w:val="none" w:sz="0" w:space="0" w:color="auto"/>
        <w:left w:val="none" w:sz="0" w:space="0" w:color="auto"/>
        <w:bottom w:val="none" w:sz="0" w:space="0" w:color="auto"/>
        <w:right w:val="none" w:sz="0" w:space="0" w:color="auto"/>
      </w:divBdr>
    </w:div>
    <w:div w:id="908032724">
      <w:bodyDiv w:val="1"/>
      <w:marLeft w:val="0"/>
      <w:marRight w:val="0"/>
      <w:marTop w:val="0"/>
      <w:marBottom w:val="0"/>
      <w:divBdr>
        <w:top w:val="none" w:sz="0" w:space="0" w:color="auto"/>
        <w:left w:val="none" w:sz="0" w:space="0" w:color="auto"/>
        <w:bottom w:val="none" w:sz="0" w:space="0" w:color="auto"/>
        <w:right w:val="none" w:sz="0" w:space="0" w:color="auto"/>
      </w:divBdr>
    </w:div>
    <w:div w:id="1138062272">
      <w:bodyDiv w:val="1"/>
      <w:marLeft w:val="0"/>
      <w:marRight w:val="0"/>
      <w:marTop w:val="0"/>
      <w:marBottom w:val="0"/>
      <w:divBdr>
        <w:top w:val="none" w:sz="0" w:space="0" w:color="auto"/>
        <w:left w:val="none" w:sz="0" w:space="0" w:color="auto"/>
        <w:bottom w:val="none" w:sz="0" w:space="0" w:color="auto"/>
        <w:right w:val="none" w:sz="0" w:space="0" w:color="auto"/>
      </w:divBdr>
    </w:div>
    <w:div w:id="1204362376">
      <w:bodyDiv w:val="1"/>
      <w:marLeft w:val="0"/>
      <w:marRight w:val="0"/>
      <w:marTop w:val="0"/>
      <w:marBottom w:val="0"/>
      <w:divBdr>
        <w:top w:val="none" w:sz="0" w:space="0" w:color="auto"/>
        <w:left w:val="none" w:sz="0" w:space="0" w:color="auto"/>
        <w:bottom w:val="none" w:sz="0" w:space="0" w:color="auto"/>
        <w:right w:val="none" w:sz="0" w:space="0" w:color="auto"/>
      </w:divBdr>
    </w:div>
    <w:div w:id="1261840134">
      <w:bodyDiv w:val="1"/>
      <w:marLeft w:val="0"/>
      <w:marRight w:val="0"/>
      <w:marTop w:val="0"/>
      <w:marBottom w:val="0"/>
      <w:divBdr>
        <w:top w:val="none" w:sz="0" w:space="0" w:color="auto"/>
        <w:left w:val="none" w:sz="0" w:space="0" w:color="auto"/>
        <w:bottom w:val="none" w:sz="0" w:space="0" w:color="auto"/>
        <w:right w:val="none" w:sz="0" w:space="0" w:color="auto"/>
      </w:divBdr>
    </w:div>
    <w:div w:id="1328090006">
      <w:bodyDiv w:val="1"/>
      <w:marLeft w:val="0"/>
      <w:marRight w:val="0"/>
      <w:marTop w:val="0"/>
      <w:marBottom w:val="0"/>
      <w:divBdr>
        <w:top w:val="none" w:sz="0" w:space="0" w:color="auto"/>
        <w:left w:val="none" w:sz="0" w:space="0" w:color="auto"/>
        <w:bottom w:val="none" w:sz="0" w:space="0" w:color="auto"/>
        <w:right w:val="none" w:sz="0" w:space="0" w:color="auto"/>
      </w:divBdr>
    </w:div>
    <w:div w:id="1345552035">
      <w:bodyDiv w:val="1"/>
      <w:marLeft w:val="0"/>
      <w:marRight w:val="0"/>
      <w:marTop w:val="0"/>
      <w:marBottom w:val="0"/>
      <w:divBdr>
        <w:top w:val="none" w:sz="0" w:space="0" w:color="auto"/>
        <w:left w:val="none" w:sz="0" w:space="0" w:color="auto"/>
        <w:bottom w:val="none" w:sz="0" w:space="0" w:color="auto"/>
        <w:right w:val="none" w:sz="0" w:space="0" w:color="auto"/>
      </w:divBdr>
    </w:div>
    <w:div w:id="1669284683">
      <w:bodyDiv w:val="1"/>
      <w:marLeft w:val="0"/>
      <w:marRight w:val="0"/>
      <w:marTop w:val="0"/>
      <w:marBottom w:val="0"/>
      <w:divBdr>
        <w:top w:val="none" w:sz="0" w:space="0" w:color="auto"/>
        <w:left w:val="none" w:sz="0" w:space="0" w:color="auto"/>
        <w:bottom w:val="none" w:sz="0" w:space="0" w:color="auto"/>
        <w:right w:val="none" w:sz="0" w:space="0" w:color="auto"/>
      </w:divBdr>
    </w:div>
    <w:div w:id="1735005431">
      <w:bodyDiv w:val="1"/>
      <w:marLeft w:val="0"/>
      <w:marRight w:val="0"/>
      <w:marTop w:val="0"/>
      <w:marBottom w:val="0"/>
      <w:divBdr>
        <w:top w:val="none" w:sz="0" w:space="0" w:color="auto"/>
        <w:left w:val="none" w:sz="0" w:space="0" w:color="auto"/>
        <w:bottom w:val="none" w:sz="0" w:space="0" w:color="auto"/>
        <w:right w:val="none" w:sz="0" w:space="0" w:color="auto"/>
      </w:divBdr>
    </w:div>
    <w:div w:id="1956936753">
      <w:bodyDiv w:val="1"/>
      <w:marLeft w:val="0"/>
      <w:marRight w:val="0"/>
      <w:marTop w:val="0"/>
      <w:marBottom w:val="0"/>
      <w:divBdr>
        <w:top w:val="none" w:sz="0" w:space="0" w:color="auto"/>
        <w:left w:val="none" w:sz="0" w:space="0" w:color="auto"/>
        <w:bottom w:val="none" w:sz="0" w:space="0" w:color="auto"/>
        <w:right w:val="none" w:sz="0" w:space="0" w:color="auto"/>
      </w:divBdr>
    </w:div>
    <w:div w:id="2027487777">
      <w:bodyDiv w:val="1"/>
      <w:marLeft w:val="0"/>
      <w:marRight w:val="0"/>
      <w:marTop w:val="0"/>
      <w:marBottom w:val="0"/>
      <w:divBdr>
        <w:top w:val="none" w:sz="0" w:space="0" w:color="auto"/>
        <w:left w:val="none" w:sz="0" w:space="0" w:color="auto"/>
        <w:bottom w:val="none" w:sz="0" w:space="0" w:color="auto"/>
        <w:right w:val="none" w:sz="0" w:space="0" w:color="auto"/>
      </w:divBdr>
    </w:div>
    <w:div w:id="20574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3.xlsx"/><Relationship Id="rId1" Type="http://schemas.openxmlformats.org/officeDocument/2006/relationships/image" Target="../media/image1.jpeg"/></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5.xlsx"/><Relationship Id="rId1" Type="http://schemas.openxmlformats.org/officeDocument/2006/relationships/image" Target="../media/image1.jpeg"/></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Worksheet8.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110"/>
      <c:rAngAx val="1"/>
    </c:view3D>
    <c:floor>
      <c:thickness val="0"/>
      <c:spPr>
        <a:solidFill>
          <a:schemeClr val="bg1">
            <a:lumMod val="65000"/>
          </a:schemeClr>
        </a:solidFill>
        <a:ln>
          <a:noFill/>
        </a:ln>
        <a:effectLst/>
        <a:sp3d/>
      </c:spPr>
    </c:floor>
    <c:sideWall>
      <c:thickness val="0"/>
      <c:spPr>
        <a:noFill/>
        <a:ln>
          <a:noFill/>
        </a:ln>
        <a:effectLst>
          <a:outerShdw blurRad="50800" dist="12700" dir="5400000" algn="ctr" rotWithShape="0">
            <a:srgbClr val="000000">
              <a:alpha val="43137"/>
            </a:srgbClr>
          </a:outerShdw>
        </a:effectLst>
        <a:scene3d>
          <a:camera prst="orthographicFront"/>
          <a:lightRig rig="threePt" dir="t"/>
        </a:scene3d>
        <a:sp3d/>
      </c:spPr>
    </c:sideWall>
    <c:backWall>
      <c:thickness val="0"/>
      <c:spPr>
        <a:noFill/>
        <a:ln>
          <a:noFill/>
        </a:ln>
        <a:effectLst>
          <a:outerShdw blurRad="50800" dist="12700" dir="5400000" algn="ctr" rotWithShape="0">
            <a:srgbClr val="000000">
              <a:alpha val="43137"/>
            </a:srgbClr>
          </a:outerShdw>
        </a:effectLst>
        <a:scene3d>
          <a:camera prst="orthographicFront"/>
          <a:lightRig rig="threePt" dir="t"/>
        </a:scene3d>
        <a:sp3d/>
      </c:spPr>
    </c:backWall>
    <c:plotArea>
      <c:layout>
        <c:manualLayout>
          <c:layoutTarget val="inner"/>
          <c:xMode val="edge"/>
          <c:yMode val="edge"/>
          <c:x val="0.16025349250698503"/>
          <c:y val="4.7051784403726787E-2"/>
          <c:w val="0.79903794762159275"/>
          <c:h val="0.87459728148506588"/>
        </c:manualLayout>
      </c:layout>
      <c:bar3DChart>
        <c:barDir val="col"/>
        <c:grouping val="stacked"/>
        <c:varyColors val="0"/>
        <c:ser>
          <c:idx val="0"/>
          <c:order val="0"/>
          <c:tx>
            <c:strRef>
              <c:f>Лист1!$B$1</c:f>
              <c:strCache>
                <c:ptCount val="1"/>
                <c:pt idx="0">
                  <c:v>Безвозмедные поступления</c:v>
                </c:pt>
              </c:strCache>
            </c:strRef>
          </c:tx>
          <c:spPr>
            <a:solidFill>
              <a:srgbClr val="ED7D31">
                <a:lumMod val="40000"/>
                <a:lumOff val="60000"/>
              </a:srgbClr>
            </a:solidFill>
            <a:ln>
              <a:noFill/>
            </a:ln>
            <a:effectLst/>
            <a:scene3d>
              <a:camera prst="orthographicFront"/>
              <a:lightRig rig="threePt" dir="t"/>
            </a:scene3d>
            <a:sp3d>
              <a:bevelT w="0" h="0"/>
              <a:bevelB/>
            </a:sp3d>
          </c:spPr>
          <c:invertIfNegative val="0"/>
          <c:dLbls>
            <c:dLbl>
              <c:idx val="0"/>
              <c:layout>
                <c:manualLayout>
                  <c:x val="6.7944273511898398E-3"/>
                  <c:y val="-1.9052407907369177E-2"/>
                </c:manualLayout>
              </c:layout>
              <c:showLegendKey val="0"/>
              <c:showVal val="1"/>
              <c:showCatName val="0"/>
              <c:showSerName val="0"/>
              <c:showPercent val="0"/>
              <c:showBubbleSize val="0"/>
              <c:extLst>
                <c:ext xmlns:c15="http://schemas.microsoft.com/office/drawing/2012/chart" uri="{CE6537A1-D6FC-4f65-9D91-7224C49458BB}">
                  <c15:layout>
                    <c:manualLayout>
                      <c:w val="8.9865047062353917E-2"/>
                      <c:h val="5.5493013868315968E-2"/>
                    </c:manualLayout>
                  </c15:layout>
                </c:ext>
              </c:extLst>
            </c:dLbl>
            <c:dLbl>
              <c:idx val="1"/>
              <c:layout>
                <c:manualLayout>
                  <c:x val="-1.5866649733299466E-2"/>
                  <c:y val="1.4977049669739034E-2"/>
                </c:manualLayout>
              </c:layout>
              <c:showLegendKey val="0"/>
              <c:showVal val="1"/>
              <c:showCatName val="0"/>
              <c:showSerName val="0"/>
              <c:showPercent val="0"/>
              <c:showBubbleSize val="0"/>
              <c:extLst>
                <c:ext xmlns:c15="http://schemas.microsoft.com/office/drawing/2012/chart" uri="{CE6537A1-D6FC-4f65-9D91-7224C49458BB}">
                  <c15:layout>
                    <c:manualLayout>
                      <c:w val="7.6429716729021907E-2"/>
                      <c:h val="5.4420034512260546E-2"/>
                    </c:manualLayout>
                  </c15:layout>
                </c:ext>
              </c:extLst>
            </c:dLbl>
            <c:dLbl>
              <c:idx val="2"/>
              <c:layout>
                <c:manualLayout>
                  <c:x val="-1.1190669714672762E-2"/>
                  <c:y val="1.7500964038262991E-2"/>
                </c:manualLayout>
              </c:layout>
              <c:showLegendKey val="0"/>
              <c:showVal val="1"/>
              <c:showCatName val="0"/>
              <c:showSerName val="0"/>
              <c:showPercent val="0"/>
              <c:showBubbleSize val="0"/>
              <c:extLst>
                <c:ext xmlns:c15="http://schemas.microsoft.com/office/drawing/2012/chart" uri="{CE6537A1-D6FC-4f65-9D91-7224C49458BB}">
                  <c15:layout>
                    <c:manualLayout>
                      <c:w val="7.6429716729021907E-2"/>
                      <c:h val="4.7053552007656499E-2"/>
                    </c:manualLayout>
                  </c15:layout>
                </c:ext>
              </c:extLst>
            </c:dLbl>
            <c:dLbl>
              <c:idx val="3"/>
              <c:layout>
                <c:manualLayout>
                  <c:x val="-1.365261197189061E-2"/>
                  <c:y val="1.7401326019081738E-2"/>
                </c:manualLayout>
              </c:layout>
              <c:tx>
                <c:rich>
                  <a:bodyPr/>
                  <a:lstStyle/>
                  <a:p>
                    <a:r>
                      <a:rPr lang="en-US"/>
                      <a:t>3 190,1</a:t>
                    </a:r>
                  </a:p>
                </c:rich>
              </c:tx>
              <c:showLegendKey val="0"/>
              <c:showVal val="1"/>
              <c:showCatName val="0"/>
              <c:showSerName val="0"/>
              <c:showPercent val="0"/>
              <c:showBubbleSize val="0"/>
              <c:extLst>
                <c:ext xmlns:c15="http://schemas.microsoft.com/office/drawing/2012/chart" uri="{CE6537A1-D6FC-4f65-9D91-7224C49458BB}">
                  <c15:layout>
                    <c:manualLayout>
                      <c:w val="7.6429716729021907E-2"/>
                      <c:h val="5.8103222927093627E-2"/>
                    </c:manualLayout>
                  </c15:layout>
                </c:ext>
              </c:extLst>
            </c:dLbl>
            <c:dLbl>
              <c:idx val="4"/>
              <c:layout>
                <c:manualLayout>
                  <c:x val="2.137894174238375E-3"/>
                  <c:y val="-8.2034454470877767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4136825227151259E-3"/>
                  <c:y val="-4.1016343545292131E-3"/>
                </c:manualLayout>
              </c:layout>
              <c:showLegendKey val="0"/>
              <c:showVal val="1"/>
              <c:showCatName val="0"/>
              <c:showSerName val="0"/>
              <c:showPercent val="0"/>
              <c:showBubbleSize val="0"/>
              <c:extLst>
                <c:ext xmlns:c15="http://schemas.microsoft.com/office/drawing/2012/chart" uri="{CE6537A1-D6FC-4f65-9D91-7224C49458BB}"/>
              </c:extLst>
            </c:dLbl>
            <c:spPr>
              <a:noFill/>
              <a:ln w="28575">
                <a:noFill/>
              </a:ln>
              <a:effectLst/>
            </c:spPr>
            <c:txPr>
              <a:bodyPr rot="0" spcFirstLastPara="1" vertOverflow="ellipsis" vert="horz" wrap="square" anchor="ctr" anchorCtr="1"/>
              <a:lstStyle/>
              <a:p>
                <a:pPr>
                  <a:defRPr sz="8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2024 год (оценка)</c:v>
                </c:pt>
                <c:pt idx="1">
                  <c:v>2025 год (прогноз)</c:v>
                </c:pt>
                <c:pt idx="2">
                  <c:v>2026 год (прогноз)</c:v>
                </c:pt>
                <c:pt idx="3">
                  <c:v>2027 год (прогноз)</c:v>
                </c:pt>
              </c:strCache>
            </c:strRef>
          </c:cat>
          <c:val>
            <c:numRef>
              <c:f>Лист1!$B$2:$B$5</c:f>
              <c:numCache>
                <c:formatCode>#\ ##0.0</c:formatCode>
                <c:ptCount val="4"/>
                <c:pt idx="0">
                  <c:v>18884</c:v>
                </c:pt>
                <c:pt idx="1">
                  <c:v>3971.2</c:v>
                </c:pt>
                <c:pt idx="2">
                  <c:v>3202.4</c:v>
                </c:pt>
                <c:pt idx="3">
                  <c:v>3190.1</c:v>
                </c:pt>
              </c:numCache>
            </c:numRef>
          </c:val>
        </c:ser>
        <c:ser>
          <c:idx val="1"/>
          <c:order val="1"/>
          <c:tx>
            <c:strRef>
              <c:f>Лист1!$C$1</c:f>
              <c:strCache>
                <c:ptCount val="1"/>
                <c:pt idx="0">
                  <c:v>Неналоговые доходы</c:v>
                </c:pt>
              </c:strCache>
            </c:strRef>
          </c:tx>
          <c:spPr>
            <a:solidFill>
              <a:srgbClr val="FFFF00"/>
            </a:solidFill>
            <a:ln w="3175">
              <a:solidFill>
                <a:srgbClr val="000000"/>
              </a:solidFill>
            </a:ln>
            <a:effectLst>
              <a:outerShdw blurRad="50800" dist="254000" dir="1500000" sx="1000" sy="1000" algn="ctr" rotWithShape="0">
                <a:srgbClr val="000000">
                  <a:alpha val="43137"/>
                </a:srgbClr>
              </a:outerShdw>
            </a:effectLst>
            <a:sp3d contourW="3175">
              <a:contourClr>
                <a:srgbClr val="000000"/>
              </a:contourClr>
            </a:sp3d>
          </c:spPr>
          <c:invertIfNegative val="0"/>
          <c:dLbls>
            <c:dLbl>
              <c:idx val="0"/>
              <c:layout>
                <c:manualLayout>
                  <c:x val="-1.9367538735077471E-2"/>
                  <c:y val="-7.6488661666118489E-4"/>
                </c:manualLayout>
              </c:layout>
              <c:showLegendKey val="0"/>
              <c:showVal val="1"/>
              <c:showCatName val="0"/>
              <c:showSerName val="0"/>
              <c:showPercent val="0"/>
              <c:showBubbleSize val="0"/>
              <c:extLst>
                <c:ext xmlns:c15="http://schemas.microsoft.com/office/drawing/2012/chart" uri="{CE6537A1-D6FC-4f65-9D91-7224C49458BB}">
                  <c15:layout>
                    <c:manualLayout>
                      <c:w val="7.2688401924104751E-2"/>
                      <c:h val="4.6007840792052883E-2"/>
                    </c:manualLayout>
                  </c15:layout>
                </c:ext>
              </c:extLst>
            </c:dLbl>
            <c:dLbl>
              <c:idx val="1"/>
              <c:layout>
                <c:manualLayout>
                  <c:x val="-1.1190585047836762E-2"/>
                  <c:y val="1.7107636426963216E-3"/>
                </c:manualLayout>
              </c:layout>
              <c:showLegendKey val="0"/>
              <c:showVal val="1"/>
              <c:showCatName val="0"/>
              <c:showSerName val="0"/>
              <c:showPercent val="0"/>
              <c:showBubbleSize val="0"/>
              <c:extLst>
                <c:ext xmlns:c15="http://schemas.microsoft.com/office/drawing/2012/chart" uri="{CE6537A1-D6FC-4f65-9D91-7224C49458BB}">
                  <c15:layout>
                    <c:manualLayout>
                      <c:w val="6.4136825227151251E-2"/>
                      <c:h val="4.1252302025782686E-2"/>
                    </c:manualLayout>
                  </c15:layout>
                </c:ext>
              </c:extLst>
            </c:dLbl>
            <c:dLbl>
              <c:idx val="2"/>
              <c:layout>
                <c:manualLayout>
                  <c:x val="-1.2556430446194226E-2"/>
                  <c:y val="2.5326218108980713E-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7165862331724822E-2"/>
                  <c:y val="4.2890373300482254E-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37894174238375E-3"/>
                  <c:y val="-2.837170670121930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5677709500843434E-16"/>
                  <c:y val="-2.734874912787800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2024 год (оценка)</c:v>
                </c:pt>
                <c:pt idx="1">
                  <c:v>2025 год (прогноз)</c:v>
                </c:pt>
                <c:pt idx="2">
                  <c:v>2026 год (прогноз)</c:v>
                </c:pt>
                <c:pt idx="3">
                  <c:v>2027 год (прогноз)</c:v>
                </c:pt>
              </c:strCache>
            </c:strRef>
          </c:cat>
          <c:val>
            <c:numRef>
              <c:f>Лист1!$C$2:$C$5</c:f>
              <c:numCache>
                <c:formatCode>#\ ##0.0</c:formatCode>
                <c:ptCount val="4"/>
                <c:pt idx="0">
                  <c:v>5622.3</c:v>
                </c:pt>
                <c:pt idx="1">
                  <c:v>3110.4</c:v>
                </c:pt>
                <c:pt idx="2">
                  <c:v>3119.6</c:v>
                </c:pt>
                <c:pt idx="3">
                  <c:v>3124.3</c:v>
                </c:pt>
              </c:numCache>
            </c:numRef>
          </c:val>
        </c:ser>
        <c:ser>
          <c:idx val="2"/>
          <c:order val="2"/>
          <c:tx>
            <c:strRef>
              <c:f>Лист1!$D$1</c:f>
              <c:strCache>
                <c:ptCount val="1"/>
                <c:pt idx="0">
                  <c:v>Налоговые доходы</c:v>
                </c:pt>
              </c:strCache>
            </c:strRef>
          </c:tx>
          <c:spPr>
            <a:solidFill>
              <a:srgbClr val="F09252"/>
            </a:solidFill>
            <a:ln>
              <a:noFill/>
            </a:ln>
            <a:effectLst/>
            <a:scene3d>
              <a:camera prst="orthographicFront"/>
              <a:lightRig rig="threePt" dir="t"/>
            </a:scene3d>
            <a:sp3d prstMaterial="matte">
              <a:bevelT/>
              <a:bevelB/>
            </a:sp3d>
          </c:spPr>
          <c:invertIfNegative val="0"/>
          <c:dLbls>
            <c:dLbl>
              <c:idx val="0"/>
              <c:layout>
                <c:manualLayout>
                  <c:x val="3.1012570797067396E-4"/>
                  <c:y val="-6.4370812708814076E-2"/>
                </c:manualLayout>
              </c:layout>
              <c:showLegendKey val="0"/>
              <c:showVal val="1"/>
              <c:showCatName val="0"/>
              <c:showSerName val="0"/>
              <c:showPercent val="0"/>
              <c:showBubbleSize val="0"/>
              <c:extLst>
                <c:ext xmlns:c15="http://schemas.microsoft.com/office/drawing/2012/chart" uri="{CE6537A1-D6FC-4f65-9D91-7224C49458BB}">
                  <c15:layout>
                    <c:manualLayout>
                      <c:w val="0.11887037507408346"/>
                      <c:h val="8.6178054757373321E-2"/>
                    </c:manualLayout>
                  </c15:layout>
                </c:ext>
              </c:extLst>
            </c:dLbl>
            <c:dLbl>
              <c:idx val="1"/>
              <c:layout>
                <c:manualLayout>
                  <c:x val="8.6204269896514134E-3"/>
                  <c:y val="-0.1476949381327334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2069380557788376E-3"/>
                  <c:y val="-0.1904062992125984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069380557788376E-3"/>
                  <c:y val="-0.2635692538432696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5515766969535001E-3"/>
                  <c:y val="-0.2494646992655330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2827365045430252E-2"/>
                  <c:y val="-0.25430680885972107"/>
                </c:manualLayout>
              </c:layout>
              <c:showLegendKey val="0"/>
              <c:showVal val="1"/>
              <c:showCatName val="0"/>
              <c:showSerName val="0"/>
              <c:showPercent val="0"/>
              <c:showBubbleSize val="0"/>
              <c:extLst>
                <c:ext xmlns:c15="http://schemas.microsoft.com/office/drawing/2012/chart" uri="{CE6537A1-D6FC-4f65-9D91-7224C49458BB}"/>
              </c:extLst>
            </c:dLbl>
            <c:spPr>
              <a:noFill/>
              <a:ln w="38100">
                <a:noFill/>
              </a:ln>
              <a:effectLst/>
            </c:spPr>
            <c:txPr>
              <a:bodyPr rot="0" spcFirstLastPara="1" vertOverflow="ellipsis" vert="horz" wrap="square" anchor="ctr" anchorCtr="1"/>
              <a:lstStyle/>
              <a:p>
                <a:pPr>
                  <a:defRPr sz="9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2024 год (оценка)</c:v>
                </c:pt>
                <c:pt idx="1">
                  <c:v>2025 год (прогноз)</c:v>
                </c:pt>
                <c:pt idx="2">
                  <c:v>2026 год (прогноз)</c:v>
                </c:pt>
                <c:pt idx="3">
                  <c:v>2027 год (прогноз)</c:v>
                </c:pt>
              </c:strCache>
            </c:strRef>
          </c:cat>
          <c:val>
            <c:numRef>
              <c:f>Лист1!$D$2:$D$5</c:f>
              <c:numCache>
                <c:formatCode>#\ ##0.0</c:formatCode>
                <c:ptCount val="4"/>
                <c:pt idx="0">
                  <c:v>111459.9</c:v>
                </c:pt>
                <c:pt idx="1">
                  <c:v>118639.4</c:v>
                </c:pt>
                <c:pt idx="2">
                  <c:v>129333.9</c:v>
                </c:pt>
                <c:pt idx="3">
                  <c:v>141707.29999999999</c:v>
                </c:pt>
              </c:numCache>
            </c:numRef>
          </c:val>
        </c:ser>
        <c:dLbls>
          <c:showLegendKey val="0"/>
          <c:showVal val="0"/>
          <c:showCatName val="0"/>
          <c:showSerName val="0"/>
          <c:showPercent val="0"/>
          <c:showBubbleSize val="0"/>
        </c:dLbls>
        <c:gapWidth val="98"/>
        <c:gapDepth val="64"/>
        <c:shape val="cylinder"/>
        <c:axId val="817458952"/>
        <c:axId val="817453464"/>
        <c:axId val="0"/>
      </c:bar3DChart>
      <c:catAx>
        <c:axId val="817458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ru-RU"/>
          </a:p>
        </c:txPr>
        <c:crossAx val="817453464"/>
        <c:crosses val="autoZero"/>
        <c:auto val="1"/>
        <c:lblAlgn val="ctr"/>
        <c:lblOffset val="100"/>
        <c:noMultiLvlLbl val="0"/>
      </c:catAx>
      <c:valAx>
        <c:axId val="817453464"/>
        <c:scaling>
          <c:orientation val="minMax"/>
          <c:max val="120000"/>
        </c:scaling>
        <c:delete val="1"/>
        <c:axPos val="l"/>
        <c:numFmt formatCode="#\ ##0.0" sourceLinked="1"/>
        <c:majorTickMark val="out"/>
        <c:minorTickMark val="none"/>
        <c:tickLblPos val="nextTo"/>
        <c:crossAx val="817458952"/>
        <c:crosses val="autoZero"/>
        <c:crossBetween val="between"/>
      </c:valAx>
      <c:spPr>
        <a:noFill/>
        <a:ln w="25400">
          <a:noFill/>
        </a:ln>
        <a:effectLst>
          <a:softEdge rad="698500"/>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noFill/>
      <a:round/>
    </a:ln>
    <a:effectLst/>
    <a:scene3d>
      <a:camera prst="orthographicFront"/>
      <a:lightRig rig="threePt" dir="t"/>
    </a:scene3d>
    <a:sp3d/>
  </c:spPr>
  <c:txPr>
    <a:bodyPr/>
    <a:lstStyle/>
    <a:p>
      <a:pPr>
        <a:defRPr>
          <a:effectLst/>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2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Удельный вес ГРБС в общем объеме расходов на 2022 год</c:v>
                </c:pt>
              </c:strCache>
            </c:strRef>
          </c:tx>
          <c:spPr>
            <a:scene3d>
              <a:camera prst="orthographicFront"/>
              <a:lightRig rig="threePt" dir="t"/>
            </a:scene3d>
            <a:sp3d>
              <a:bevelT w="114300" prst="artDeco"/>
              <a:bevelB/>
              <a:contourClr>
                <a:srgbClr val="000000"/>
              </a:contourClr>
            </a:sp3d>
          </c:spPr>
          <c:dPt>
            <c:idx val="0"/>
            <c:bubble3D val="0"/>
            <c:explosion val="2"/>
            <c:spPr>
              <a:solidFill>
                <a:srgbClr val="FF9999"/>
              </a:solidFill>
              <a:ln w="25400">
                <a:solidFill>
                  <a:schemeClr val="lt1"/>
                </a:solidFill>
              </a:ln>
              <a:effectLst/>
              <a:scene3d>
                <a:camera prst="orthographicFront"/>
                <a:lightRig rig="threePt" dir="t"/>
              </a:scene3d>
              <a:sp3d contourW="25400">
                <a:bevelT w="114300" prst="artDeco"/>
                <a:bevelB/>
                <a:contourClr>
                  <a:schemeClr val="lt1"/>
                </a:contourClr>
              </a:sp3d>
            </c:spPr>
          </c:dPt>
          <c:dPt>
            <c:idx val="1"/>
            <c:bubble3D val="0"/>
            <c:explosion val="2"/>
            <c:spPr>
              <a:solidFill>
                <a:schemeClr val="accent2"/>
              </a:solidFill>
              <a:ln w="25400">
                <a:solidFill>
                  <a:schemeClr val="lt1"/>
                </a:solidFill>
              </a:ln>
              <a:effectLst/>
              <a:scene3d>
                <a:camera prst="orthographicFront"/>
                <a:lightRig rig="threePt" dir="t"/>
              </a:scene3d>
              <a:sp3d contourW="25400">
                <a:bevelT w="114300" prst="artDeco"/>
                <a:bevelB/>
                <a:contourClr>
                  <a:schemeClr val="lt1"/>
                </a:contourClr>
              </a:sp3d>
            </c:spPr>
          </c:dPt>
          <c:dPt>
            <c:idx val="2"/>
            <c:bubble3D val="0"/>
            <c:explosion val="2"/>
            <c:spPr>
              <a:solidFill>
                <a:schemeClr val="accent6">
                  <a:lumMod val="60000"/>
                  <a:lumOff val="40000"/>
                </a:schemeClr>
              </a:solidFill>
              <a:ln w="25400">
                <a:solidFill>
                  <a:schemeClr val="lt1"/>
                </a:solidFill>
              </a:ln>
              <a:effectLst/>
              <a:scene3d>
                <a:camera prst="orthographicFront"/>
                <a:lightRig rig="threePt" dir="t"/>
              </a:scene3d>
              <a:sp3d contourW="25400">
                <a:bevelT w="114300" prst="artDeco"/>
                <a:bevelB/>
                <a:contourClr>
                  <a:schemeClr val="lt1"/>
                </a:contourClr>
              </a:sp3d>
            </c:spPr>
          </c:dPt>
          <c:dPt>
            <c:idx val="3"/>
            <c:bubble3D val="0"/>
            <c:explosion val="2"/>
            <c:spPr>
              <a:solidFill>
                <a:schemeClr val="accent4"/>
              </a:solidFill>
              <a:ln w="25400">
                <a:solidFill>
                  <a:schemeClr val="lt1"/>
                </a:solidFill>
              </a:ln>
              <a:effectLst/>
              <a:scene3d>
                <a:camera prst="orthographicFront"/>
                <a:lightRig rig="threePt" dir="t"/>
              </a:scene3d>
              <a:sp3d contourW="25400">
                <a:bevelT w="114300" prst="artDeco"/>
                <a:bevelB/>
                <a:contourClr>
                  <a:schemeClr val="lt1"/>
                </a:contourClr>
              </a:sp3d>
            </c:spPr>
          </c:dPt>
          <c:dPt>
            <c:idx val="4"/>
            <c:bubble3D val="0"/>
            <c:explosion val="2"/>
            <c:spPr>
              <a:solidFill>
                <a:srgbClr val="66CCFF"/>
              </a:solidFill>
              <a:ln w="25400">
                <a:solidFill>
                  <a:schemeClr val="lt1"/>
                </a:solidFill>
              </a:ln>
              <a:effectLst/>
              <a:scene3d>
                <a:camera prst="orthographicFront"/>
                <a:lightRig rig="threePt" dir="t"/>
              </a:scene3d>
              <a:sp3d contourW="25400">
                <a:bevelT w="114300" prst="artDeco"/>
                <a:bevelB/>
                <a:contourClr>
                  <a:schemeClr val="lt1"/>
                </a:contourClr>
              </a:sp3d>
            </c:spPr>
          </c:dPt>
          <c:dLbls>
            <c:dLbl>
              <c:idx val="0"/>
              <c:layout>
                <c:manualLayout>
                  <c:x val="-9.8301560989086892E-2"/>
                  <c:y val="3.2032032032032032E-2"/>
                </c:manualLayout>
              </c:layout>
              <c:tx>
                <c:rich>
                  <a:bodyPr/>
                  <a:lstStyle/>
                  <a:p>
                    <a:fld id="{DF5E7529-39B3-4B47-B519-1A84ACC5FD85}" type="CATEGORYNAME">
                      <a:rPr lang="ru-RU"/>
                      <a:pPr/>
                      <a:t>[ИМЯ КАТЕГОРИИ]</a:t>
                    </a:fld>
                    <a:r>
                      <a:rPr lang="ru-RU" baseline="0"/>
                      <a:t>
39 994,6
30,2%</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1"/>
              <c:layout>
                <c:manualLayout>
                  <c:x val="-8.5526315789473839E-2"/>
                  <c:y val="-0.12703159852766152"/>
                </c:manualLayout>
              </c:layout>
              <c:tx>
                <c:rich>
                  <a:bodyPr/>
                  <a:lstStyle/>
                  <a:p>
                    <a:fld id="{AD3D164D-92FA-488B-8C86-18778CF10097}" type="CATEGORYNAME">
                      <a:rPr lang="ru-RU"/>
                      <a:pPr/>
                      <a:t>[ИМЯ КАТЕГОРИИ]</a:t>
                    </a:fld>
                    <a:r>
                      <a:rPr lang="ru-RU" baseline="0"/>
                      <a:t>
21 610,6
16,4%</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2"/>
              <c:layout>
                <c:manualLayout>
                  <c:x val="9.7671985080812221E-2"/>
                  <c:y val="-6.4064064064064064E-2"/>
                </c:manualLayout>
              </c:layout>
              <c:tx>
                <c:rich>
                  <a:bodyPr/>
                  <a:lstStyle/>
                  <a:p>
                    <a:fld id="{862D3684-4ADF-4E27-A78D-28067D6B4D91}" type="CATEGORYNAME">
                      <a:rPr lang="ru-RU"/>
                      <a:pPr/>
                      <a:t>[ИМЯ КАТЕГОРИИ]</a:t>
                    </a:fld>
                    <a:r>
                      <a:rPr lang="ru-RU" baseline="0"/>
                      <a:t>
21 069,9
15,9%</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3"/>
              <c:layout>
                <c:manualLayout>
                  <c:x val="2.5640972510015184E-2"/>
                  <c:y val="-0.14414414414414414"/>
                </c:manualLayout>
              </c:layout>
              <c:tx>
                <c:rich>
                  <a:bodyPr/>
                  <a:lstStyle/>
                  <a:p>
                    <a:fld id="{9F9DEDF6-F7ED-4291-8F99-4553C243155F}" type="CATEGORYNAME">
                      <a:rPr lang="ru-RU"/>
                      <a:pPr/>
                      <a:t>[ИМЯ КАТЕГОРИИ]</a:t>
                    </a:fld>
                    <a:r>
                      <a:rPr lang="ru-RU" baseline="0"/>
                      <a:t>
13 015,8
9,8%</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4"/>
              <c:layout>
                <c:manualLayout>
                  <c:x val="3.9051837270341186E-2"/>
                  <c:y val="-1.378386260276024E-2"/>
                </c:manualLayout>
              </c:layout>
              <c:tx>
                <c:rich>
                  <a:bodyPr/>
                  <a:lstStyle/>
                  <a:p>
                    <a:fld id="{EE8DF383-B9C8-4471-A132-993C39C004FD}" type="CATEGORYNAME">
                      <a:rPr lang="ru-RU"/>
                      <a:pPr/>
                      <a:t>[ИМЯ КАТЕГОРИИ]</a:t>
                    </a:fld>
                    <a:r>
                      <a:rPr lang="ru-RU" baseline="0"/>
                      <a:t>
36 599,0
27,7%</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50" b="0" i="0" u="none" strike="noStrike" kern="1200" baseline="30000">
                    <a:solidFill>
                      <a:sysClr val="windowText" lastClr="000000"/>
                    </a:solidFill>
                    <a:latin typeface="Times New Roman" panose="02020603050405020304" pitchFamily="18" charset="0"/>
                    <a:ea typeface="+mn-ea"/>
                    <a:cs typeface="+mn-cs"/>
                  </a:defRPr>
                </a:pPr>
                <a:endParaRPr lang="ru-RU"/>
              </a:p>
            </c:txPr>
            <c:dLblPos val="outEnd"/>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Лист1!$A$2:$A$6</c:f>
              <c:strCache>
                <c:ptCount val="5"/>
                <c:pt idx="0">
                  <c:v>Министерство образования  области</c:v>
                </c:pt>
                <c:pt idx="1">
                  <c:v>Министерство труда и социальной защиты области</c:v>
                </c:pt>
                <c:pt idx="2">
                  <c:v>Министерство здравоохранения области</c:v>
                </c:pt>
                <c:pt idx="3">
                  <c:v>Министерство транспорта и дорожного хозяйства области</c:v>
                </c:pt>
                <c:pt idx="4">
                  <c:v>Другие 29 ГРБС</c:v>
                </c:pt>
              </c:strCache>
            </c:strRef>
          </c:cat>
          <c:val>
            <c:numRef>
              <c:f>Лист1!$B$2:$B$6</c:f>
              <c:numCache>
                <c:formatCode>#\ ##0.0</c:formatCode>
                <c:ptCount val="5"/>
                <c:pt idx="0">
                  <c:v>32754.799999999999</c:v>
                </c:pt>
                <c:pt idx="1">
                  <c:v>19242.8</c:v>
                </c:pt>
                <c:pt idx="2">
                  <c:v>18538.900000000001</c:v>
                </c:pt>
                <c:pt idx="3">
                  <c:v>12819.5</c:v>
                </c:pt>
                <c:pt idx="4">
                  <c:v>30694.5</c:v>
                </c:pt>
              </c:numCache>
            </c:numRef>
          </c:val>
        </c:ser>
        <c:dLbls>
          <c:showLegendKey val="0"/>
          <c:showVal val="0"/>
          <c:showCatName val="0"/>
          <c:showSerName val="0"/>
          <c:showPercent val="0"/>
          <c:showBubbleSize val="0"/>
          <c:showLeaderLines val="0"/>
        </c:dLbls>
      </c:pie3DChart>
      <c:spPr>
        <a:noFill/>
        <a:ln>
          <a:solidFill>
            <a:schemeClr val="tx1">
              <a:lumMod val="15000"/>
              <a:lumOff val="85000"/>
            </a:schemeClr>
          </a:solidFill>
        </a:ln>
        <a:effectLst/>
      </c:spPr>
    </c:plotArea>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a:scene3d>
      <a:camera prst="orthographicFront"/>
      <a:lightRig rig="threePt" dir="t"/>
    </a:scene3d>
    <a:sp3d prstMaterial="plastic"/>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0"/>
      <c:depthPercent val="100"/>
      <c:rAngAx val="1"/>
    </c:view3D>
    <c:floor>
      <c:thickness val="0"/>
      <c:spPr>
        <a:solidFill>
          <a:schemeClr val="bg2">
            <a:alpha val="31000"/>
          </a:schemeClr>
        </a:solidFill>
        <a:ln>
          <a:noFill/>
        </a:ln>
        <a:effectLst/>
        <a:sp3d/>
      </c:spPr>
    </c:floor>
    <c:sideWall>
      <c:thickness val="0"/>
      <c:spPr>
        <a:gradFill>
          <a:gsLst>
            <a:gs pos="0">
              <a:schemeClr val="accent1">
                <a:lumMod val="5000"/>
                <a:lumOff val="95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5400000" scaled="1"/>
        </a:gradFill>
        <a:ln>
          <a:noFill/>
        </a:ln>
        <a:effectLst/>
        <a:sp3d/>
      </c:spPr>
    </c:sideWall>
    <c:backWall>
      <c:thickness val="0"/>
      <c:spPr>
        <a:gradFill>
          <a:gsLst>
            <a:gs pos="0">
              <a:schemeClr val="accent1">
                <a:lumMod val="5000"/>
                <a:lumOff val="95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5400000" scaled="1"/>
        </a:gradFill>
        <a:ln>
          <a:noFill/>
        </a:ln>
        <a:effectLst/>
        <a:sp3d/>
      </c:spPr>
    </c:backWall>
    <c:plotArea>
      <c:layout>
        <c:manualLayout>
          <c:layoutTarget val="inner"/>
          <c:xMode val="edge"/>
          <c:yMode val="edge"/>
          <c:x val="6.4693014388701148E-2"/>
          <c:y val="8.5917140392098038E-2"/>
          <c:w val="0.9255317590913108"/>
          <c:h val="0.7347998076680432"/>
        </c:manualLayout>
      </c:layout>
      <c:bar3DChart>
        <c:barDir val="col"/>
        <c:grouping val="percentStacked"/>
        <c:varyColors val="0"/>
        <c:ser>
          <c:idx val="0"/>
          <c:order val="0"/>
          <c:tx>
            <c:strRef>
              <c:f>Лист1!$B$1</c:f>
              <c:strCache>
                <c:ptCount val="1"/>
                <c:pt idx="0">
                  <c:v>непрограммные расходы</c:v>
                </c:pt>
              </c:strCache>
            </c:strRef>
          </c:tx>
          <c:spPr>
            <a:solidFill>
              <a:schemeClr val="accent1"/>
            </a:solidFill>
            <a:ln>
              <a:noFill/>
            </a:ln>
            <a:effectLst/>
            <a:sp3d/>
          </c:spPr>
          <c:invertIfNegative val="0"/>
          <c:dLbls>
            <c:dLbl>
              <c:idx val="0"/>
              <c:layout>
                <c:manualLayout>
                  <c:x val="8.5781685610122234E-3"/>
                  <c:y val="-4.6873423040717831E-3"/>
                </c:manualLayout>
              </c:layout>
              <c:tx>
                <c:rich>
                  <a:bodyPr/>
                  <a:lstStyle/>
                  <a:p>
                    <a:fld id="{E1BF7E10-A804-49AC-B168-3762B843B1F7}" type="CELLRANGE">
                      <a:rPr lang="en-US" b="0"/>
                      <a:pPr/>
                      <a:t>[ДИАПАЗОН ЯЧЕЕК]</a:t>
                    </a:fld>
                    <a:endParaRPr lang="en-US" b="0" baseline="0"/>
                  </a:p>
                  <a:p>
                    <a:fld id="{A70C736B-8F1A-4659-8F37-AE5D6F11CD51}" type="VALUE">
                      <a:rPr lang="en-US" b="1"/>
                      <a:pPr/>
                      <a:t>[ЗНАЧЕНИЕ]</a:t>
                    </a:fld>
                    <a:endParaRPr lang="ru-RU"/>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0-7CFC-4482-AC27-0D537733A56A}"/>
                </c:ext>
                <c:ext xmlns:c15="http://schemas.microsoft.com/office/drawing/2012/chart" uri="{CE6537A1-D6FC-4f65-9D91-7224C49458BB}">
                  <c15:dlblFieldTable/>
                  <c15:showDataLabelsRange val="1"/>
                </c:ext>
              </c:extLst>
            </c:dLbl>
            <c:dLbl>
              <c:idx val="1"/>
              <c:layout>
                <c:manualLayout>
                  <c:x val="8.5781919665105146E-3"/>
                  <c:y val="2.3043273436974226E-3"/>
                </c:manualLayout>
              </c:layout>
              <c:tx>
                <c:rich>
                  <a:bodyPr/>
                  <a:lstStyle/>
                  <a:p>
                    <a:fld id="{D2064DA8-6107-468A-A9B9-5F64590C7988}" type="CELLRANGE">
                      <a:rPr lang="en-US" b="0"/>
                      <a:pPr/>
                      <a:t>[ДИАПАЗОН ЯЧЕЕК]</a:t>
                    </a:fld>
                    <a:endParaRPr lang="en-US" b="0" baseline="0"/>
                  </a:p>
                  <a:p>
                    <a:fld id="{36D41EA1-61E9-4CA5-B083-6A757A5D016A}" type="VALUE">
                      <a:rPr lang="en-US" b="1"/>
                      <a:pPr/>
                      <a:t>[ЗНАЧЕНИЕ]</a:t>
                    </a:fld>
                    <a:endParaRPr lang="ru-RU"/>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1-7CFC-4482-AC27-0D537733A56A}"/>
                </c:ext>
                <c:ext xmlns:c15="http://schemas.microsoft.com/office/drawing/2012/chart" uri="{CE6537A1-D6FC-4f65-9D91-7224C49458BB}">
                  <c15:dlblFieldTable/>
                  <c15:showDataLabelsRange val="1"/>
                </c:ext>
              </c:extLst>
            </c:dLbl>
            <c:dLbl>
              <c:idx val="2"/>
              <c:layout>
                <c:manualLayout>
                  <c:x val="1.2867252841518335E-2"/>
                  <c:y val="5.2187603792592813E-3"/>
                </c:manualLayout>
              </c:layout>
              <c:tx>
                <c:rich>
                  <a:bodyPr/>
                  <a:lstStyle/>
                  <a:p>
                    <a:fld id="{C498E3AC-ECA8-44D9-8AFD-853510AD6B74}" type="CELLRANGE">
                      <a:rPr lang="en-US" b="0"/>
                      <a:pPr/>
                      <a:t>[ДИАПАЗОН ЯЧЕЕК]</a:t>
                    </a:fld>
                    <a:endParaRPr lang="en-US" b="0" baseline="0"/>
                  </a:p>
                  <a:p>
                    <a:fld id="{6630E3DF-8EE5-40D1-80A1-428DB13815C8}" type="VALUE">
                      <a:rPr lang="en-US" b="1"/>
                      <a:pPr/>
                      <a:t>[ЗНАЧЕНИЕ]</a:t>
                    </a:fld>
                    <a:endParaRPr lang="ru-RU"/>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2-7CFC-4482-AC27-0D537733A56A}"/>
                </c:ext>
                <c:ext xmlns:c15="http://schemas.microsoft.com/office/drawing/2012/chart" uri="{CE6537A1-D6FC-4f65-9D91-7224C49458BB}">
                  <c15:dlblFieldTable/>
                  <c15:showDataLabelsRange val="1"/>
                </c:ext>
              </c:extLst>
            </c:dLbl>
            <c:dLbl>
              <c:idx val="3"/>
              <c:layout>
                <c:manualLayout>
                  <c:x val="1.2867252841518335E-2"/>
                  <c:y val="2.894907304612939E-3"/>
                </c:manualLayout>
              </c:layout>
              <c:tx>
                <c:rich>
                  <a:bodyPr/>
                  <a:lstStyle/>
                  <a:p>
                    <a:fld id="{07BBA531-0C22-4D92-812C-37C2CD666DC1}" type="CELLRANGE">
                      <a:rPr lang="en-US" b="0"/>
                      <a:pPr/>
                      <a:t>[ДИАПАЗОН ЯЧЕЕК]</a:t>
                    </a:fld>
                    <a:endParaRPr lang="en-US" b="0" baseline="0"/>
                  </a:p>
                  <a:p>
                    <a:fld id="{4FC8F43D-BB8C-4704-8E99-D46A3E8888DB}" type="VALUE">
                      <a:rPr lang="en-US" b="1"/>
                      <a:pPr/>
                      <a:t>[ЗНАЧЕНИЕ]</a:t>
                    </a:fld>
                    <a:endParaRPr lang="ru-RU"/>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3-7CFC-4482-AC27-0D537733A56A}"/>
                </c:ext>
                <c:ext xmlns:c15="http://schemas.microsoft.com/office/drawing/2012/chart" uri="{CE6537A1-D6FC-4f65-9D91-7224C49458BB}">
                  <c15:dlblFieldTable/>
                  <c15:showDataLabelsRange val="1"/>
                </c:ext>
              </c:extLst>
            </c:dLbl>
            <c:dLbl>
              <c:idx val="4"/>
              <c:layout>
                <c:manualLayout>
                  <c:x val="1.5011794981771392E-2"/>
                  <c:y val="4.6611017016020594E-3"/>
                </c:manualLayout>
              </c:layout>
              <c:tx>
                <c:rich>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Times New Roman" panose="02020603050405020304" pitchFamily="18" charset="0"/>
                        <a:ea typeface="+mn-ea"/>
                        <a:cs typeface="+mn-cs"/>
                      </a:defRPr>
                    </a:pPr>
                    <a:fld id="{840184DC-AB78-4505-A474-370A3CB0D3D9}" type="CELLRANGE">
                      <a:rPr lang="en-US" sz="1000" b="0" baseline="0"/>
                      <a:pPr>
                        <a:defRPr sz="1000" b="1" i="0" u="none" strike="noStrike" kern="1200" baseline="0">
                          <a:solidFill>
                            <a:sysClr val="windowText" lastClr="000000"/>
                          </a:solidFill>
                          <a:latin typeface="Times New Roman" panose="02020603050405020304" pitchFamily="18" charset="0"/>
                          <a:ea typeface="+mn-ea"/>
                          <a:cs typeface="+mn-cs"/>
                        </a:defRPr>
                      </a:pPr>
                      <a:t>[ДИАПАЗОН ЯЧЕЕК]</a:t>
                    </a:fld>
                    <a:r>
                      <a:rPr lang="en-US" sz="1000" baseline="0"/>
                      <a:t>
</a:t>
                    </a:r>
                    <a:fld id="{FE222226-FAC9-4912-AB54-0444CCEE1E8F}" type="VALUE">
                      <a:rPr lang="en-US" sz="1000" b="1" baseline="0"/>
                      <a:pPr>
                        <a:defRPr sz="1000" b="1" i="0" u="none" strike="noStrike" kern="1200" baseline="0">
                          <a:solidFill>
                            <a:sysClr val="windowText" lastClr="000000"/>
                          </a:solidFill>
                          <a:latin typeface="Times New Roman" panose="02020603050405020304" pitchFamily="18" charset="0"/>
                          <a:ea typeface="+mn-ea"/>
                          <a:cs typeface="+mn-cs"/>
                        </a:defRPr>
                      </a:pPr>
                      <a:t>[ЗНАЧЕНИЕ]</a:t>
                    </a:fld>
                    <a:endParaRPr lang="en-US" sz="1000" baseline="0"/>
                  </a:p>
                </c:rich>
              </c:tx>
              <c:spPr>
                <a:noFill/>
                <a:ln>
                  <a:noFill/>
                </a:ln>
                <a:effectLst/>
              </c:spPr>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1-7209-4169-864A-76382D7ACC43}"/>
                </c:ext>
                <c:ext xmlns:c15="http://schemas.microsoft.com/office/drawing/2012/chart" uri="{CE6537A1-D6FC-4f65-9D91-7224C49458BB}">
                  <c15:layout>
                    <c:manualLayout>
                      <c:w val="8.2028736864679389E-2"/>
                      <c:h val="0.11347023710127586"/>
                    </c:manualLayout>
                  </c15:layout>
                  <c15:dlblFieldTable/>
                  <c15:showDataLabelsRange val="1"/>
                </c:ext>
              </c:extLst>
            </c:dLbl>
            <c:dLbl>
              <c:idx val="5"/>
              <c:layout>
                <c:manualLayout>
                  <c:x val="8.5781685610120673E-3"/>
                  <c:y val="-4.6609182008855747E-3"/>
                </c:manualLayout>
              </c:layout>
              <c:tx>
                <c:rich>
                  <a:bodyPr/>
                  <a:lstStyle/>
                  <a:p>
                    <a:fld id="{FBBE8AC9-A7B7-415E-9F89-F14116C47AAB}" type="CELLRANGE">
                      <a:rPr lang="en-US" b="0" baseline="0"/>
                      <a:pPr/>
                      <a:t>[ДИАПАЗОН ЯЧЕЕК]</a:t>
                    </a:fld>
                    <a:r>
                      <a:rPr lang="en-US" baseline="0"/>
                      <a:t>
</a:t>
                    </a:r>
                    <a:fld id="{439C95F8-1147-466D-ACF3-79D0FE2B7D75}" type="VALUE">
                      <a:rPr lang="en-US" b="1" baseline="0"/>
                      <a:pPr/>
                      <a:t>[ЗНАЧЕНИЕ]</a:t>
                    </a:fld>
                    <a:endParaRPr lang="en-US" baseline="0"/>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2-7209-4169-864A-76382D7ACC43}"/>
                </c:ext>
                <c:ext xmlns:c15="http://schemas.microsoft.com/office/drawing/2012/chart" uri="{CE6537A1-D6FC-4f65-9D91-7224C49458BB}">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2024 год</c:v>
                </c:pt>
                <c:pt idx="1">
                  <c:v>2025 год</c:v>
                </c:pt>
                <c:pt idx="2">
                  <c:v>2026 год</c:v>
                </c:pt>
                <c:pt idx="3">
                  <c:v>2027 год</c:v>
                </c:pt>
              </c:strCache>
            </c:strRef>
          </c:cat>
          <c:val>
            <c:numRef>
              <c:f>Лист1!$B$2:$B$5</c:f>
              <c:numCache>
                <c:formatCode>0.00%</c:formatCode>
                <c:ptCount val="4"/>
                <c:pt idx="0">
                  <c:v>0.12770000000000001</c:v>
                </c:pt>
                <c:pt idx="1">
                  <c:v>0.1308</c:v>
                </c:pt>
                <c:pt idx="2">
                  <c:v>8.9300000000000004E-2</c:v>
                </c:pt>
                <c:pt idx="3">
                  <c:v>7.8799999999999995E-2</c:v>
                </c:pt>
              </c:numCache>
            </c:numRef>
          </c:val>
          <c:extLst xmlns:c16r2="http://schemas.microsoft.com/office/drawing/2015/06/chart">
            <c:ext xmlns:c16="http://schemas.microsoft.com/office/drawing/2014/chart" uri="{C3380CC4-5D6E-409C-BE32-E72D297353CC}">
              <c16:uniqueId val="{00000004-7CFC-4482-AC27-0D537733A56A}"/>
            </c:ext>
            <c:ext xmlns:c15="http://schemas.microsoft.com/office/drawing/2012/chart" uri="{02D57815-91ED-43cb-92C2-25804820EDAC}">
              <c15:datalabelsRange>
                <c15:f>Лист1!$E$2:$E$5</c15:f>
                <c15:dlblRangeCache>
                  <c:ptCount val="4"/>
                  <c:pt idx="0">
                    <c:v>19 185,9</c:v>
                  </c:pt>
                  <c:pt idx="1">
                    <c:v>17 300,0</c:v>
                  </c:pt>
                  <c:pt idx="2">
                    <c:v>11 712,9</c:v>
                  </c:pt>
                  <c:pt idx="3">
                    <c:v>10 642,9</c:v>
                  </c:pt>
                </c15:dlblRangeCache>
              </c15:datalabelsRange>
            </c:ext>
          </c:extLst>
        </c:ser>
        <c:ser>
          <c:idx val="1"/>
          <c:order val="1"/>
          <c:tx>
            <c:strRef>
              <c:f>Лист1!$C$1</c:f>
              <c:strCache>
                <c:ptCount val="1"/>
                <c:pt idx="0">
                  <c:v>программные расходы</c:v>
                </c:pt>
              </c:strCache>
            </c:strRef>
          </c:tx>
          <c:spPr>
            <a:solidFill>
              <a:schemeClr val="accent6">
                <a:lumMod val="60000"/>
                <a:lumOff val="40000"/>
              </a:schemeClr>
            </a:solidFill>
            <a:ln>
              <a:noFill/>
            </a:ln>
            <a:effectLst/>
            <a:sp3d/>
          </c:spPr>
          <c:invertIfNegative val="0"/>
          <c:dLbls>
            <c:dLbl>
              <c:idx val="0"/>
              <c:layout>
                <c:manualLayout>
                  <c:x val="8.5781685610122442E-3"/>
                  <c:y val="-7.4737552171010297E-17"/>
                </c:manualLayout>
              </c:layout>
              <c:tx>
                <c:rich>
                  <a:bodyPr/>
                  <a:lstStyle/>
                  <a:p>
                    <a:fld id="{7A3BAAEF-D892-4455-AD4D-E13AB831CBB0}" type="CELLRANGE">
                      <a:rPr lang="en-US" b="0"/>
                      <a:pPr/>
                      <a:t>[ДИАПАЗОН ЯЧЕЕК]</a:t>
                    </a:fld>
                    <a:endParaRPr lang="en-US" b="0" baseline="0"/>
                  </a:p>
                  <a:p>
                    <a:fld id="{58288AFB-7FDE-49E0-9A06-F966B1C3EFB3}" type="VALUE">
                      <a:rPr lang="en-US" b="1"/>
                      <a:pPr/>
                      <a:t>[ЗНАЧЕНИЕ]</a:t>
                    </a:fld>
                    <a:endParaRPr lang="ru-RU"/>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5-7CFC-4482-AC27-0D537733A56A}"/>
                </c:ext>
                <c:ext xmlns:c15="http://schemas.microsoft.com/office/drawing/2012/chart" uri="{CE6537A1-D6FC-4f65-9D91-7224C49458BB}">
                  <c15:dlblFieldTable/>
                  <c15:showDataLabelsRange val="1"/>
                </c:ext>
              </c:extLst>
            </c:dLbl>
            <c:dLbl>
              <c:idx val="1"/>
              <c:layout>
                <c:manualLayout>
                  <c:x val="1.2867204890527886E-2"/>
                  <c:y val="-6.7884783632815131E-3"/>
                </c:manualLayout>
              </c:layout>
              <c:tx>
                <c:rich>
                  <a:bodyPr/>
                  <a:lstStyle/>
                  <a:p>
                    <a:fld id="{173E77F8-7D23-48D4-964D-1EDE40CF252A}" type="CELLRANGE">
                      <a:rPr lang="en-US" b="0"/>
                      <a:pPr/>
                      <a:t>[ДИАПАЗОН ЯЧЕЕК]</a:t>
                    </a:fld>
                    <a:endParaRPr lang="en-US" b="0" baseline="0"/>
                  </a:p>
                  <a:p>
                    <a:fld id="{89C11051-54B7-4468-9635-1E3D9DD0266F}" type="VALUE">
                      <a:rPr lang="en-US" b="1"/>
                      <a:pPr/>
                      <a:t>[ЗНАЧЕНИЕ]</a:t>
                    </a:fld>
                    <a:endParaRPr lang="ru-RU"/>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6-7CFC-4482-AC27-0D537733A56A}"/>
                </c:ext>
                <c:ext xmlns:c15="http://schemas.microsoft.com/office/drawing/2012/chart" uri="{CE6537A1-D6FC-4f65-9D91-7224C49458BB}">
                  <c15:dlblFieldTable/>
                  <c15:showDataLabelsRange val="1"/>
                </c:ext>
              </c:extLst>
            </c:dLbl>
            <c:dLbl>
              <c:idx val="2"/>
              <c:layout>
                <c:manualLayout>
                  <c:x val="1.0722781487756992E-2"/>
                  <c:y val="2.5664916885389327E-2"/>
                </c:manualLayout>
              </c:layout>
              <c:tx>
                <c:rich>
                  <a:bodyPr/>
                  <a:lstStyle/>
                  <a:p>
                    <a:fld id="{699F2BDE-7FDB-401F-BA71-DD4413B50AC9}" type="CELLRANGE">
                      <a:rPr lang="en-US" b="0"/>
                      <a:pPr/>
                      <a:t>[ДИАПАЗОН ЯЧЕЕК]</a:t>
                    </a:fld>
                    <a:endParaRPr lang="en-US" b="0" baseline="0"/>
                  </a:p>
                  <a:p>
                    <a:fld id="{F14C03D8-E2ED-42A5-A5BA-3A26D9581BE7}" type="VALUE">
                      <a:rPr lang="en-US" b="1"/>
                      <a:pPr/>
                      <a:t>[ЗНАЧЕНИЕ]</a:t>
                    </a:fld>
                    <a:endParaRPr lang="ru-RU"/>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7-7CFC-4482-AC27-0D537733A56A}"/>
                </c:ext>
                <c:ext xmlns:c15="http://schemas.microsoft.com/office/drawing/2012/chart" uri="{CE6537A1-D6FC-4f65-9D91-7224C49458BB}">
                  <c15:dlblFieldTable/>
                  <c15:showDataLabelsRange val="1"/>
                </c:ext>
              </c:extLst>
            </c:dLbl>
            <c:dLbl>
              <c:idx val="3"/>
              <c:layout>
                <c:manualLayout>
                  <c:x val="8.5781919665104383E-3"/>
                  <c:y val="-7.6283733764056561E-4"/>
                </c:manualLayout>
              </c:layout>
              <c:tx>
                <c:rich>
                  <a:bodyPr/>
                  <a:lstStyle/>
                  <a:p>
                    <a:fld id="{22EBA611-5DAF-420F-9EFE-58C4597C1F19}" type="CELLRANGE">
                      <a:rPr lang="en-US" b="0"/>
                      <a:pPr/>
                      <a:t>[ДИАПАЗОН ЯЧЕЕК]</a:t>
                    </a:fld>
                    <a:endParaRPr lang="en-US" b="0" baseline="0"/>
                  </a:p>
                  <a:p>
                    <a:fld id="{087667D8-5F64-4A46-B304-D82B0AAD71C6}" type="VALUE">
                      <a:rPr lang="en-US" b="1"/>
                      <a:pPr/>
                      <a:t>[ЗНАЧЕНИЕ]</a:t>
                    </a:fld>
                    <a:endParaRPr lang="ru-RU"/>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8-7CFC-4482-AC27-0D537733A56A}"/>
                </c:ext>
                <c:ext xmlns:c15="http://schemas.microsoft.com/office/drawing/2012/chart" uri="{CE6537A1-D6FC-4f65-9D91-7224C49458BB}">
                  <c15:dlblFieldTable/>
                  <c15:showDataLabelsRange val="1"/>
                </c:ext>
              </c:extLst>
            </c:dLbl>
            <c:dLbl>
              <c:idx val="4"/>
              <c:layout>
                <c:manualLayout>
                  <c:x val="1.0722781487756992E-2"/>
                  <c:y val="-2.7578235412881083E-2"/>
                </c:manualLayout>
              </c:layout>
              <c:tx>
                <c:rich>
                  <a:bodyPr/>
                  <a:lstStyle/>
                  <a:p>
                    <a:fld id="{4ACD9509-98F1-49D9-B45B-380518B062C8}" type="CELLRANGE">
                      <a:rPr lang="en-US" b="0"/>
                      <a:pPr/>
                      <a:t>[ДИАПАЗОН ЯЧЕЕК]</a:t>
                    </a:fld>
                    <a:r>
                      <a:rPr lang="en-US" baseline="0"/>
                      <a:t>
</a:t>
                    </a:r>
                    <a:fld id="{5C5654C1-BC83-447F-9376-962D1413B70C}" type="VALUE">
                      <a:rPr lang="en-US" b="1" baseline="0"/>
                      <a:pPr/>
                      <a:t>[ЗНАЧЕНИЕ]</a:t>
                    </a:fld>
                    <a:endParaRPr lang="en-US" baseline="0"/>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Lst>
            </c:dLbl>
            <c:dLbl>
              <c:idx val="5"/>
              <c:layout>
                <c:manualLayout>
                  <c:x val="1.2867204890527924E-2"/>
                  <c:y val="-6.5980214011710078E-3"/>
                </c:manualLayout>
              </c:layout>
              <c:tx>
                <c:rich>
                  <a:bodyPr/>
                  <a:lstStyle/>
                  <a:p>
                    <a:fld id="{3A62CB6E-DE5D-438C-87F4-82CF33198BF9}" type="CELLRANGE">
                      <a:rPr lang="en-US" b="0"/>
                      <a:pPr/>
                      <a:t>[ДИАПАЗОН ЯЧЕЕК]</a:t>
                    </a:fld>
                    <a:r>
                      <a:rPr lang="en-US" baseline="0"/>
                      <a:t>
</a:t>
                    </a:r>
                    <a:fld id="{7F569CE2-0974-4F93-BEF9-C7B0CF72C3E4}" type="VALUE">
                      <a:rPr lang="en-US" b="1" baseline="0"/>
                      <a:pPr/>
                      <a:t>[ЗНАЧЕНИЕ]</a:t>
                    </a:fld>
                    <a:endParaRPr lang="en-US" baseline="0"/>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2024 год</c:v>
                </c:pt>
                <c:pt idx="1">
                  <c:v>2025 год</c:v>
                </c:pt>
                <c:pt idx="2">
                  <c:v>2026 год</c:v>
                </c:pt>
                <c:pt idx="3">
                  <c:v>2027 год</c:v>
                </c:pt>
              </c:strCache>
            </c:strRef>
          </c:cat>
          <c:val>
            <c:numRef>
              <c:f>Лист1!$C$2:$C$5</c:f>
              <c:numCache>
                <c:formatCode>0.00%</c:formatCode>
                <c:ptCount val="4"/>
                <c:pt idx="0">
                  <c:v>0.87229999999999996</c:v>
                </c:pt>
                <c:pt idx="1">
                  <c:v>0.86919999999999997</c:v>
                </c:pt>
                <c:pt idx="2">
                  <c:v>0.91069999999999995</c:v>
                </c:pt>
                <c:pt idx="3">
                  <c:v>0.92120000000000002</c:v>
                </c:pt>
              </c:numCache>
            </c:numRef>
          </c:val>
          <c:extLst xmlns:c16r2="http://schemas.microsoft.com/office/drawing/2015/06/chart">
            <c:ext xmlns:c16="http://schemas.microsoft.com/office/drawing/2014/chart" uri="{C3380CC4-5D6E-409C-BE32-E72D297353CC}">
              <c16:uniqueId val="{00000009-7CFC-4482-AC27-0D537733A56A}"/>
            </c:ext>
            <c:ext xmlns:c15="http://schemas.microsoft.com/office/drawing/2012/chart" uri="{02D57815-91ED-43cb-92C2-25804820EDAC}">
              <c15:datalabelsRange>
                <c15:f>Лист1!$F$2:$F$5</c15:f>
                <c15:dlblRangeCache>
                  <c:ptCount val="4"/>
                  <c:pt idx="0">
                    <c:v>131 094,6</c:v>
                  </c:pt>
                  <c:pt idx="1">
                    <c:v>114 989,9</c:v>
                  </c:pt>
                  <c:pt idx="2">
                    <c:v>119 389,7</c:v>
                  </c:pt>
                  <c:pt idx="3">
                    <c:v>124 433,9</c:v>
                  </c:pt>
                </c15:dlblRangeCache>
              </c15:datalabelsRange>
            </c:ext>
          </c:extLst>
        </c:ser>
        <c:dLbls>
          <c:showLegendKey val="0"/>
          <c:showVal val="0"/>
          <c:showCatName val="0"/>
          <c:showSerName val="0"/>
          <c:showPercent val="0"/>
          <c:showBubbleSize val="0"/>
        </c:dLbls>
        <c:gapWidth val="60"/>
        <c:shape val="cylinder"/>
        <c:axId val="817456208"/>
        <c:axId val="817459344"/>
        <c:axId val="0"/>
      </c:bar3DChart>
      <c:catAx>
        <c:axId val="817456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17459344"/>
        <c:crosses val="autoZero"/>
        <c:auto val="1"/>
        <c:lblAlgn val="ctr"/>
        <c:lblOffset val="400"/>
        <c:noMultiLvlLbl val="0"/>
      </c:catAx>
      <c:valAx>
        <c:axId val="817459344"/>
        <c:scaling>
          <c:orientation val="minMax"/>
        </c:scaling>
        <c:delete val="0"/>
        <c:axPos val="l"/>
        <c:majorGridlines>
          <c:spPr>
            <a:ln w="9525" cap="flat" cmpd="sng" algn="ctr">
              <a:solidFill>
                <a:sysClr val="windowText" lastClr="000000">
                  <a:lumMod val="25000"/>
                  <a:lumOff val="75000"/>
                </a:sys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817456208"/>
        <c:crosses val="autoZero"/>
        <c:crossBetween val="between"/>
        <c:majorUnit val="0.2"/>
      </c:valAx>
      <c:spPr>
        <a:noFill/>
        <a:ln>
          <a:noFill/>
        </a:ln>
        <a:effectLst/>
      </c:spPr>
    </c:plotArea>
    <c:legend>
      <c:legendPos val="b"/>
      <c:layout>
        <c:manualLayout>
          <c:xMode val="edge"/>
          <c:yMode val="edge"/>
          <c:x val="0.24349503612956985"/>
          <c:y val="0.90530379241789238"/>
          <c:w val="0.51300992774086029"/>
          <c:h val="9.469620758210767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blipFill>
      <a:blip xmlns:r="http://schemas.openxmlformats.org/officeDocument/2006/relationships" r:embed="rId1"/>
      <a:tile tx="0" ty="0" sx="100000" sy="100000" flip="none" algn="tl"/>
    </a:blipFill>
    <a:ln w="9525" cap="flat" cmpd="sng" algn="ctr">
      <a:solidFill>
        <a:schemeClr val="bg2"/>
      </a:solidFill>
      <a:round/>
    </a:ln>
    <a:effectLst/>
  </c:spPr>
  <c:txPr>
    <a:bodyPr/>
    <a:lstStyle/>
    <a:p>
      <a:pPr>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10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474334748776405"/>
          <c:y val="0.24705978129904979"/>
          <c:w val="0.7404051056952996"/>
          <c:h val="0.67298433229345134"/>
        </c:manualLayout>
      </c:layout>
      <c:pie3DChart>
        <c:varyColors val="1"/>
        <c:ser>
          <c:idx val="0"/>
          <c:order val="0"/>
          <c:tx>
            <c:strRef>
              <c:f>Лист1!$B$1</c:f>
              <c:strCache>
                <c:ptCount val="1"/>
                <c:pt idx="0">
                  <c:v>Столбец1</c:v>
                </c:pt>
              </c:strCache>
            </c:strRef>
          </c:tx>
          <c:spPr>
            <a:ln>
              <a:noFill/>
            </a:ln>
          </c:spPr>
          <c:dPt>
            <c:idx val="0"/>
            <c:bubble3D val="0"/>
            <c:explosion val="8"/>
            <c:spPr>
              <a:solidFill>
                <a:schemeClr val="accent1"/>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1-65DB-46C3-981C-01F1A2B5E334}"/>
              </c:ext>
            </c:extLst>
          </c:dPt>
          <c:dPt>
            <c:idx val="1"/>
            <c:bubble3D val="0"/>
            <c:explosion val="8"/>
            <c:spPr>
              <a:solidFill>
                <a:schemeClr val="accent2"/>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3-65DB-46C3-981C-01F1A2B5E334}"/>
              </c:ext>
            </c:extLst>
          </c:dPt>
          <c:dPt>
            <c:idx val="2"/>
            <c:bubble3D val="0"/>
            <c:explosion val="5"/>
            <c:spPr>
              <a:solidFill>
                <a:srgbClr val="B793B7"/>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5-65DB-46C3-981C-01F1A2B5E334}"/>
              </c:ext>
            </c:extLst>
          </c:dPt>
          <c:dPt>
            <c:idx val="3"/>
            <c:bubble3D val="0"/>
            <c:explosion val="8"/>
            <c:spPr>
              <a:solidFill>
                <a:schemeClr val="accent4"/>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7-65DB-46C3-981C-01F1A2B5E334}"/>
              </c:ext>
            </c:extLst>
          </c:dPt>
          <c:dPt>
            <c:idx val="4"/>
            <c:bubble3D val="0"/>
            <c:explosion val="9"/>
            <c:spPr>
              <a:solidFill>
                <a:schemeClr val="accent5"/>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9-65DB-46C3-981C-01F1A2B5E334}"/>
              </c:ext>
            </c:extLst>
          </c:dPt>
          <c:dPt>
            <c:idx val="5"/>
            <c:bubble3D val="0"/>
            <c:explosion val="4"/>
            <c:spPr>
              <a:solidFill>
                <a:schemeClr val="accent6"/>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B-65DB-46C3-981C-01F1A2B5E334}"/>
              </c:ext>
            </c:extLst>
          </c:dPt>
          <c:dPt>
            <c:idx val="6"/>
            <c:bubble3D val="0"/>
            <c:spPr>
              <a:solidFill>
                <a:schemeClr val="accent1">
                  <a:lumMod val="60000"/>
                </a:schemeClr>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D-65DB-46C3-981C-01F1A2B5E334}"/>
              </c:ext>
            </c:extLst>
          </c:dPt>
          <c:dLbls>
            <c:dLbl>
              <c:idx val="0"/>
              <c:layout>
                <c:manualLayout>
                  <c:x val="8.7267661825542783E-2"/>
                  <c:y val="-3.1185157601549642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65DB-46C3-981C-01F1A2B5E334}"/>
                </c:ext>
                <c:ext xmlns:c15="http://schemas.microsoft.com/office/drawing/2012/chart" uri="{CE6537A1-D6FC-4f65-9D91-7224C49458BB}">
                  <c15:spPr xmlns:c15="http://schemas.microsoft.com/office/drawing/2012/chart">
                    <a:prstGeom prst="wedgeRectCallout">
                      <a:avLst/>
                    </a:prstGeom>
                  </c15:spPr>
                  <c15:layout>
                    <c:manualLayout>
                      <c:w val="0.17999991323398626"/>
                      <c:h val="0.21821561193739672"/>
                    </c:manualLayout>
                  </c15:layout>
                </c:ext>
              </c:extLst>
            </c:dLbl>
            <c:dLbl>
              <c:idx val="1"/>
              <c:layout>
                <c:manualLayout>
                  <c:x val="-2.087512201470686E-2"/>
                  <c:y val="7.2065563952156825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5DB-46C3-981C-01F1A2B5E334}"/>
                </c:ext>
                <c:ext xmlns:c15="http://schemas.microsoft.com/office/drawing/2012/chart" uri="{CE6537A1-D6FC-4f65-9D91-7224C49458BB}">
                  <c15:spPr xmlns:c15="http://schemas.microsoft.com/office/drawing/2012/chart">
                    <a:prstGeom prst="wedgeRectCallout">
                      <a:avLst/>
                    </a:prstGeom>
                  </c15:spPr>
                  <c15:layout>
                    <c:manualLayout>
                      <c:w val="0.16639430814949782"/>
                      <c:h val="0.26212851171381352"/>
                    </c:manualLayout>
                  </c15:layout>
                </c:ext>
              </c:extLst>
            </c:dLbl>
            <c:dLbl>
              <c:idx val="2"/>
              <c:layout>
                <c:manualLayout>
                  <c:x val="-7.4348842758291581E-2"/>
                  <c:y val="0.1554697105814793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65DB-46C3-981C-01F1A2B5E334}"/>
                </c:ext>
                <c:ext xmlns:c15="http://schemas.microsoft.com/office/drawing/2012/chart" uri="{CE6537A1-D6FC-4f65-9D91-7224C49458BB}">
                  <c15:spPr xmlns:c15="http://schemas.microsoft.com/office/drawing/2012/chart">
                    <a:prstGeom prst="wedgeRectCallout">
                      <a:avLst/>
                    </a:prstGeom>
                  </c15:spPr>
                  <c15:layout>
                    <c:manualLayout>
                      <c:w val="0.21978629530812777"/>
                      <c:h val="0.29902245552639256"/>
                    </c:manualLayout>
                  </c15:layout>
                </c:ext>
              </c:extLst>
            </c:dLbl>
            <c:dLbl>
              <c:idx val="3"/>
              <c:layout>
                <c:manualLayout>
                  <c:x val="-2.2124948786933104E-2"/>
                  <c:y val="1.7383518408668121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5DB-46C3-981C-01F1A2B5E334}"/>
                </c:ext>
                <c:ext xmlns:c15="http://schemas.microsoft.com/office/drawing/2012/chart" uri="{CE6537A1-D6FC-4f65-9D91-7224C49458BB}">
                  <c15:spPr xmlns:c15="http://schemas.microsoft.com/office/drawing/2012/chart">
                    <a:prstGeom prst="wedgeRectCallout">
                      <a:avLst/>
                    </a:prstGeom>
                  </c15:spPr>
                  <c15:layout>
                    <c:manualLayout>
                      <c:w val="0.2328560334916813"/>
                      <c:h val="0.29337571692427333"/>
                    </c:manualLayout>
                  </c15:layout>
                </c:ext>
              </c:extLst>
            </c:dLbl>
            <c:dLbl>
              <c:idx val="4"/>
              <c:layout>
                <c:manualLayout>
                  <c:x val="0.15067826913181709"/>
                  <c:y val="3.2540708146775781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65DB-46C3-981C-01F1A2B5E334}"/>
                </c:ext>
                <c:ext xmlns:c15="http://schemas.microsoft.com/office/drawing/2012/chart" uri="{CE6537A1-D6FC-4f65-9D91-7224C49458BB}">
                  <c15:spPr xmlns:c15="http://schemas.microsoft.com/office/drawing/2012/chart">
                    <a:prstGeom prst="wedgeRectCallout">
                      <a:avLst/>
                    </a:prstGeom>
                  </c15:spPr>
                  <c15:layout>
                    <c:manualLayout>
                      <c:w val="0.28094123771718615"/>
                      <c:h val="0.2962344706911636"/>
                    </c:manualLayout>
                  </c15:layout>
                </c:ext>
              </c:extLst>
            </c:dLbl>
            <c:dLbl>
              <c:idx val="5"/>
              <c:layout>
                <c:manualLayout>
                  <c:x val="4.7718183987332081E-2"/>
                  <c:y val="0.13079226207835126"/>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65DB-46C3-981C-01F1A2B5E334}"/>
                </c:ext>
                <c:ext xmlns:c15="http://schemas.microsoft.com/office/drawing/2012/chart" uri="{CE6537A1-D6FC-4f65-9D91-7224C49458BB}">
                  <c15:spPr xmlns:c15="http://schemas.microsoft.com/office/drawing/2012/chart">
                    <a:prstGeom prst="wedgeRectCallout">
                      <a:avLst/>
                    </a:prstGeom>
                  </c15:spPr>
                </c:ext>
              </c:extLst>
            </c:dLbl>
            <c:dLbl>
              <c:idx val="6"/>
              <c:delete val="1"/>
              <c:extLst xmlns:c16r2="http://schemas.microsoft.com/office/drawing/2015/06/chart">
                <c:ext xmlns:c16="http://schemas.microsoft.com/office/drawing/2014/chart" uri="{C3380CC4-5D6E-409C-BE32-E72D297353CC}">
                  <c16:uniqueId val="{0000000D-65DB-46C3-981C-01F1A2B5E334}"/>
                </c:ext>
                <c:ext xmlns:c15="http://schemas.microsoft.com/office/drawing/2012/chart" uri="{CE6537A1-D6FC-4f65-9D91-7224C49458BB}"/>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Лист1!$A$2:$A$7</c:f>
              <c:strCache>
                <c:ptCount val="6"/>
                <c:pt idx="0">
                  <c:v>Развитие образования Тульской области</c:v>
                </c:pt>
                <c:pt idx="1">
                  <c:v>Развитие здравоохранения Тульской области</c:v>
                </c:pt>
                <c:pt idx="2">
                  <c:v>Социальная поддержка и социальное обслуживание населения Тульской области</c:v>
                </c:pt>
                <c:pt idx="3">
                  <c:v>Модернизация и развитие автомобильных дорог общего пользования в Тульской области</c:v>
                </c:pt>
                <c:pt idx="4">
                  <c:v>Улучшение демографической ситуации и поддержка семей, воспитывающих детей, в Тульской области</c:v>
                </c:pt>
                <c:pt idx="5">
                  <c:v>Другие 29 госпрограмм</c:v>
                </c:pt>
              </c:strCache>
            </c:strRef>
          </c:cat>
          <c:val>
            <c:numRef>
              <c:f>Лист1!$B$2:$B$7</c:f>
              <c:numCache>
                <c:formatCode>#\ ##0.0</c:formatCode>
                <c:ptCount val="6"/>
                <c:pt idx="0">
                  <c:v>36192.400000000001</c:v>
                </c:pt>
                <c:pt idx="1">
                  <c:v>20334.400000000001</c:v>
                </c:pt>
                <c:pt idx="2">
                  <c:v>13244.7</c:v>
                </c:pt>
                <c:pt idx="3">
                  <c:v>10093.5</c:v>
                </c:pt>
                <c:pt idx="4">
                  <c:v>7661.5</c:v>
                </c:pt>
                <c:pt idx="5">
                  <c:v>27463.4</c:v>
                </c:pt>
              </c:numCache>
            </c:numRef>
          </c:val>
          <c:extLst xmlns:c16r2="http://schemas.microsoft.com/office/drawing/2015/06/chart">
            <c:ext xmlns:c16="http://schemas.microsoft.com/office/drawing/2014/chart" uri="{C3380CC4-5D6E-409C-BE32-E72D297353CC}">
              <c16:uniqueId val="{0000000E-65DB-46C3-981C-01F1A2B5E334}"/>
            </c:ext>
          </c:extLst>
        </c:ser>
        <c:dLbls>
          <c:showLegendKey val="0"/>
          <c:showVal val="0"/>
          <c:showCatName val="0"/>
          <c:showSerName val="0"/>
          <c:showPercent val="0"/>
          <c:showBubbleSize val="0"/>
          <c:showLeaderLines val="0"/>
        </c:dLbls>
      </c:pie3DChart>
      <c:spPr>
        <a:noFill/>
        <a:ln>
          <a:solidFill>
            <a:schemeClr val="accent1">
              <a:lumMod val="20000"/>
              <a:lumOff val="80000"/>
            </a:schemeClr>
          </a:solidFill>
        </a:ln>
        <a:effectLst/>
      </c:spPr>
    </c:plotArea>
    <c:plotVisOnly val="1"/>
    <c:dispBlanksAs val="zero"/>
    <c:showDLblsOverMax val="0"/>
  </c:chart>
  <c:spPr>
    <a:solidFill>
      <a:schemeClr val="accent1">
        <a:lumMod val="20000"/>
        <a:lumOff val="80000"/>
      </a:schemeClr>
    </a:solidFill>
    <a:ln w="9525" cap="flat" cmpd="sng" algn="ctr">
      <a:solidFill>
        <a:schemeClr val="bg2"/>
      </a:solidFill>
      <a:round/>
    </a:ln>
    <a:effectLst/>
  </c:spPr>
  <c:txPr>
    <a:bodyPr/>
    <a:lstStyle/>
    <a:p>
      <a:pPr>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0"/>
      <c:depthPercent val="100"/>
      <c:rAngAx val="1"/>
    </c:view3D>
    <c:floor>
      <c:thickness val="0"/>
      <c:spPr>
        <a:solidFill>
          <a:schemeClr val="bg2">
            <a:alpha val="30000"/>
          </a:schemeClr>
        </a:solidFill>
        <a:ln>
          <a:noFill/>
        </a:ln>
        <a:effectLst/>
        <a:sp3d/>
      </c:spPr>
    </c:floor>
    <c:sideWall>
      <c:thickness val="0"/>
      <c:spPr>
        <a:gradFill>
          <a:gsLst>
            <a:gs pos="0">
              <a:schemeClr val="accent1">
                <a:lumMod val="5000"/>
                <a:lumOff val="95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5400000" scaled="1"/>
        </a:gradFill>
        <a:ln>
          <a:noFill/>
        </a:ln>
        <a:effectLst/>
        <a:sp3d/>
      </c:spPr>
    </c:sideWall>
    <c:backWall>
      <c:thickness val="0"/>
      <c:spPr>
        <a:gradFill>
          <a:gsLst>
            <a:gs pos="0">
              <a:schemeClr val="accent1">
                <a:lumMod val="5000"/>
                <a:lumOff val="95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5400000" scaled="1"/>
        </a:gradFill>
        <a:ln>
          <a:noFill/>
        </a:ln>
        <a:effectLst/>
        <a:sp3d/>
      </c:spPr>
    </c:backWall>
    <c:plotArea>
      <c:layout>
        <c:manualLayout>
          <c:layoutTarget val="inner"/>
          <c:xMode val="edge"/>
          <c:yMode val="edge"/>
          <c:x val="9.1500992359480601E-2"/>
          <c:y val="8.9979849293031919E-2"/>
          <c:w val="0.76937728912987313"/>
          <c:h val="0.68979222758445513"/>
        </c:manualLayout>
      </c:layout>
      <c:bar3DChart>
        <c:barDir val="col"/>
        <c:grouping val="stacked"/>
        <c:varyColors val="0"/>
        <c:ser>
          <c:idx val="0"/>
          <c:order val="0"/>
          <c:tx>
            <c:strRef>
              <c:f>Лист1!$B$1</c:f>
              <c:strCache>
                <c:ptCount val="1"/>
                <c:pt idx="0">
                  <c:v>средства бюджета области</c:v>
                </c:pt>
              </c:strCache>
            </c:strRef>
          </c:tx>
          <c:spPr>
            <a:solidFill>
              <a:schemeClr val="accent1"/>
            </a:solidFill>
            <a:ln>
              <a:noFill/>
            </a:ln>
            <a:effectLst/>
            <a:sp3d/>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2024 год
(33 РП)</c:v>
                </c:pt>
                <c:pt idx="1">
                  <c:v>2025 год
(8 РП)</c:v>
                </c:pt>
                <c:pt idx="2">
                  <c:v>2026 год 
(8 РП)</c:v>
                </c:pt>
                <c:pt idx="3">
                  <c:v>2027 год 
(8 РП)</c:v>
                </c:pt>
              </c:strCache>
            </c:strRef>
          </c:cat>
          <c:val>
            <c:numRef>
              <c:f>Лист1!$B$2:$B$5</c:f>
              <c:numCache>
                <c:formatCode>#\ ##0.0</c:formatCode>
                <c:ptCount val="4"/>
                <c:pt idx="0">
                  <c:v>8408.2999999999993</c:v>
                </c:pt>
                <c:pt idx="1">
                  <c:v>2443.4</c:v>
                </c:pt>
                <c:pt idx="2">
                  <c:v>1507.8</c:v>
                </c:pt>
                <c:pt idx="3">
                  <c:v>1503.4</c:v>
                </c:pt>
              </c:numCache>
            </c:numRef>
          </c:val>
          <c:extLst xmlns:c16r2="http://schemas.microsoft.com/office/drawing/2015/06/chart">
            <c:ext xmlns:c16="http://schemas.microsoft.com/office/drawing/2014/chart" uri="{C3380CC4-5D6E-409C-BE32-E72D297353CC}">
              <c16:uniqueId val="{00000004-7CFC-4482-AC27-0D537733A56A}"/>
            </c:ext>
          </c:extLst>
        </c:ser>
        <c:ser>
          <c:idx val="1"/>
          <c:order val="1"/>
          <c:tx>
            <c:strRef>
              <c:f>Лист1!$C$1</c:f>
              <c:strCache>
                <c:ptCount val="1"/>
                <c:pt idx="0">
                  <c:v>зарезервированные средства бюджета области</c:v>
                </c:pt>
              </c:strCache>
            </c:strRef>
          </c:tx>
          <c:spPr>
            <a:solidFill>
              <a:schemeClr val="accent1">
                <a:lumMod val="40000"/>
                <a:lumOff val="60000"/>
              </a:schemeClr>
            </a:solidFill>
            <a:ln>
              <a:noFill/>
            </a:ln>
            <a:effectLst/>
            <a:sp3d/>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2024 год
(33 РП)</c:v>
                </c:pt>
                <c:pt idx="1">
                  <c:v>2025 год
(8 РП)</c:v>
                </c:pt>
                <c:pt idx="2">
                  <c:v>2026 год 
(8 РП)</c:v>
                </c:pt>
                <c:pt idx="3">
                  <c:v>2027 год 
(8 РП)</c:v>
                </c:pt>
              </c:strCache>
            </c:strRef>
          </c:cat>
          <c:val>
            <c:numRef>
              <c:f>Лист1!$C$2:$C$5</c:f>
              <c:numCache>
                <c:formatCode>#\ ##0.0</c:formatCode>
                <c:ptCount val="4"/>
                <c:pt idx="1">
                  <c:v>2817.9</c:v>
                </c:pt>
                <c:pt idx="2">
                  <c:v>2042.5</c:v>
                </c:pt>
                <c:pt idx="3">
                  <c:v>1656.8</c:v>
                </c:pt>
              </c:numCache>
            </c:numRef>
          </c:val>
          <c:extLst xmlns:c16r2="http://schemas.microsoft.com/office/drawing/2015/06/chart">
            <c:ext xmlns:c16="http://schemas.microsoft.com/office/drawing/2014/chart" uri="{C3380CC4-5D6E-409C-BE32-E72D297353CC}">
              <c16:uniqueId val="{00000009-7CFC-4482-AC27-0D537733A56A}"/>
            </c:ext>
          </c:extLst>
        </c:ser>
        <c:ser>
          <c:idx val="2"/>
          <c:order val="2"/>
          <c:tx>
            <c:strRef>
              <c:f>Лист1!$D$1</c:f>
              <c:strCache>
                <c:ptCount val="1"/>
                <c:pt idx="0">
                  <c:v>средства федерального бюджета</c:v>
                </c:pt>
              </c:strCache>
            </c:strRef>
          </c:tx>
          <c:spPr>
            <a:solidFill>
              <a:schemeClr val="accent6">
                <a:lumMod val="40000"/>
                <a:lumOff val="60000"/>
              </a:schemeClr>
            </a:solidFill>
          </c:spPr>
          <c:invertIfNegative val="0"/>
          <c:dLbls>
            <c:dLbl>
              <c:idx val="1"/>
              <c:layout>
                <c:manualLayout>
                  <c:x val="-4.0270448209882017E-17"/>
                  <c:y val="-2.110817941952506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0540896419764035E-17"/>
                  <c:y val="-2.462620932277924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0540896419764035E-17"/>
                  <c:y val="-2.110817941952500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2024 год
(33 РП)</c:v>
                </c:pt>
                <c:pt idx="1">
                  <c:v>2025 год
(8 РП)</c:v>
                </c:pt>
                <c:pt idx="2">
                  <c:v>2026 год 
(8 РП)</c:v>
                </c:pt>
                <c:pt idx="3">
                  <c:v>2027 год 
(8 РП)</c:v>
                </c:pt>
              </c:strCache>
            </c:strRef>
          </c:cat>
          <c:val>
            <c:numRef>
              <c:f>Лист1!$D$2:$D$5</c:f>
              <c:numCache>
                <c:formatCode>#\ ##0.0</c:formatCode>
                <c:ptCount val="4"/>
                <c:pt idx="0">
                  <c:v>6809.6</c:v>
                </c:pt>
                <c:pt idx="1">
                  <c:v>5.5</c:v>
                </c:pt>
                <c:pt idx="2">
                  <c:v>74.7</c:v>
                </c:pt>
                <c:pt idx="3">
                  <c:v>79.599999999999994</c:v>
                </c:pt>
              </c:numCache>
            </c:numRef>
          </c:val>
        </c:ser>
        <c:dLbls>
          <c:showLegendKey val="0"/>
          <c:showVal val="0"/>
          <c:showCatName val="0"/>
          <c:showSerName val="0"/>
          <c:showPercent val="0"/>
          <c:showBubbleSize val="0"/>
        </c:dLbls>
        <c:gapWidth val="60"/>
        <c:shape val="cylinder"/>
        <c:axId val="817454640"/>
        <c:axId val="817452288"/>
        <c:axId val="0"/>
      </c:bar3DChart>
      <c:catAx>
        <c:axId val="817454640"/>
        <c:scaling>
          <c:orientation val="minMax"/>
        </c:scaling>
        <c:delete val="0"/>
        <c:axPos val="b"/>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17452288"/>
        <c:crosses val="autoZero"/>
        <c:auto val="1"/>
        <c:lblAlgn val="ctr"/>
        <c:lblOffset val="800"/>
        <c:noMultiLvlLbl val="0"/>
      </c:catAx>
      <c:valAx>
        <c:axId val="817452288"/>
        <c:scaling>
          <c:orientation val="minMax"/>
        </c:scaling>
        <c:delete val="0"/>
        <c:axPos val="l"/>
        <c:majorGridlines>
          <c:spPr>
            <a:ln w="9525" cap="flat" cmpd="sng" algn="ctr">
              <a:solidFill>
                <a:sysClr val="windowText" lastClr="000000">
                  <a:lumMod val="25000"/>
                  <a:lumOff val="75000"/>
                </a:sys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817454640"/>
        <c:crosses val="autoZero"/>
        <c:crossBetween val="between"/>
      </c:valAx>
      <c:spPr>
        <a:noFill/>
        <a:ln>
          <a:noFill/>
        </a:ln>
        <a:effectLst/>
      </c:spPr>
    </c:plotArea>
    <c:legend>
      <c:legendPos val="r"/>
      <c:layout>
        <c:manualLayout>
          <c:xMode val="edge"/>
          <c:yMode val="edge"/>
          <c:x val="0.7267779665927262"/>
          <c:y val="7.1605482032424048E-2"/>
          <c:w val="0.25784586646603275"/>
          <c:h val="0.3454428354766999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blipFill>
      <a:blip xmlns:r="http://schemas.openxmlformats.org/officeDocument/2006/relationships" r:embed="rId1"/>
      <a:tile tx="0" ty="0" sx="100000" sy="100000" flip="none" algn="tl"/>
    </a:blipFill>
    <a:ln w="9525" cap="flat" cmpd="sng" algn="ctr">
      <a:solidFill>
        <a:schemeClr val="bg2"/>
      </a:solidFill>
      <a:round/>
    </a:ln>
    <a:effectLst/>
  </c:spPr>
  <c:txPr>
    <a:bodyPr/>
    <a:lstStyle/>
    <a:p>
      <a:pPr>
        <a:defRPr/>
      </a:pPr>
      <a:endParaRPr lang="ru-RU"/>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5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251225998066032"/>
          <c:y val="0.27032029735878732"/>
          <c:w val="0.76619526177648845"/>
          <c:h val="0.69893920810433774"/>
        </c:manualLayout>
      </c:layout>
      <c:pie3DChart>
        <c:varyColors val="1"/>
        <c:ser>
          <c:idx val="0"/>
          <c:order val="0"/>
          <c:tx>
            <c:strRef>
              <c:f>Лист1!$B$1</c:f>
              <c:strCache>
                <c:ptCount val="1"/>
                <c:pt idx="0">
                  <c:v>Столбец1</c:v>
                </c:pt>
              </c:strCache>
            </c:strRef>
          </c:tx>
          <c:spPr>
            <a:ln>
              <a:noFill/>
            </a:ln>
          </c:spPr>
          <c:explosion val="1"/>
          <c:dPt>
            <c:idx val="0"/>
            <c:bubble3D val="0"/>
            <c:explosion val="11"/>
            <c:spPr>
              <a:solidFill>
                <a:schemeClr val="accent1"/>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1-3031-4784-84AC-0D3B500557B0}"/>
              </c:ext>
            </c:extLst>
          </c:dPt>
          <c:dPt>
            <c:idx val="1"/>
            <c:bubble3D val="0"/>
            <c:explosion val="15"/>
            <c:spPr>
              <a:solidFill>
                <a:schemeClr val="accent2"/>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3-3031-4784-84AC-0D3B500557B0}"/>
              </c:ext>
            </c:extLst>
          </c:dPt>
          <c:dPt>
            <c:idx val="2"/>
            <c:bubble3D val="0"/>
            <c:explosion val="16"/>
            <c:spPr>
              <a:solidFill>
                <a:srgbClr val="B793B7"/>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5-3031-4784-84AC-0D3B500557B0}"/>
              </c:ext>
            </c:extLst>
          </c:dPt>
          <c:dPt>
            <c:idx val="3"/>
            <c:bubble3D val="0"/>
            <c:explosion val="17"/>
            <c:spPr>
              <a:solidFill>
                <a:schemeClr val="accent4"/>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7-3031-4784-84AC-0D3B500557B0}"/>
              </c:ext>
            </c:extLst>
          </c:dPt>
          <c:dPt>
            <c:idx val="4"/>
            <c:bubble3D val="0"/>
            <c:explosion val="16"/>
            <c:spPr>
              <a:solidFill>
                <a:schemeClr val="accent5"/>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9-3031-4784-84AC-0D3B500557B0}"/>
              </c:ext>
            </c:extLst>
          </c:dPt>
          <c:dPt>
            <c:idx val="5"/>
            <c:bubble3D val="0"/>
            <c:explosion val="11"/>
            <c:spPr>
              <a:solidFill>
                <a:schemeClr val="accent6"/>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B-3031-4784-84AC-0D3B500557B0}"/>
              </c:ext>
            </c:extLst>
          </c:dPt>
          <c:dPt>
            <c:idx val="6"/>
            <c:bubble3D val="0"/>
            <c:explosion val="7"/>
          </c:dPt>
          <c:dLbls>
            <c:dLbl>
              <c:idx val="0"/>
              <c:layout>
                <c:manualLayout>
                  <c:x val="0.14519953570160149"/>
                  <c:y val="-2.7404149413203592E-2"/>
                </c:manualLayout>
              </c:layout>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3031-4784-84AC-0D3B500557B0}"/>
                </c:ext>
                <c:ext xmlns:c15="http://schemas.microsoft.com/office/drawing/2012/chart" uri="{CE6537A1-D6FC-4f65-9D91-7224C49458BB}">
                  <c15:spPr xmlns:c15="http://schemas.microsoft.com/office/drawing/2012/chart">
                    <a:prstGeom prst="wedgeRectCallout">
                      <a:avLst/>
                    </a:prstGeom>
                  </c15:spPr>
                  <c15:layout>
                    <c:manualLayout>
                      <c:w val="0.19876883767012568"/>
                      <c:h val="0.3016256814052089"/>
                    </c:manualLayout>
                  </c15:layout>
                </c:ext>
              </c:extLst>
            </c:dLbl>
            <c:dLbl>
              <c:idx val="1"/>
              <c:layout>
                <c:manualLayout>
                  <c:x val="-3.819285773840993E-3"/>
                  <c:y val="0.25633094226094039"/>
                </c:manualLayout>
              </c:layout>
              <c:numFmt formatCode="0.0%" sourceLinked="0"/>
              <c:spPr>
                <a:solidFill>
                  <a:sysClr val="window" lastClr="FFFFFF"/>
                </a:solidFill>
                <a:ln>
                  <a:solidFill>
                    <a:sysClr val="window" lastClr="FFFFFF">
                      <a:lumMod val="75000"/>
                    </a:sysClr>
                  </a:solidFill>
                </a:ln>
                <a:effectLst/>
              </c:spPr>
              <c:txPr>
                <a:bodyPr/>
                <a:lstStyle/>
                <a:p>
                  <a:pPr>
                    <a:defRPr sz="900" baseline="0">
                      <a:latin typeface="Times New Roman" panose="02020603050405020304" pitchFamily="18" charset="0"/>
                      <a:cs typeface="Times New Roman" panose="02020603050405020304" pitchFamily="18" charset="0"/>
                    </a:defRPr>
                  </a:pPr>
                  <a:endParaRPr lang="ru-RU"/>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031-4784-84AC-0D3B500557B0}"/>
                </c:ext>
                <c:ext xmlns:c15="http://schemas.microsoft.com/office/drawing/2012/chart" uri="{CE6537A1-D6FC-4f65-9D91-7224C49458BB}">
                  <c15:spPr xmlns:c15="http://schemas.microsoft.com/office/drawing/2012/chart">
                    <a:prstGeom prst="wedgeRectCallout">
                      <a:avLst/>
                    </a:prstGeom>
                  </c15:spPr>
                  <c15:layout>
                    <c:manualLayout>
                      <c:w val="0.22967178607624539"/>
                      <c:h val="0.32374691583170634"/>
                    </c:manualLayout>
                  </c15:layout>
                </c:ext>
              </c:extLst>
            </c:dLbl>
            <c:dLbl>
              <c:idx val="2"/>
              <c:layout>
                <c:manualLayout>
                  <c:x val="-8.4330187203420781E-2"/>
                  <c:y val="2.3149202503533216E-2"/>
                </c:manualLayout>
              </c:layout>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15:layout>
                    <c:manualLayout>
                      <c:w val="0.20775408040882307"/>
                      <c:h val="0.30390430042398547"/>
                    </c:manualLayout>
                  </c15:layout>
                </c:ext>
              </c:extLst>
            </c:dLbl>
            <c:dLbl>
              <c:idx val="3"/>
              <c:layout>
                <c:manualLayout>
                  <c:x val="-8.3881049522275056E-2"/>
                  <c:y val="-2.7469229834009169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031-4784-84AC-0D3B500557B0}"/>
                </c:ext>
                <c:ext xmlns:c15="http://schemas.microsoft.com/office/drawing/2012/chart" uri="{CE6537A1-D6FC-4f65-9D91-7224C49458BB}">
                  <c15:layout>
                    <c:manualLayout>
                      <c:w val="0.22271181448853547"/>
                      <c:h val="0.23871183676972255"/>
                    </c:manualLayout>
                  </c15:layout>
                </c:ext>
              </c:extLst>
            </c:dLbl>
            <c:dLbl>
              <c:idx val="4"/>
              <c:layout>
                <c:manualLayout>
                  <c:x val="9.2221096125360572E-2"/>
                  <c:y val="6.7425747530877447E-2"/>
                </c:manualLayout>
              </c:layout>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15:layout>
                    <c:manualLayout>
                      <c:w val="0.18893205402304844"/>
                      <c:h val="0.29151988693720976"/>
                    </c:manualLayout>
                  </c15:layout>
                </c:ext>
              </c:extLst>
            </c:dLbl>
            <c:dLbl>
              <c:idx val="5"/>
              <c:layout>
                <c:manualLayout>
                  <c:x val="8.2681118600589548E-2"/>
                  <c:y val="-5.236745938134249E-2"/>
                </c:manualLayout>
              </c:layout>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3031-4784-84AC-0D3B500557B0}"/>
                </c:ext>
                <c:ext xmlns:c15="http://schemas.microsoft.com/office/drawing/2012/chart" uri="{CE6537A1-D6FC-4f65-9D91-7224C49458BB}">
                  <c15:spPr xmlns:c15="http://schemas.microsoft.com/office/drawing/2012/chart">
                    <a:prstGeom prst="wedgeRectCallout">
                      <a:avLst/>
                    </a:prstGeom>
                  </c15:spPr>
                  <c15:layout>
                    <c:manualLayout>
                      <c:w val="0.19402861066207783"/>
                      <c:h val="0.23683343428225317"/>
                    </c:manualLayout>
                  </c15:layout>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РП И8 "Региональная и местная дорожная сеть"</c:v>
                </c:pt>
                <c:pt idx="1">
                  <c:v>РП Э1 "Малое и среднее предпринимательство и поддержка индивидуальной предпринимательской инициативы"</c:v>
                </c:pt>
                <c:pt idx="2">
                  <c:v>РП И9 "Общесистемные меры развития дорожного хозяйства"</c:v>
                </c:pt>
                <c:pt idx="3">
                  <c:v>РП И4 "Формирование комфортной городской среды"</c:v>
                </c:pt>
                <c:pt idx="4">
                  <c:v>Другие 4 РП</c:v>
                </c:pt>
              </c:strCache>
            </c:strRef>
          </c:cat>
          <c:val>
            <c:numRef>
              <c:f>Лист1!$B$2:$B$6</c:f>
              <c:numCache>
                <c:formatCode>#\ ##0.0</c:formatCode>
                <c:ptCount val="5"/>
                <c:pt idx="0">
                  <c:v>1459.5</c:v>
                </c:pt>
                <c:pt idx="1">
                  <c:v>107.5</c:v>
                </c:pt>
                <c:pt idx="2">
                  <c:v>494.7</c:v>
                </c:pt>
                <c:pt idx="3">
                  <c:v>350</c:v>
                </c:pt>
                <c:pt idx="4">
                  <c:v>37.200000000000003</c:v>
                </c:pt>
              </c:numCache>
            </c:numRef>
          </c:val>
          <c:extLst xmlns:c16r2="http://schemas.microsoft.com/office/drawing/2015/06/chart">
            <c:ext xmlns:c16="http://schemas.microsoft.com/office/drawing/2014/chart" uri="{C3380CC4-5D6E-409C-BE32-E72D297353CC}">
              <c16:uniqueId val="{0000000C-3031-4784-84AC-0D3B500557B0}"/>
            </c:ext>
          </c:extLst>
        </c:ser>
        <c:dLbls>
          <c:showLegendKey val="0"/>
          <c:showVal val="0"/>
          <c:showCatName val="0"/>
          <c:showSerName val="0"/>
          <c:showPercent val="0"/>
          <c:showBubbleSize val="0"/>
          <c:showLeaderLines val="0"/>
        </c:dLbls>
      </c:pie3DChart>
      <c:spPr>
        <a:noFill/>
        <a:ln>
          <a:noFill/>
        </a:ln>
        <a:effectLst/>
      </c:spPr>
    </c:plotArea>
    <c:plotVisOnly val="1"/>
    <c:dispBlanksAs val="zero"/>
    <c:showDLblsOverMax val="0"/>
  </c:chart>
  <c:spPr>
    <a:solidFill>
      <a:schemeClr val="accent6">
        <a:lumMod val="20000"/>
        <a:lumOff val="80000"/>
      </a:schemeClr>
    </a:solidFill>
    <a:ln w="9525" cap="flat" cmpd="sng" algn="ctr">
      <a:solidFill>
        <a:schemeClr val="bg2"/>
      </a:solidFill>
      <a:round/>
    </a:ln>
    <a:effectLst/>
  </c:spPr>
  <c:txPr>
    <a:bodyPr/>
    <a:lstStyle/>
    <a:p>
      <a:pPr>
        <a:defRPr/>
      </a:pPr>
      <a:endParaRPr lang="ru-RU"/>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65700922000134"/>
          <c:y val="2.416666666666668E-2"/>
          <c:w val="0.84868228009960289"/>
          <c:h val="0.77601072993629105"/>
        </c:manualLayout>
      </c:layout>
      <c:bar3DChart>
        <c:barDir val="bar"/>
        <c:grouping val="percentStacked"/>
        <c:varyColors val="0"/>
        <c:ser>
          <c:idx val="0"/>
          <c:order val="0"/>
          <c:tx>
            <c:strRef>
              <c:f>Лист1!$B$1</c:f>
              <c:strCache>
                <c:ptCount val="1"/>
                <c:pt idx="0">
                  <c:v>Дотации</c:v>
                </c:pt>
              </c:strCache>
            </c:strRef>
          </c:tx>
          <c:spPr>
            <a:solidFill>
              <a:schemeClr val="accent6">
                <a:lumMod val="75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4"/>
                <c:pt idx="0">
                  <c:v>2027 г.</c:v>
                </c:pt>
                <c:pt idx="1">
                  <c:v>2026 г.</c:v>
                </c:pt>
                <c:pt idx="2">
                  <c:v>2025 г.</c:v>
                </c:pt>
                <c:pt idx="3">
                  <c:v>2024 г.</c:v>
                </c:pt>
              </c:strCache>
            </c:strRef>
          </c:cat>
          <c:val>
            <c:numRef>
              <c:f>Лист1!$B$2:$B$5</c:f>
              <c:numCache>
                <c:formatCode>General</c:formatCode>
                <c:ptCount val="4"/>
                <c:pt idx="0">
                  <c:v>9.1999999999999993</c:v>
                </c:pt>
                <c:pt idx="1">
                  <c:v>9.1</c:v>
                </c:pt>
                <c:pt idx="2">
                  <c:v>8.3000000000000007</c:v>
                </c:pt>
                <c:pt idx="3">
                  <c:v>6.9</c:v>
                </c:pt>
              </c:numCache>
            </c:numRef>
          </c:val>
        </c:ser>
        <c:ser>
          <c:idx val="1"/>
          <c:order val="1"/>
          <c:tx>
            <c:strRef>
              <c:f>Лист1!$C$1</c:f>
              <c:strCache>
                <c:ptCount val="1"/>
                <c:pt idx="0">
                  <c:v>Субсидии</c:v>
                </c:pt>
              </c:strCache>
            </c:strRef>
          </c:tx>
          <c:spPr>
            <a:solidFill>
              <a:schemeClr val="accent6">
                <a:lumMod val="60000"/>
                <a:lumOff val="40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4"/>
                <c:pt idx="0">
                  <c:v>2027 г.</c:v>
                </c:pt>
                <c:pt idx="1">
                  <c:v>2026 г.</c:v>
                </c:pt>
                <c:pt idx="2">
                  <c:v>2025 г.</c:v>
                </c:pt>
                <c:pt idx="3">
                  <c:v>2024 г.</c:v>
                </c:pt>
              </c:strCache>
            </c:strRef>
          </c:cat>
          <c:val>
            <c:numRef>
              <c:f>Лист1!$C$2:$C$5</c:f>
              <c:numCache>
                <c:formatCode>General</c:formatCode>
                <c:ptCount val="4"/>
                <c:pt idx="0" formatCode="0.0;[Red]0.0">
                  <c:v>8</c:v>
                </c:pt>
                <c:pt idx="1">
                  <c:v>10.1</c:v>
                </c:pt>
                <c:pt idx="2">
                  <c:v>15.7</c:v>
                </c:pt>
                <c:pt idx="3">
                  <c:v>24.3</c:v>
                </c:pt>
              </c:numCache>
            </c:numRef>
          </c:val>
        </c:ser>
        <c:ser>
          <c:idx val="2"/>
          <c:order val="2"/>
          <c:tx>
            <c:strRef>
              <c:f>Лист1!$D$1</c:f>
              <c:strCache>
                <c:ptCount val="1"/>
                <c:pt idx="0">
                  <c:v>Субвенции</c:v>
                </c:pt>
              </c:strCache>
            </c:strRef>
          </c:tx>
          <c:spPr>
            <a:solidFill>
              <a:schemeClr val="accent6">
                <a:lumMod val="40000"/>
                <a:lumOff val="60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4"/>
                <c:pt idx="0">
                  <c:v>2027 г.</c:v>
                </c:pt>
                <c:pt idx="1">
                  <c:v>2026 г.</c:v>
                </c:pt>
                <c:pt idx="2">
                  <c:v>2025 г.</c:v>
                </c:pt>
                <c:pt idx="3">
                  <c:v>2024 г.</c:v>
                </c:pt>
              </c:strCache>
            </c:strRef>
          </c:cat>
          <c:val>
            <c:numRef>
              <c:f>Лист1!$D$2:$D$5</c:f>
              <c:numCache>
                <c:formatCode>General</c:formatCode>
                <c:ptCount val="4"/>
                <c:pt idx="0">
                  <c:v>81.400000000000006</c:v>
                </c:pt>
                <c:pt idx="1">
                  <c:v>79.3</c:v>
                </c:pt>
                <c:pt idx="2">
                  <c:v>69.3</c:v>
                </c:pt>
                <c:pt idx="3" formatCode="0.0;[Red]0.0">
                  <c:v>53</c:v>
                </c:pt>
              </c:numCache>
            </c:numRef>
          </c:val>
        </c:ser>
        <c:ser>
          <c:idx val="3"/>
          <c:order val="3"/>
          <c:tx>
            <c:strRef>
              <c:f>Лист1!$E$1</c:f>
              <c:strCache>
                <c:ptCount val="1"/>
                <c:pt idx="0">
                  <c:v>Иные межбюджетные трансферты</c:v>
                </c:pt>
              </c:strCache>
            </c:strRef>
          </c:tx>
          <c:spPr>
            <a:solidFill>
              <a:schemeClr val="accent6">
                <a:lumMod val="20000"/>
                <a:lumOff val="80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4"/>
                <c:pt idx="0">
                  <c:v>2027 г.</c:v>
                </c:pt>
                <c:pt idx="1">
                  <c:v>2026 г.</c:v>
                </c:pt>
                <c:pt idx="2">
                  <c:v>2025 г.</c:v>
                </c:pt>
                <c:pt idx="3">
                  <c:v>2024 г.</c:v>
                </c:pt>
              </c:strCache>
            </c:strRef>
          </c:cat>
          <c:val>
            <c:numRef>
              <c:f>Лист1!$E$2:$E$5</c:f>
              <c:numCache>
                <c:formatCode>General</c:formatCode>
                <c:ptCount val="4"/>
                <c:pt idx="0">
                  <c:v>1.3</c:v>
                </c:pt>
                <c:pt idx="1">
                  <c:v>1.5</c:v>
                </c:pt>
                <c:pt idx="2">
                  <c:v>6.6</c:v>
                </c:pt>
                <c:pt idx="3">
                  <c:v>15.9</c:v>
                </c:pt>
              </c:numCache>
            </c:numRef>
          </c:val>
        </c:ser>
        <c:dLbls>
          <c:showLegendKey val="0"/>
          <c:showVal val="0"/>
          <c:showCatName val="0"/>
          <c:showSerName val="0"/>
          <c:showPercent val="0"/>
          <c:showBubbleSize val="0"/>
        </c:dLbls>
        <c:gapWidth val="150"/>
        <c:shape val="box"/>
        <c:axId val="817452680"/>
        <c:axId val="817454248"/>
        <c:axId val="0"/>
      </c:bar3DChart>
      <c:catAx>
        <c:axId val="81745268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17454248"/>
        <c:crosses val="autoZero"/>
        <c:auto val="1"/>
        <c:lblAlgn val="ctr"/>
        <c:lblOffset val="100"/>
        <c:noMultiLvlLbl val="0"/>
      </c:catAx>
      <c:valAx>
        <c:axId val="81745424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817452680"/>
        <c:crosses val="autoZero"/>
        <c:crossBetween val="between"/>
      </c:valAx>
      <c:spPr>
        <a:noFill/>
        <a:ln>
          <a:noFill/>
        </a:ln>
        <a:effectLst/>
      </c:spPr>
    </c:plotArea>
    <c:legend>
      <c:legendPos val="b"/>
      <c:layout>
        <c:manualLayout>
          <c:xMode val="edge"/>
          <c:yMode val="edge"/>
          <c:x val="0.13105197365877547"/>
          <c:y val="0.90384633738964448"/>
          <c:w val="0.73789605268244907"/>
          <c:h val="9.615366261035551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03415580535061"/>
          <c:y val="9.9656783516394926E-2"/>
          <c:w val="0.82066804984491848"/>
          <c:h val="0.63508025660614953"/>
        </c:manualLayout>
      </c:layout>
      <c:barChart>
        <c:barDir val="col"/>
        <c:grouping val="stacked"/>
        <c:varyColors val="0"/>
        <c:ser>
          <c:idx val="0"/>
          <c:order val="0"/>
          <c:tx>
            <c:strRef>
              <c:f>Лист1!$B$1</c:f>
              <c:strCache>
                <c:ptCount val="1"/>
                <c:pt idx="0">
                  <c:v>Объем (верхний предел) государственного долга области по коммерческим кредитам</c:v>
                </c:pt>
              </c:strCache>
            </c:strRef>
          </c:tx>
          <c:spPr>
            <a:gradFill flip="none" rotWithShape="1">
              <a:gsLst>
                <a:gs pos="0">
                  <a:srgbClr val="CC99FF"/>
                </a:gs>
                <a:gs pos="100000">
                  <a:schemeClr val="accent2">
                    <a:lumMod val="40000"/>
                    <a:lumOff val="60000"/>
                  </a:schemeClr>
                </a:gs>
              </a:gsLst>
              <a:lin ang="54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На 01.01.2025
(Закон)</c:v>
                </c:pt>
                <c:pt idx="1">
                  <c:v>На 01.01.2026
(Законопроект)</c:v>
                </c:pt>
                <c:pt idx="2">
                  <c:v>На 01.01.2027
(Законопроект)</c:v>
                </c:pt>
                <c:pt idx="3">
                  <c:v>На 01.01.2028
(Законопроект)</c:v>
                </c:pt>
              </c:strCache>
            </c:strRef>
          </c:cat>
          <c:val>
            <c:numRef>
              <c:f>Лист1!$B$2:$B$5</c:f>
              <c:numCache>
                <c:formatCode>#\ ##0.0</c:formatCode>
                <c:ptCount val="4"/>
                <c:pt idx="0">
                  <c:v>6972</c:v>
                </c:pt>
                <c:pt idx="1">
                  <c:v>12365.4</c:v>
                </c:pt>
                <c:pt idx="2">
                  <c:v>11151.3</c:v>
                </c:pt>
                <c:pt idx="3">
                  <c:v>5467.9</c:v>
                </c:pt>
              </c:numCache>
            </c:numRef>
          </c:val>
        </c:ser>
        <c:ser>
          <c:idx val="1"/>
          <c:order val="1"/>
          <c:tx>
            <c:strRef>
              <c:f>Лист1!$C$1</c:f>
              <c:strCache>
                <c:ptCount val="1"/>
                <c:pt idx="0">
                  <c:v>Объем (верхний предел) государственного долга области по бюджетным кредитам</c:v>
                </c:pt>
              </c:strCache>
            </c:strRef>
          </c:tx>
          <c:spPr>
            <a:gradFill>
              <a:gsLst>
                <a:gs pos="0">
                  <a:schemeClr val="accent4"/>
                </a:gs>
                <a:gs pos="100000">
                  <a:schemeClr val="accent2">
                    <a:lumMod val="20000"/>
                    <a:lumOff val="80000"/>
                  </a:schemeClr>
                </a:gs>
              </a:gsLst>
              <a:lin ang="540000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lumMod val="50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На 01.01.2025
(Закон)</c:v>
                </c:pt>
                <c:pt idx="1">
                  <c:v>На 01.01.2026
(Законопроект)</c:v>
                </c:pt>
                <c:pt idx="2">
                  <c:v>На 01.01.2027
(Законопроект)</c:v>
                </c:pt>
                <c:pt idx="3">
                  <c:v>На 01.01.2028
(Законопроект)</c:v>
                </c:pt>
              </c:strCache>
            </c:strRef>
          </c:cat>
          <c:val>
            <c:numRef>
              <c:f>Лист1!$C$2:$C$5</c:f>
              <c:numCache>
                <c:formatCode>#\ ##0.0</c:formatCode>
                <c:ptCount val="4"/>
                <c:pt idx="0">
                  <c:v>22187.200000000001</c:v>
                </c:pt>
                <c:pt idx="1">
                  <c:v>21690</c:v>
                </c:pt>
                <c:pt idx="2">
                  <c:v>20120.5</c:v>
                </c:pt>
                <c:pt idx="3">
                  <c:v>18479</c:v>
                </c:pt>
              </c:numCache>
            </c:numRef>
          </c:val>
        </c:ser>
        <c:ser>
          <c:idx val="2"/>
          <c:order val="2"/>
          <c:tx>
            <c:strRef>
              <c:f>Лист1!$D$1</c:f>
              <c:strCache>
                <c:ptCount val="1"/>
                <c:pt idx="0">
                  <c:v>Объем (верхний предел) государственного долга области по государственным гарантиям</c:v>
                </c:pt>
              </c:strCache>
            </c:strRef>
          </c:tx>
          <c:spPr>
            <a:gradFill>
              <a:gsLst>
                <a:gs pos="0">
                  <a:schemeClr val="accent6"/>
                </a:gs>
                <a:gs pos="100000">
                  <a:schemeClr val="accent2">
                    <a:lumMod val="20000"/>
                    <a:lumOff val="80000"/>
                  </a:schemeClr>
                </a:gs>
              </a:gsLst>
              <a:lin ang="5400000" scaled="1"/>
            </a:gradFill>
            <a:ln w="28575" cap="rnd">
              <a:noFill/>
              <a:prstDash val="dash"/>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lumMod val="50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На 01.01.2025
(Закон)</c:v>
                </c:pt>
                <c:pt idx="1">
                  <c:v>На 01.01.2026
(Законопроект)</c:v>
                </c:pt>
                <c:pt idx="2">
                  <c:v>На 01.01.2027
(Законопроект)</c:v>
                </c:pt>
                <c:pt idx="3">
                  <c:v>На 01.01.2028
(Законопроект)</c:v>
                </c:pt>
              </c:strCache>
            </c:strRef>
          </c:cat>
          <c:val>
            <c:numRef>
              <c:f>Лист1!$D$2:$D$5</c:f>
              <c:numCache>
                <c:formatCode>#\ ##0.0</c:formatCode>
                <c:ptCount val="4"/>
                <c:pt idx="0">
                  <c:v>3974</c:v>
                </c:pt>
                <c:pt idx="1">
                  <c:v>3974</c:v>
                </c:pt>
                <c:pt idx="2">
                  <c:v>3974</c:v>
                </c:pt>
                <c:pt idx="3">
                  <c:v>3974</c:v>
                </c:pt>
              </c:numCache>
            </c:numRef>
          </c:val>
        </c:ser>
        <c:dLbls>
          <c:showLegendKey val="0"/>
          <c:showVal val="0"/>
          <c:showCatName val="0"/>
          <c:showSerName val="0"/>
          <c:showPercent val="0"/>
          <c:showBubbleSize val="0"/>
        </c:dLbls>
        <c:gapWidth val="50"/>
        <c:overlap val="100"/>
        <c:axId val="817458560"/>
        <c:axId val="813478160"/>
      </c:barChart>
      <c:catAx>
        <c:axId val="81745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13478160"/>
        <c:crosses val="autoZero"/>
        <c:auto val="1"/>
        <c:lblAlgn val="ctr"/>
        <c:lblOffset val="100"/>
        <c:noMultiLvlLbl val="0"/>
      </c:catAx>
      <c:valAx>
        <c:axId val="813478160"/>
        <c:scaling>
          <c:orientation val="minMax"/>
          <c:max val="45000"/>
          <c:min val="0"/>
        </c:scaling>
        <c:delete val="1"/>
        <c:axPos val="l"/>
        <c:majorGridlines>
          <c:spPr>
            <a:ln w="9525" cap="flat" cmpd="sng" algn="ctr">
              <a:solidFill>
                <a:schemeClr val="tx1">
                  <a:lumMod val="15000"/>
                  <a:lumOff val="85000"/>
                </a:schemeClr>
              </a:solidFill>
              <a:round/>
            </a:ln>
            <a:effectLst/>
          </c:spPr>
        </c:majorGridlines>
        <c:numFmt formatCode="#\ ##0.0" sourceLinked="1"/>
        <c:majorTickMark val="out"/>
        <c:minorTickMark val="none"/>
        <c:tickLblPos val="nextTo"/>
        <c:crossAx val="817458560"/>
        <c:crosses val="autoZero"/>
        <c:crossBetween val="between"/>
      </c:valAx>
      <c:spPr>
        <a:noFill/>
        <a:ln>
          <a:noFill/>
        </a:ln>
        <a:effectLst/>
      </c:spPr>
    </c:plotArea>
    <c:legend>
      <c:legendPos val="b"/>
      <c:layout>
        <c:manualLayout>
          <c:xMode val="edge"/>
          <c:yMode val="edge"/>
          <c:x val="0.10564412478905129"/>
          <c:y val="0.82146636600002465"/>
          <c:w val="0.86972969105745801"/>
          <c:h val="0.1738678791911574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11000">
          <a:srgbClr val="5B9BD5">
            <a:lumMod val="1000"/>
            <a:lumOff val="99000"/>
          </a:srgbClr>
        </a:gs>
        <a:gs pos="100000">
          <a:srgbClr val="5B9BD5">
            <a:lumMod val="45000"/>
            <a:lumOff val="55000"/>
          </a:srgbClr>
        </a:gs>
        <a:gs pos="100000">
          <a:srgbClr val="5B9BD5">
            <a:lumMod val="45000"/>
            <a:lumOff val="55000"/>
          </a:srgbClr>
        </a:gs>
        <a:gs pos="100000">
          <a:srgbClr val="5B9BD5">
            <a:lumMod val="30000"/>
            <a:lumOff val="70000"/>
          </a:srgbClr>
        </a:gs>
      </a:gsLst>
      <a:lin ang="5400000" scaled="1"/>
      <a:tileRect/>
    </a:gradFill>
    <a:ln w="9525" cap="flat" cmpd="sng" algn="ctr">
      <a:solidFill>
        <a:srgbClr val="E7E6E6"/>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0.21797</cdr:x>
      <cdr:y>0.36189</cdr:y>
    </cdr:from>
    <cdr:to>
      <cdr:x>0.31233</cdr:x>
      <cdr:y>0.43133</cdr:y>
    </cdr:to>
    <cdr:sp macro="" textlink="">
      <cdr:nvSpPr>
        <cdr:cNvPr id="3" name="Прямоугольник 2"/>
        <cdr:cNvSpPr/>
      </cdr:nvSpPr>
      <cdr:spPr>
        <a:xfrm xmlns:a="http://schemas.openxmlformats.org/drawingml/2006/main">
          <a:off x="1287222" y="1454624"/>
          <a:ext cx="557243" cy="27911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(82,0%)</a:t>
          </a:r>
        </a:p>
      </cdr:txBody>
    </cdr:sp>
  </cdr:relSizeAnchor>
  <cdr:relSizeAnchor xmlns:cdr="http://schemas.openxmlformats.org/drawingml/2006/chartDrawing">
    <cdr:from>
      <cdr:x>0.22605</cdr:x>
      <cdr:y>0.8274</cdr:y>
    </cdr:from>
    <cdr:to>
      <cdr:x>0.31843</cdr:x>
      <cdr:y>0.88818</cdr:y>
    </cdr:to>
    <cdr:sp macro="" textlink="">
      <cdr:nvSpPr>
        <cdr:cNvPr id="12" name="Прямоугольник 11"/>
        <cdr:cNvSpPr/>
      </cdr:nvSpPr>
      <cdr:spPr>
        <a:xfrm xmlns:a="http://schemas.openxmlformats.org/drawingml/2006/main">
          <a:off x="1309101" y="3522800"/>
          <a:ext cx="534991" cy="25878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(13,9%)</a:t>
          </a:r>
        </a:p>
      </cdr:txBody>
    </cdr:sp>
  </cdr:relSizeAnchor>
  <cdr:relSizeAnchor xmlns:cdr="http://schemas.openxmlformats.org/drawingml/2006/chartDrawing">
    <cdr:from>
      <cdr:x>0.46199</cdr:x>
      <cdr:y>0.89281</cdr:y>
    </cdr:from>
    <cdr:to>
      <cdr:x>0.55376</cdr:x>
      <cdr:y>0.95562</cdr:y>
    </cdr:to>
    <cdr:sp macro="" textlink="">
      <cdr:nvSpPr>
        <cdr:cNvPr id="13" name="Прямоугольник 12"/>
        <cdr:cNvSpPr/>
      </cdr:nvSpPr>
      <cdr:spPr>
        <a:xfrm xmlns:a="http://schemas.openxmlformats.org/drawingml/2006/main">
          <a:off x="2675501" y="3801276"/>
          <a:ext cx="531458" cy="2674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(3,1%)</a:t>
          </a:r>
        </a:p>
      </cdr:txBody>
    </cdr:sp>
  </cdr:relSizeAnchor>
  <cdr:relSizeAnchor xmlns:cdr="http://schemas.openxmlformats.org/drawingml/2006/chartDrawing">
    <cdr:from>
      <cdr:x>0.62367</cdr:x>
      <cdr:y>0.30214</cdr:y>
    </cdr:from>
    <cdr:to>
      <cdr:x>0.71432</cdr:x>
      <cdr:y>0.37949</cdr:y>
    </cdr:to>
    <cdr:sp macro="" textlink="">
      <cdr:nvSpPr>
        <cdr:cNvPr id="15" name="Прямоугольник 14"/>
        <cdr:cNvSpPr/>
      </cdr:nvSpPr>
      <cdr:spPr>
        <a:xfrm xmlns:a="http://schemas.openxmlformats.org/drawingml/2006/main">
          <a:off x="3683098" y="1214480"/>
          <a:ext cx="535334" cy="31091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(95,3%)</a:t>
          </a:r>
        </a:p>
      </cdr:txBody>
    </cdr:sp>
  </cdr:relSizeAnchor>
  <cdr:relSizeAnchor xmlns:cdr="http://schemas.openxmlformats.org/drawingml/2006/chartDrawing">
    <cdr:from>
      <cdr:x>0.66083</cdr:x>
      <cdr:y>0.89332</cdr:y>
    </cdr:from>
    <cdr:to>
      <cdr:x>0.75432</cdr:x>
      <cdr:y>0.97344</cdr:y>
    </cdr:to>
    <cdr:sp macro="" textlink="">
      <cdr:nvSpPr>
        <cdr:cNvPr id="16" name="Прямоугольник 15"/>
        <cdr:cNvSpPr/>
      </cdr:nvSpPr>
      <cdr:spPr>
        <a:xfrm xmlns:a="http://schemas.openxmlformats.org/drawingml/2006/main">
          <a:off x="3827026" y="3803484"/>
          <a:ext cx="541419" cy="3411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(2,4%)</a:t>
          </a:r>
        </a:p>
      </cdr:txBody>
    </cdr:sp>
  </cdr:relSizeAnchor>
  <cdr:relSizeAnchor xmlns:cdr="http://schemas.openxmlformats.org/drawingml/2006/chartDrawing">
    <cdr:from>
      <cdr:x>0.85641</cdr:x>
      <cdr:y>0.89446</cdr:y>
    </cdr:from>
    <cdr:to>
      <cdr:x>0.93819</cdr:x>
      <cdr:y>0.96521</cdr:y>
    </cdr:to>
    <cdr:sp macro="" textlink="">
      <cdr:nvSpPr>
        <cdr:cNvPr id="17" name="Прямоугольник 16"/>
        <cdr:cNvSpPr/>
      </cdr:nvSpPr>
      <cdr:spPr>
        <a:xfrm xmlns:a="http://schemas.openxmlformats.org/drawingml/2006/main">
          <a:off x="4959669" y="3808301"/>
          <a:ext cx="473604" cy="30123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(2,2%)</a:t>
          </a:r>
        </a:p>
      </cdr:txBody>
    </cdr:sp>
  </cdr:relSizeAnchor>
  <cdr:relSizeAnchor xmlns:cdr="http://schemas.openxmlformats.org/drawingml/2006/chartDrawing">
    <cdr:from>
      <cdr:x>0.01604</cdr:x>
      <cdr:y>0.27329</cdr:y>
    </cdr:from>
    <cdr:to>
      <cdr:x>0.17157</cdr:x>
      <cdr:y>0.37274</cdr:y>
    </cdr:to>
    <cdr:sp macro="" textlink="">
      <cdr:nvSpPr>
        <cdr:cNvPr id="4" name="Скругленный прямоугольник 3"/>
        <cdr:cNvSpPr/>
      </cdr:nvSpPr>
      <cdr:spPr>
        <a:xfrm xmlns:a="http://schemas.openxmlformats.org/drawingml/2006/main">
          <a:off x="95264" y="846167"/>
          <a:ext cx="923914" cy="307924"/>
        </a:xfrm>
        <a:prstGeom xmlns:a="http://schemas.openxmlformats.org/drawingml/2006/main" prst="roundRect">
          <a:avLst/>
        </a:prstGeom>
        <a:solidFill xmlns:a="http://schemas.openxmlformats.org/drawingml/2006/main">
          <a:schemeClr val="accent2"/>
        </a:solidFill>
        <a:scene3d xmlns:a="http://schemas.openxmlformats.org/drawingml/2006/main">
          <a:camera prst="orthographicFront"/>
          <a:lightRig rig="threePt" dir="t"/>
        </a:scene3d>
        <a:sp3d xmlns:a="http://schemas.openxmlformats.org/drawingml/2006/main">
          <a:bevelT/>
        </a:sp3d>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lstStyle xmlns:a="http://schemas.openxmlformats.org/drawingml/2006/main"/>
        <a:p xmlns:a="http://schemas.openxmlformats.org/drawingml/2006/main">
          <a:r>
            <a:rPr lang="ru-RU" sz="900">
              <a:solidFill>
                <a:schemeClr val="tx1"/>
              </a:solidFill>
              <a:latin typeface="Times New Roman" panose="02020603050405020304" pitchFamily="18" charset="0"/>
              <a:cs typeface="Times New Roman" panose="02020603050405020304" pitchFamily="18" charset="0"/>
            </a:rPr>
            <a:t>Налоговые доходы</a:t>
          </a:r>
        </a:p>
      </cdr:txBody>
    </cdr:sp>
  </cdr:relSizeAnchor>
  <cdr:relSizeAnchor xmlns:cdr="http://schemas.openxmlformats.org/drawingml/2006/chartDrawing">
    <cdr:from>
      <cdr:x>0.01764</cdr:x>
      <cdr:y>0.67945</cdr:y>
    </cdr:from>
    <cdr:to>
      <cdr:x>0.17317</cdr:x>
      <cdr:y>0.7736</cdr:y>
    </cdr:to>
    <cdr:sp macro="" textlink="">
      <cdr:nvSpPr>
        <cdr:cNvPr id="20" name="Скругленный прямоугольник 19"/>
        <cdr:cNvSpPr/>
      </cdr:nvSpPr>
      <cdr:spPr>
        <a:xfrm xmlns:a="http://schemas.openxmlformats.org/drawingml/2006/main">
          <a:off x="104774" y="2103764"/>
          <a:ext cx="923947" cy="291513"/>
        </a:xfrm>
        <a:prstGeom xmlns:a="http://schemas.openxmlformats.org/drawingml/2006/main" prst="roundRect">
          <a:avLst/>
        </a:prstGeom>
        <a:solidFill xmlns:a="http://schemas.openxmlformats.org/drawingml/2006/main">
          <a:srgbClr val="FFC000"/>
        </a:solidFill>
        <a:scene3d xmlns:a="http://schemas.openxmlformats.org/drawingml/2006/main">
          <a:camera prst="orthographicFront"/>
          <a:lightRig rig="threePt" dir="t"/>
        </a:scene3d>
        <a:sp3d xmlns:a="http://schemas.openxmlformats.org/drawingml/2006/main">
          <a:bevelT/>
        </a:sp3d>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lstStyle xmlns:a="http://schemas.openxmlformats.org/drawingml/2006/main"/>
        <a:p xmlns:a="http://schemas.openxmlformats.org/drawingml/2006/main">
          <a:r>
            <a:rPr lang="ru-RU" sz="900">
              <a:solidFill>
                <a:schemeClr val="tx1"/>
              </a:solidFill>
              <a:latin typeface="Times New Roman" panose="02020603050405020304" pitchFamily="18" charset="0"/>
              <a:cs typeface="Times New Roman" panose="02020603050405020304" pitchFamily="18" charset="0"/>
            </a:rPr>
            <a:t>Неналоговые</a:t>
          </a:r>
          <a:r>
            <a:rPr lang="ru-RU" sz="800">
              <a:solidFill>
                <a:schemeClr val="tx1"/>
              </a:solidFill>
              <a:latin typeface="Times New Roman" panose="02020603050405020304" pitchFamily="18" charset="0"/>
              <a:cs typeface="Times New Roman" panose="02020603050405020304" pitchFamily="18" charset="0"/>
            </a:rPr>
            <a:t> доходы</a:t>
          </a:r>
        </a:p>
      </cdr:txBody>
    </cdr:sp>
  </cdr:relSizeAnchor>
  <cdr:relSizeAnchor xmlns:cdr="http://schemas.openxmlformats.org/drawingml/2006/chartDrawing">
    <cdr:from>
      <cdr:x>0.01604</cdr:x>
      <cdr:y>0.8018</cdr:y>
    </cdr:from>
    <cdr:to>
      <cdr:x>0.17317</cdr:x>
      <cdr:y>0.90588</cdr:y>
    </cdr:to>
    <cdr:sp macro="" textlink="">
      <cdr:nvSpPr>
        <cdr:cNvPr id="21" name="Скругленный прямоугольник 20"/>
        <cdr:cNvSpPr/>
      </cdr:nvSpPr>
      <cdr:spPr>
        <a:xfrm xmlns:a="http://schemas.openxmlformats.org/drawingml/2006/main">
          <a:off x="95266" y="2482579"/>
          <a:ext cx="933419" cy="322259"/>
        </a:xfrm>
        <a:prstGeom xmlns:a="http://schemas.openxmlformats.org/drawingml/2006/main" prst="roundRect">
          <a:avLst/>
        </a:prstGeom>
        <a:solidFill xmlns:a="http://schemas.openxmlformats.org/drawingml/2006/main">
          <a:srgbClr val="F7C5A3"/>
        </a:solidFill>
        <a:scene3d xmlns:a="http://schemas.openxmlformats.org/drawingml/2006/main">
          <a:camera prst="orthographicFront"/>
          <a:lightRig rig="threePt" dir="t"/>
        </a:scene3d>
        <a:sp3d xmlns:a="http://schemas.openxmlformats.org/drawingml/2006/main">
          <a:bevelT/>
        </a:sp3d>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lstStyle xmlns:a="http://schemas.openxmlformats.org/drawingml/2006/main"/>
        <a:p xmlns:a="http://schemas.openxmlformats.org/drawingml/2006/main">
          <a:r>
            <a:rPr lang="ru-RU" sz="900">
              <a:solidFill>
                <a:schemeClr val="tx1"/>
              </a:solidFill>
              <a:latin typeface="Times New Roman" panose="02020603050405020304" pitchFamily="18" charset="0"/>
              <a:cs typeface="Times New Roman" panose="02020603050405020304" pitchFamily="18" charset="0"/>
            </a:rPr>
            <a:t>Безвозмездные поступления</a:t>
          </a:r>
        </a:p>
      </cdr:txBody>
    </cdr:sp>
  </cdr:relSizeAnchor>
  <cdr:relSizeAnchor xmlns:cdr="http://schemas.openxmlformats.org/drawingml/2006/chartDrawing">
    <cdr:from>
      <cdr:x>0.42742</cdr:x>
      <cdr:y>0.34123</cdr:y>
    </cdr:from>
    <cdr:to>
      <cdr:x>0.52962</cdr:x>
      <cdr:y>0.45454</cdr:y>
    </cdr:to>
    <cdr:sp macro="" textlink="">
      <cdr:nvSpPr>
        <cdr:cNvPr id="23" name="Прямоугольник 22"/>
        <cdr:cNvSpPr/>
      </cdr:nvSpPr>
      <cdr:spPr>
        <a:xfrm xmlns:a="http://schemas.openxmlformats.org/drawingml/2006/main">
          <a:off x="2524125" y="1371600"/>
          <a:ext cx="603546" cy="4554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a:solidFill>
                <a:schemeClr val="tx1"/>
              </a:solidFill>
              <a:latin typeface="Times New Roman" panose="02020603050405020304" pitchFamily="18" charset="0"/>
              <a:cs typeface="Times New Roman" panose="02020603050405020304" pitchFamily="18" charset="0"/>
            </a:rPr>
            <a:t>(94,4%)</a:t>
          </a:r>
        </a:p>
      </cdr:txBody>
    </cdr:sp>
  </cdr:relSizeAnchor>
  <cdr:relSizeAnchor xmlns:cdr="http://schemas.openxmlformats.org/drawingml/2006/chartDrawing">
    <cdr:from>
      <cdr:x>0.81929</cdr:x>
      <cdr:y>0.20907</cdr:y>
    </cdr:from>
    <cdr:to>
      <cdr:x>0.90834</cdr:x>
      <cdr:y>0.26662</cdr:y>
    </cdr:to>
    <cdr:sp macro="" textlink="">
      <cdr:nvSpPr>
        <cdr:cNvPr id="24" name="Прямоугольник 23"/>
        <cdr:cNvSpPr/>
      </cdr:nvSpPr>
      <cdr:spPr>
        <a:xfrm xmlns:a="http://schemas.openxmlformats.org/drawingml/2006/main">
          <a:off x="4838332" y="840368"/>
          <a:ext cx="525885" cy="23132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(95,7%)</a:t>
          </a:r>
        </a:p>
      </cdr:txBody>
    </cdr:sp>
  </cdr:relSizeAnchor>
  <cdr:relSizeAnchor xmlns:cdr="http://schemas.openxmlformats.org/drawingml/2006/chartDrawing">
    <cdr:from>
      <cdr:x>0.25969</cdr:x>
      <cdr:y>0.73111</cdr:y>
    </cdr:from>
    <cdr:to>
      <cdr:x>0.34147</cdr:x>
      <cdr:y>0.79189</cdr:y>
    </cdr:to>
    <cdr:sp macro="" textlink="">
      <cdr:nvSpPr>
        <cdr:cNvPr id="19" name="Прямоугольник 18"/>
        <cdr:cNvSpPr/>
      </cdr:nvSpPr>
      <cdr:spPr>
        <a:xfrm xmlns:a="http://schemas.openxmlformats.org/drawingml/2006/main">
          <a:off x="1503944" y="3112829"/>
          <a:ext cx="473604" cy="2587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700">
              <a:solidFill>
                <a:sysClr val="windowText" lastClr="000000"/>
              </a:solidFill>
              <a:latin typeface="Times New Roman" panose="02020603050405020304" pitchFamily="18" charset="0"/>
              <a:cs typeface="Times New Roman" panose="02020603050405020304" pitchFamily="18" charset="0"/>
            </a:rPr>
            <a:t>(4,1%)</a:t>
          </a:r>
        </a:p>
      </cdr:txBody>
    </cdr:sp>
  </cdr:relSizeAnchor>
  <cdr:relSizeAnchor xmlns:cdr="http://schemas.openxmlformats.org/drawingml/2006/chartDrawing">
    <cdr:from>
      <cdr:x>0.45882</cdr:x>
      <cdr:y>0.84785</cdr:y>
    </cdr:from>
    <cdr:to>
      <cdr:x>0.5406</cdr:x>
      <cdr:y>0.90863</cdr:y>
    </cdr:to>
    <cdr:sp macro="" textlink="">
      <cdr:nvSpPr>
        <cdr:cNvPr id="22" name="Прямоугольник 21"/>
        <cdr:cNvSpPr/>
      </cdr:nvSpPr>
      <cdr:spPr>
        <a:xfrm xmlns:a="http://schemas.openxmlformats.org/drawingml/2006/main">
          <a:off x="2657091" y="3609888"/>
          <a:ext cx="473604" cy="2587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(2,5%)</a:t>
          </a:r>
        </a:p>
      </cdr:txBody>
    </cdr:sp>
  </cdr:relSizeAnchor>
  <cdr:relSizeAnchor xmlns:cdr="http://schemas.openxmlformats.org/drawingml/2006/chartDrawing">
    <cdr:from>
      <cdr:x>0.65585</cdr:x>
      <cdr:y>0.85743</cdr:y>
    </cdr:from>
    <cdr:to>
      <cdr:x>0.73763</cdr:x>
      <cdr:y>0.91822</cdr:y>
    </cdr:to>
    <cdr:sp macro="" textlink="">
      <cdr:nvSpPr>
        <cdr:cNvPr id="28" name="Прямоугольник 27"/>
        <cdr:cNvSpPr/>
      </cdr:nvSpPr>
      <cdr:spPr>
        <a:xfrm xmlns:a="http://schemas.openxmlformats.org/drawingml/2006/main">
          <a:off x="3798159" y="3650640"/>
          <a:ext cx="473604" cy="25882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(2,3%)</a:t>
          </a:r>
        </a:p>
      </cdr:txBody>
    </cdr:sp>
  </cdr:relSizeAnchor>
  <cdr:relSizeAnchor xmlns:cdr="http://schemas.openxmlformats.org/drawingml/2006/chartDrawing">
    <cdr:from>
      <cdr:x>0.85726</cdr:x>
      <cdr:y>0.85349</cdr:y>
    </cdr:from>
    <cdr:to>
      <cdr:x>0.93904</cdr:x>
      <cdr:y>0.91427</cdr:y>
    </cdr:to>
    <cdr:sp macro="" textlink="">
      <cdr:nvSpPr>
        <cdr:cNvPr id="30" name="Прямоугольник 29"/>
        <cdr:cNvSpPr/>
      </cdr:nvSpPr>
      <cdr:spPr>
        <a:xfrm xmlns:a="http://schemas.openxmlformats.org/drawingml/2006/main">
          <a:off x="4964561" y="3633889"/>
          <a:ext cx="473604" cy="2587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(2,1%)</a:t>
          </a:r>
        </a:p>
      </cdr:txBody>
    </cdr:sp>
  </cdr:relSizeAnchor>
  <cdr:relSizeAnchor xmlns:cdr="http://schemas.openxmlformats.org/drawingml/2006/chartDrawing">
    <cdr:from>
      <cdr:x>0.21059</cdr:x>
      <cdr:y>0.00628</cdr:y>
    </cdr:from>
    <cdr:to>
      <cdr:x>0.3438</cdr:x>
      <cdr:y>0.08211</cdr:y>
    </cdr:to>
    <cdr:sp macro="" textlink="">
      <cdr:nvSpPr>
        <cdr:cNvPr id="2" name="Надпись 1"/>
        <cdr:cNvSpPr txBox="1"/>
      </cdr:nvSpPr>
      <cdr:spPr>
        <a:xfrm xmlns:a="http://schemas.openxmlformats.org/drawingml/2006/main">
          <a:off x="1243620" y="25230"/>
          <a:ext cx="786672" cy="3048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0070C0"/>
              </a:solidFill>
              <a:latin typeface="Times New Roman" panose="02020603050405020304" pitchFamily="18" charset="0"/>
              <a:cs typeface="Times New Roman" panose="02020603050405020304" pitchFamily="18" charset="0"/>
            </a:rPr>
            <a:t>135 966,2</a:t>
          </a:r>
        </a:p>
      </cdr:txBody>
    </cdr:sp>
  </cdr:relSizeAnchor>
  <cdr:relSizeAnchor xmlns:cdr="http://schemas.openxmlformats.org/drawingml/2006/chartDrawing">
    <cdr:from>
      <cdr:x>0.3983</cdr:x>
      <cdr:y>0.00744</cdr:y>
    </cdr:from>
    <cdr:to>
      <cdr:x>0.53151</cdr:x>
      <cdr:y>0.08995</cdr:y>
    </cdr:to>
    <cdr:sp macro="" textlink="">
      <cdr:nvSpPr>
        <cdr:cNvPr id="18" name="Надпись 17"/>
        <cdr:cNvSpPr txBox="1"/>
      </cdr:nvSpPr>
      <cdr:spPr>
        <a:xfrm xmlns:a="http://schemas.openxmlformats.org/drawingml/2006/main">
          <a:off x="2352144" y="29908"/>
          <a:ext cx="786671" cy="3316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0070C0"/>
              </a:solidFill>
              <a:latin typeface="Times New Roman" panose="02020603050405020304" pitchFamily="18" charset="0"/>
              <a:cs typeface="Times New Roman" panose="02020603050405020304" pitchFamily="18" charset="0"/>
            </a:rPr>
            <a:t>125 721,0</a:t>
          </a:r>
        </a:p>
      </cdr:txBody>
    </cdr:sp>
  </cdr:relSizeAnchor>
  <cdr:relSizeAnchor xmlns:cdr="http://schemas.openxmlformats.org/drawingml/2006/chartDrawing">
    <cdr:from>
      <cdr:x>0.59742</cdr:x>
      <cdr:y>0.00651</cdr:y>
    </cdr:from>
    <cdr:to>
      <cdr:x>0.73063</cdr:x>
      <cdr:y>0.08789</cdr:y>
    </cdr:to>
    <cdr:sp macro="" textlink="">
      <cdr:nvSpPr>
        <cdr:cNvPr id="25" name="Надпись 24"/>
        <cdr:cNvSpPr txBox="1"/>
      </cdr:nvSpPr>
      <cdr:spPr>
        <a:xfrm xmlns:a="http://schemas.openxmlformats.org/drawingml/2006/main">
          <a:off x="3528071" y="26173"/>
          <a:ext cx="786672" cy="3271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0070C0"/>
              </a:solidFill>
              <a:latin typeface="Times New Roman" panose="02020603050405020304" pitchFamily="18" charset="0"/>
              <a:cs typeface="Times New Roman" panose="02020603050405020304" pitchFamily="18" charset="0"/>
            </a:rPr>
            <a:t>135 655,9</a:t>
          </a:r>
        </a:p>
      </cdr:txBody>
    </cdr:sp>
  </cdr:relSizeAnchor>
  <cdr:relSizeAnchor xmlns:cdr="http://schemas.openxmlformats.org/drawingml/2006/chartDrawing">
    <cdr:from>
      <cdr:x>0.79735</cdr:x>
      <cdr:y>0.00812</cdr:y>
    </cdr:from>
    <cdr:to>
      <cdr:x>0.93056</cdr:x>
      <cdr:y>0.08963</cdr:y>
    </cdr:to>
    <cdr:sp macro="" textlink="">
      <cdr:nvSpPr>
        <cdr:cNvPr id="26" name="Надпись 25"/>
        <cdr:cNvSpPr txBox="1"/>
      </cdr:nvSpPr>
      <cdr:spPr>
        <a:xfrm xmlns:a="http://schemas.openxmlformats.org/drawingml/2006/main">
          <a:off x="4708750" y="32641"/>
          <a:ext cx="786672" cy="3276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0070C0"/>
              </a:solidFill>
              <a:latin typeface="Times New Roman" panose="02020603050405020304" pitchFamily="18" charset="0"/>
              <a:cs typeface="Times New Roman" panose="02020603050405020304" pitchFamily="18" charset="0"/>
            </a:rPr>
            <a:t>148 021,7</a:t>
          </a:r>
        </a:p>
      </cdr:txBody>
    </cdr:sp>
  </cdr:relSizeAnchor>
  <cdr:relSizeAnchor xmlns:cdr="http://schemas.openxmlformats.org/drawingml/2006/chartDrawing">
    <cdr:from>
      <cdr:x>0.52621</cdr:x>
      <cdr:y>0.33255</cdr:y>
    </cdr:from>
    <cdr:to>
      <cdr:x>0.6251</cdr:x>
      <cdr:y>0.42931</cdr:y>
    </cdr:to>
    <cdr:sp macro="" textlink="">
      <cdr:nvSpPr>
        <cdr:cNvPr id="5" name="Стрелка вправо 4"/>
        <cdr:cNvSpPr/>
      </cdr:nvSpPr>
      <cdr:spPr>
        <a:xfrm xmlns:a="http://schemas.openxmlformats.org/drawingml/2006/main" rot="20178030">
          <a:off x="3107555" y="1336702"/>
          <a:ext cx="583995" cy="388949"/>
        </a:xfrm>
        <a:prstGeom xmlns:a="http://schemas.openxmlformats.org/drawingml/2006/main" prst="rightArrow">
          <a:avLst/>
        </a:prstGeom>
        <a:solidFill xmlns:a="http://schemas.openxmlformats.org/drawingml/2006/main">
          <a:schemeClr val="bg1">
            <a:lumMod val="95000"/>
          </a:schemeClr>
        </a:solidFill>
        <a:ln xmlns:a="http://schemas.openxmlformats.org/drawingml/2006/main">
          <a:solidFill>
            <a:schemeClr val="accent1">
              <a:lumMod val="40000"/>
              <a:lumOff val="6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+9,0%</a:t>
          </a:r>
        </a:p>
      </cdr:txBody>
    </cdr:sp>
  </cdr:relSizeAnchor>
  <cdr:relSizeAnchor xmlns:cdr="http://schemas.openxmlformats.org/drawingml/2006/chartDrawing">
    <cdr:from>
      <cdr:x>0.30761</cdr:x>
      <cdr:y>0.39767</cdr:y>
    </cdr:from>
    <cdr:to>
      <cdr:x>0.41147</cdr:x>
      <cdr:y>0.49221</cdr:y>
    </cdr:to>
    <cdr:sp macro="" textlink="">
      <cdr:nvSpPr>
        <cdr:cNvPr id="27" name="Стрелка вправо 26"/>
        <cdr:cNvSpPr/>
      </cdr:nvSpPr>
      <cdr:spPr>
        <a:xfrm xmlns:a="http://schemas.openxmlformats.org/drawingml/2006/main" rot="20178030">
          <a:off x="1816578" y="1598465"/>
          <a:ext cx="613360" cy="379994"/>
        </a:xfrm>
        <a:prstGeom xmlns:a="http://schemas.openxmlformats.org/drawingml/2006/main" prst="rightArrow">
          <a:avLst/>
        </a:prstGeom>
        <a:solidFill xmlns:a="http://schemas.openxmlformats.org/drawingml/2006/main">
          <a:schemeClr val="bg1">
            <a:lumMod val="95000"/>
          </a:schemeClr>
        </a:solidFill>
        <a:ln xmlns:a="http://schemas.openxmlformats.org/drawingml/2006/main">
          <a:solidFill>
            <a:schemeClr val="accent1">
              <a:lumMod val="40000"/>
              <a:lumOff val="6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+6,4%</a:t>
          </a:r>
        </a:p>
      </cdr:txBody>
    </cdr:sp>
  </cdr:relSizeAnchor>
  <cdr:relSizeAnchor xmlns:cdr="http://schemas.openxmlformats.org/drawingml/2006/chartDrawing">
    <cdr:from>
      <cdr:x>0.69601</cdr:x>
      <cdr:y>0.29819</cdr:y>
    </cdr:from>
    <cdr:to>
      <cdr:x>0.82529</cdr:x>
      <cdr:y>0.39349</cdr:y>
    </cdr:to>
    <cdr:sp macro="" textlink="">
      <cdr:nvSpPr>
        <cdr:cNvPr id="29" name="Стрелка вправо 28"/>
        <cdr:cNvSpPr/>
      </cdr:nvSpPr>
      <cdr:spPr>
        <a:xfrm xmlns:a="http://schemas.openxmlformats.org/drawingml/2006/main" rot="20178030">
          <a:off x="4030714" y="1269585"/>
          <a:ext cx="748721" cy="405757"/>
        </a:xfrm>
        <a:prstGeom xmlns:a="http://schemas.openxmlformats.org/drawingml/2006/main" prst="rightArrow">
          <a:avLst/>
        </a:prstGeom>
        <a:solidFill xmlns:a="http://schemas.openxmlformats.org/drawingml/2006/main">
          <a:schemeClr val="bg1">
            <a:lumMod val="95000"/>
          </a:schemeClr>
        </a:solidFill>
        <a:ln xmlns:a="http://schemas.openxmlformats.org/drawingml/2006/main">
          <a:solidFill>
            <a:schemeClr val="accent1">
              <a:lumMod val="40000"/>
              <a:lumOff val="6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+9,6%</a:t>
          </a:r>
        </a:p>
      </cdr:txBody>
    </cdr:sp>
  </cdr:relSizeAnchor>
  <cdr:relSizeAnchor xmlns:cdr="http://schemas.openxmlformats.org/drawingml/2006/chartDrawing">
    <cdr:from>
      <cdr:x>0.30575</cdr:x>
      <cdr:y>0.75027</cdr:y>
    </cdr:from>
    <cdr:to>
      <cdr:x>0.41908</cdr:x>
      <cdr:y>0.86604</cdr:y>
    </cdr:to>
    <cdr:sp macro="" textlink="">
      <cdr:nvSpPr>
        <cdr:cNvPr id="31" name="Стрелка вправо 30"/>
        <cdr:cNvSpPr/>
      </cdr:nvSpPr>
      <cdr:spPr>
        <a:xfrm xmlns:a="http://schemas.openxmlformats.org/drawingml/2006/main" rot="1567860">
          <a:off x="1805605" y="3015742"/>
          <a:ext cx="669273" cy="465329"/>
        </a:xfrm>
        <a:prstGeom xmlns:a="http://schemas.openxmlformats.org/drawingml/2006/main" prst="rightArrow">
          <a:avLst/>
        </a:prstGeom>
        <a:solidFill xmlns:a="http://schemas.openxmlformats.org/drawingml/2006/main">
          <a:schemeClr val="bg1">
            <a:lumMod val="95000"/>
          </a:schemeClr>
        </a:solidFill>
        <a:ln xmlns:a="http://schemas.openxmlformats.org/drawingml/2006/main">
          <a:solidFill>
            <a:schemeClr val="accent1">
              <a:lumMod val="40000"/>
              <a:lumOff val="6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-79%</a:t>
          </a:r>
        </a:p>
      </cdr:txBody>
    </cdr:sp>
  </cdr:relSizeAnchor>
  <cdr:relSizeAnchor xmlns:cdr="http://schemas.openxmlformats.org/drawingml/2006/chartDrawing">
    <cdr:from>
      <cdr:x>0.49689</cdr:x>
      <cdr:y>0.79702</cdr:y>
    </cdr:from>
    <cdr:to>
      <cdr:x>0.61442</cdr:x>
      <cdr:y>0.89226</cdr:y>
    </cdr:to>
    <cdr:sp macro="" textlink="">
      <cdr:nvSpPr>
        <cdr:cNvPr id="32" name="Стрелка вправо 31"/>
        <cdr:cNvSpPr/>
      </cdr:nvSpPr>
      <cdr:spPr>
        <a:xfrm xmlns:a="http://schemas.openxmlformats.org/drawingml/2006/main" rot="1121185">
          <a:off x="2877591" y="3393466"/>
          <a:ext cx="680662" cy="405501"/>
        </a:xfrm>
        <a:prstGeom xmlns:a="http://schemas.openxmlformats.org/drawingml/2006/main" prst="rightArrow">
          <a:avLst/>
        </a:prstGeom>
        <a:solidFill xmlns:a="http://schemas.openxmlformats.org/drawingml/2006/main">
          <a:schemeClr val="bg1">
            <a:lumMod val="95000"/>
          </a:schemeClr>
        </a:solidFill>
        <a:ln xmlns:a="http://schemas.openxmlformats.org/drawingml/2006/main">
          <a:solidFill>
            <a:schemeClr val="accent1">
              <a:lumMod val="40000"/>
              <a:lumOff val="6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-19,4%</a:t>
          </a:r>
        </a:p>
      </cdr:txBody>
    </cdr:sp>
  </cdr:relSizeAnchor>
  <cdr:relSizeAnchor xmlns:cdr="http://schemas.openxmlformats.org/drawingml/2006/chartDrawing">
    <cdr:from>
      <cdr:x>0.71393</cdr:x>
      <cdr:y>0.81179</cdr:y>
    </cdr:from>
    <cdr:to>
      <cdr:x>0.81075</cdr:x>
      <cdr:y>0.91872</cdr:y>
    </cdr:to>
    <cdr:sp macro="" textlink="">
      <cdr:nvSpPr>
        <cdr:cNvPr id="33" name="Стрелка вправо 32"/>
        <cdr:cNvSpPr/>
      </cdr:nvSpPr>
      <cdr:spPr>
        <a:xfrm xmlns:a="http://schemas.openxmlformats.org/drawingml/2006/main" rot="1207425">
          <a:off x="4216086" y="3263022"/>
          <a:ext cx="571771" cy="429838"/>
        </a:xfrm>
        <a:prstGeom xmlns:a="http://schemas.openxmlformats.org/drawingml/2006/main" prst="rightArrow">
          <a:avLst/>
        </a:prstGeom>
        <a:solidFill xmlns:a="http://schemas.openxmlformats.org/drawingml/2006/main">
          <a:schemeClr val="bg1">
            <a:lumMod val="95000"/>
          </a:schemeClr>
        </a:solidFill>
        <a:ln xmlns:a="http://schemas.openxmlformats.org/drawingml/2006/main">
          <a:solidFill>
            <a:schemeClr val="accent1">
              <a:lumMod val="40000"/>
              <a:lumOff val="6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r>
            <a:rPr lang="ru-RU" sz="800">
              <a:solidFill>
                <a:sysClr val="windowText" lastClr="000000"/>
              </a:solidFill>
              <a:latin typeface="Times New Roman" panose="02020603050405020304" pitchFamily="18" charset="0"/>
              <a:cs typeface="Times New Roman" panose="02020603050405020304" pitchFamily="18" charset="0"/>
            </a:rPr>
            <a:t>-0,4%</a:t>
          </a:r>
        </a:p>
      </cdr:txBody>
    </cdr:sp>
  </cdr:relSizeAnchor>
</c:userShapes>
</file>

<file path=word/drawings/drawing2.xml><?xml version="1.0" encoding="utf-8"?>
<c:userShapes xmlns:c="http://schemas.openxmlformats.org/drawingml/2006/chart">
  <cdr:relSizeAnchor xmlns:cdr="http://schemas.openxmlformats.org/drawingml/2006/chartDrawing">
    <cdr:from>
      <cdr:x>0.83879</cdr:x>
      <cdr:y>0.01603</cdr:y>
    </cdr:from>
    <cdr:to>
      <cdr:x>1</cdr:x>
      <cdr:y>0.10577</cdr:y>
    </cdr:to>
    <cdr:sp macro="" textlink="">
      <cdr:nvSpPr>
        <cdr:cNvPr id="2" name="Надпись 1"/>
        <cdr:cNvSpPr txBox="1"/>
      </cdr:nvSpPr>
      <cdr:spPr>
        <a:xfrm xmlns:a="http://schemas.openxmlformats.org/drawingml/2006/main">
          <a:off x="4934310" y="47007"/>
          <a:ext cx="948330" cy="2631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latin typeface="Times New Roman" panose="02020603050405020304" pitchFamily="18" charset="0"/>
              <a:cs typeface="Times New Roman" panose="02020603050405020304" pitchFamily="18" charset="0"/>
            </a:rPr>
            <a:t>(млн. рублей)</a:t>
          </a:r>
        </a:p>
      </cdr:txBody>
    </cdr:sp>
  </cdr:relSizeAnchor>
  <cdr:relSizeAnchor xmlns:cdr="http://schemas.openxmlformats.org/drawingml/2006/chartDrawing">
    <cdr:from>
      <cdr:x>0.34634</cdr:x>
      <cdr:y>0.12408</cdr:y>
    </cdr:from>
    <cdr:to>
      <cdr:x>0.34634</cdr:x>
      <cdr:y>0.80297</cdr:y>
    </cdr:to>
    <cdr:cxnSp macro="">
      <cdr:nvCxnSpPr>
        <cdr:cNvPr id="4" name="Прямая соединительная линия 3"/>
        <cdr:cNvCxnSpPr/>
      </cdr:nvCxnSpPr>
      <cdr:spPr>
        <a:xfrm xmlns:a="http://schemas.openxmlformats.org/drawingml/2006/main">
          <a:off x="2057400" y="363854"/>
          <a:ext cx="0" cy="1990800"/>
        </a:xfrm>
        <a:prstGeom xmlns:a="http://schemas.openxmlformats.org/drawingml/2006/main" prst="line">
          <a:avLst/>
        </a:prstGeom>
        <a:ln xmlns:a="http://schemas.openxmlformats.org/drawingml/2006/main">
          <a:solidFill>
            <a:schemeClr val="accent2">
              <a:lumMod val="75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0.83967</cdr:x>
      <cdr:y>0</cdr:y>
    </cdr:from>
    <cdr:to>
      <cdr:x>1</cdr:x>
      <cdr:y>0.08519</cdr:y>
    </cdr:to>
    <cdr:sp macro="" textlink="">
      <cdr:nvSpPr>
        <cdr:cNvPr id="2" name="Надпись 1"/>
        <cdr:cNvSpPr txBox="1"/>
      </cdr:nvSpPr>
      <cdr:spPr>
        <a:xfrm xmlns:a="http://schemas.openxmlformats.org/drawingml/2006/main">
          <a:off x="4838701" y="0"/>
          <a:ext cx="923924"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latin typeface="Times New Roman" panose="02020603050405020304" pitchFamily="18" charset="0"/>
              <a:cs typeface="Times New Roman" panose="02020603050405020304" pitchFamily="18" charset="0"/>
            </a:rPr>
            <a:t>(млн. рублей)</a:t>
          </a:r>
        </a:p>
      </cdr:txBody>
    </cdr:sp>
  </cdr:relSizeAnchor>
</c:userShapes>
</file>

<file path=word/drawings/drawing4.xml><?xml version="1.0" encoding="utf-8"?>
<c:userShapes xmlns:c="http://schemas.openxmlformats.org/drawingml/2006/chart">
  <cdr:relSizeAnchor xmlns:cdr="http://schemas.openxmlformats.org/drawingml/2006/chartDrawing">
    <cdr:from>
      <cdr:x>0.83607</cdr:x>
      <cdr:y>0</cdr:y>
    </cdr:from>
    <cdr:to>
      <cdr:x>1</cdr:x>
      <cdr:y>0.09706</cdr:y>
    </cdr:to>
    <cdr:sp macro="" textlink="">
      <cdr:nvSpPr>
        <cdr:cNvPr id="3" name="Надпись 2"/>
        <cdr:cNvSpPr txBox="1"/>
      </cdr:nvSpPr>
      <cdr:spPr>
        <a:xfrm xmlns:a="http://schemas.openxmlformats.org/drawingml/2006/main">
          <a:off x="4833890" y="0"/>
          <a:ext cx="947785" cy="3503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latin typeface="Times New Roman" panose="02020603050405020304" pitchFamily="18" charset="0"/>
              <a:cs typeface="Times New Roman" panose="02020603050405020304" pitchFamily="18" charset="0"/>
            </a:rPr>
            <a:t>(млн. рублей)</a:t>
          </a:r>
        </a:p>
      </cdr:txBody>
    </cdr:sp>
  </cdr:relSizeAnchor>
  <cdr:relSizeAnchor xmlns:cdr="http://schemas.openxmlformats.org/drawingml/2006/chartDrawing">
    <cdr:from>
      <cdr:x>0.17947</cdr:x>
      <cdr:y>0.04753</cdr:y>
    </cdr:from>
    <cdr:to>
      <cdr:x>0.29883</cdr:x>
      <cdr:y>0.11683</cdr:y>
    </cdr:to>
    <cdr:sp macro="" textlink="">
      <cdr:nvSpPr>
        <cdr:cNvPr id="2" name="Надпись 1"/>
        <cdr:cNvSpPr txBox="1"/>
      </cdr:nvSpPr>
      <cdr:spPr>
        <a:xfrm xmlns:a="http://schemas.openxmlformats.org/drawingml/2006/main">
          <a:off x="1037637" y="171570"/>
          <a:ext cx="690101" cy="2501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15 217,9</a:t>
          </a:r>
        </a:p>
      </cdr:txBody>
    </cdr:sp>
  </cdr:relSizeAnchor>
  <cdr:relSizeAnchor xmlns:cdr="http://schemas.openxmlformats.org/drawingml/2006/chartDrawing">
    <cdr:from>
      <cdr:x>0.34091</cdr:x>
      <cdr:y>0.41824</cdr:y>
    </cdr:from>
    <cdr:to>
      <cdr:x>0.46026</cdr:x>
      <cdr:y>0.48755</cdr:y>
    </cdr:to>
    <cdr:sp macro="" textlink="">
      <cdr:nvSpPr>
        <cdr:cNvPr id="4" name="Надпись 3"/>
        <cdr:cNvSpPr txBox="1"/>
      </cdr:nvSpPr>
      <cdr:spPr>
        <a:xfrm xmlns:a="http://schemas.openxmlformats.org/drawingml/2006/main">
          <a:off x="1971008" y="1509825"/>
          <a:ext cx="690042" cy="2502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5 266,8</a:t>
          </a:r>
        </a:p>
      </cdr:txBody>
    </cdr:sp>
  </cdr:relSizeAnchor>
  <cdr:relSizeAnchor xmlns:cdr="http://schemas.openxmlformats.org/drawingml/2006/chartDrawing">
    <cdr:from>
      <cdr:x>0.50025</cdr:x>
      <cdr:y>0.47864</cdr:y>
    </cdr:from>
    <cdr:to>
      <cdr:x>0.6196</cdr:x>
      <cdr:y>0.54794</cdr:y>
    </cdr:to>
    <cdr:sp macro="" textlink="">
      <cdr:nvSpPr>
        <cdr:cNvPr id="5" name="Надпись 4"/>
        <cdr:cNvSpPr txBox="1"/>
      </cdr:nvSpPr>
      <cdr:spPr>
        <a:xfrm xmlns:a="http://schemas.openxmlformats.org/drawingml/2006/main">
          <a:off x="2892294" y="1727868"/>
          <a:ext cx="690043" cy="2501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3 625,0</a:t>
          </a:r>
        </a:p>
      </cdr:txBody>
    </cdr:sp>
  </cdr:relSizeAnchor>
  <cdr:relSizeAnchor xmlns:cdr="http://schemas.openxmlformats.org/drawingml/2006/chartDrawing">
    <cdr:from>
      <cdr:x>0.66103</cdr:x>
      <cdr:y>0.49196</cdr:y>
    </cdr:from>
    <cdr:to>
      <cdr:x>0.78038</cdr:x>
      <cdr:y>0.56126</cdr:y>
    </cdr:to>
    <cdr:sp macro="" textlink="">
      <cdr:nvSpPr>
        <cdr:cNvPr id="6" name="Надпись 5"/>
        <cdr:cNvSpPr txBox="1"/>
      </cdr:nvSpPr>
      <cdr:spPr>
        <a:xfrm xmlns:a="http://schemas.openxmlformats.org/drawingml/2006/main">
          <a:off x="3821850" y="1775963"/>
          <a:ext cx="690043" cy="2501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3 239,8</a:t>
          </a:r>
        </a:p>
      </cdr:txBody>
    </cdr:sp>
  </cdr:relSizeAnchor>
  <cdr:relSizeAnchor xmlns:cdr="http://schemas.openxmlformats.org/drawingml/2006/chartDrawing">
    <cdr:from>
      <cdr:x>0.31241</cdr:x>
      <cdr:y>0.19133</cdr:y>
    </cdr:from>
    <cdr:to>
      <cdr:x>0.31241</cdr:x>
      <cdr:y>0.7428</cdr:y>
    </cdr:to>
    <cdr:cxnSp macro="">
      <cdr:nvCxnSpPr>
        <cdr:cNvPr id="7" name="Прямая соединительная линия 6"/>
        <cdr:cNvCxnSpPr/>
      </cdr:nvCxnSpPr>
      <cdr:spPr>
        <a:xfrm xmlns:a="http://schemas.openxmlformats.org/drawingml/2006/main">
          <a:off x="1806275" y="690699"/>
          <a:ext cx="0" cy="1990800"/>
        </a:xfrm>
        <a:prstGeom xmlns:a="http://schemas.openxmlformats.org/drawingml/2006/main" prst="line">
          <a:avLst/>
        </a:prstGeom>
        <a:ln xmlns:a="http://schemas.openxmlformats.org/drawingml/2006/main">
          <a:solidFill>
            <a:schemeClr val="accent2">
              <a:lumMod val="75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0.83113</cdr:x>
      <cdr:y>0.0263</cdr:y>
    </cdr:from>
    <cdr:to>
      <cdr:x>1</cdr:x>
      <cdr:y>0.13889</cdr:y>
    </cdr:to>
    <cdr:sp macro="" textlink="">
      <cdr:nvSpPr>
        <cdr:cNvPr id="2" name="Надпись 1"/>
        <cdr:cNvSpPr txBox="1"/>
      </cdr:nvSpPr>
      <cdr:spPr>
        <a:xfrm xmlns:a="http://schemas.openxmlformats.org/drawingml/2006/main">
          <a:off x="4813240" y="84273"/>
          <a:ext cx="977960" cy="3607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latin typeface="Times New Roman" panose="02020603050405020304" pitchFamily="18" charset="0"/>
              <a:cs typeface="Times New Roman" panose="02020603050405020304" pitchFamily="18" charset="0"/>
            </a:rPr>
            <a:t>(млн. рублей)</a:t>
          </a:r>
        </a:p>
      </cdr:txBody>
    </cdr:sp>
  </cdr:relSizeAnchor>
</c:userShapes>
</file>

<file path=word/drawings/drawing6.xml><?xml version="1.0" encoding="utf-8"?>
<c:userShapes xmlns:c="http://schemas.openxmlformats.org/drawingml/2006/chart">
  <cdr:relSizeAnchor xmlns:cdr="http://schemas.openxmlformats.org/drawingml/2006/chartDrawing">
    <cdr:from>
      <cdr:x>0.21793</cdr:x>
      <cdr:y>0.1316</cdr:y>
    </cdr:from>
    <cdr:to>
      <cdr:x>0.33097</cdr:x>
      <cdr:y>0.24495</cdr:y>
    </cdr:to>
    <cdr:sp macro="" textlink="">
      <cdr:nvSpPr>
        <cdr:cNvPr id="2" name="Овал 1"/>
        <cdr:cNvSpPr/>
      </cdr:nvSpPr>
      <cdr:spPr>
        <a:xfrm xmlns:a="http://schemas.openxmlformats.org/drawingml/2006/main">
          <a:off x="1282838" y="534004"/>
          <a:ext cx="665405" cy="459909"/>
        </a:xfrm>
        <a:prstGeom xmlns:a="http://schemas.openxmlformats.org/drawingml/2006/main" prst="ellipse">
          <a:avLst/>
        </a:prstGeom>
        <a:solidFill xmlns:a="http://schemas.openxmlformats.org/drawingml/2006/main">
          <a:schemeClr val="bg2"/>
        </a:solidFill>
        <a:ln xmlns:a="http://schemas.openxmlformats.org/drawingml/2006/main">
          <a:solidFill>
            <a:schemeClr val="bg1">
              <a:lumMod val="8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lstStyle xmlns:a="http://schemas.openxmlformats.org/drawingml/2006/main"/>
        <a:p xmlns:a="http://schemas.openxmlformats.org/drawingml/2006/main">
          <a:pPr algn="ctr"/>
          <a:endParaRPr lang="ru-RU" sz="400" b="1">
            <a:solidFill>
              <a:schemeClr val="tx1"/>
            </a:solidFill>
            <a:latin typeface="Times New Roman" panose="02020603050405020304" pitchFamily="18" charset="0"/>
            <a:cs typeface="Times New Roman" panose="02020603050405020304" pitchFamily="18" charset="0"/>
          </a:endParaRPr>
        </a:p>
        <a:p xmlns:a="http://schemas.openxmlformats.org/drawingml/2006/main">
          <a:pPr algn="ctr"/>
          <a:r>
            <a:rPr lang="ru-RU" sz="1000" b="1" baseline="0">
              <a:solidFill>
                <a:schemeClr val="tx1"/>
              </a:solidFill>
              <a:latin typeface="Times New Roman" panose="02020603050405020304" pitchFamily="18" charset="0"/>
              <a:cs typeface="Times New Roman" panose="02020603050405020304" pitchFamily="18" charset="0"/>
            </a:rPr>
            <a:t>33</a:t>
          </a:r>
          <a:r>
            <a:rPr lang="en-US" sz="1000" b="1" baseline="0">
              <a:solidFill>
                <a:schemeClr val="tx1"/>
              </a:solidFill>
              <a:latin typeface="Times New Roman" panose="02020603050405020304" pitchFamily="18" charset="0"/>
              <a:cs typeface="Times New Roman" panose="02020603050405020304" pitchFamily="18" charset="0"/>
            </a:rPr>
            <a:t> </a:t>
          </a:r>
          <a:r>
            <a:rPr lang="ru-RU" sz="1000" b="1" baseline="0">
              <a:solidFill>
                <a:schemeClr val="tx1"/>
              </a:solidFill>
              <a:latin typeface="Times New Roman" panose="02020603050405020304" pitchFamily="18" charset="0"/>
              <a:cs typeface="Times New Roman" panose="02020603050405020304" pitchFamily="18" charset="0"/>
            </a:rPr>
            <a:t>133,2</a:t>
          </a:r>
          <a:endParaRPr lang="ru-RU" sz="1000" b="1">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0.62981</cdr:x>
      <cdr:y>0.11005</cdr:y>
    </cdr:from>
    <cdr:to>
      <cdr:x>0.74286</cdr:x>
      <cdr:y>0.21555</cdr:y>
    </cdr:to>
    <cdr:sp macro="" textlink="">
      <cdr:nvSpPr>
        <cdr:cNvPr id="5" name="Овал 4"/>
        <cdr:cNvSpPr/>
      </cdr:nvSpPr>
      <cdr:spPr>
        <a:xfrm xmlns:a="http://schemas.openxmlformats.org/drawingml/2006/main">
          <a:off x="3707369" y="446540"/>
          <a:ext cx="665463" cy="428104"/>
        </a:xfrm>
        <a:prstGeom xmlns:a="http://schemas.openxmlformats.org/drawingml/2006/main" prst="ellipse">
          <a:avLst/>
        </a:prstGeom>
        <a:solidFill xmlns:a="http://schemas.openxmlformats.org/drawingml/2006/main">
          <a:schemeClr val="bg2"/>
        </a:solidFill>
        <a:ln xmlns:a="http://schemas.openxmlformats.org/drawingml/2006/main">
          <a:solidFill>
            <a:schemeClr val="bg1">
              <a:lumMod val="8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lstStyle xmlns:a="http://schemas.openxmlformats.org/drawingml/2006/main"/>
        <a:p xmlns:a="http://schemas.openxmlformats.org/drawingml/2006/main">
          <a:pPr algn="ctr"/>
          <a:r>
            <a:rPr lang="ru-RU" sz="1000" b="1" baseline="0">
              <a:solidFill>
                <a:schemeClr val="tx1"/>
              </a:solidFill>
              <a:latin typeface="Times New Roman" panose="02020603050405020304" pitchFamily="18" charset="0"/>
              <a:cs typeface="Times New Roman" panose="02020603050405020304" pitchFamily="18" charset="0"/>
            </a:rPr>
            <a:t>35</a:t>
          </a:r>
          <a:r>
            <a:rPr lang="en-US" sz="1000" b="1" baseline="0">
              <a:solidFill>
                <a:schemeClr val="tx1"/>
              </a:solidFill>
              <a:latin typeface="Times New Roman" panose="02020603050405020304" pitchFamily="18" charset="0"/>
              <a:cs typeface="Times New Roman" panose="02020603050405020304" pitchFamily="18" charset="0"/>
            </a:rPr>
            <a:t> </a:t>
          </a:r>
          <a:r>
            <a:rPr lang="ru-RU" sz="1000" b="1" baseline="0">
              <a:solidFill>
                <a:schemeClr val="tx1"/>
              </a:solidFill>
              <a:latin typeface="Times New Roman" panose="02020603050405020304" pitchFamily="18" charset="0"/>
              <a:cs typeface="Times New Roman" panose="02020603050405020304" pitchFamily="18" charset="0"/>
            </a:rPr>
            <a:t>245,8</a:t>
          </a:r>
        </a:p>
        <a:p xmlns:a="http://schemas.openxmlformats.org/drawingml/2006/main">
          <a:pPr algn="ctr"/>
          <a:r>
            <a:rPr lang="ru-RU" sz="1000" b="1" i="1" baseline="0">
              <a:solidFill>
                <a:schemeClr val="tx1"/>
              </a:solidFill>
              <a:latin typeface="Times New Roman" panose="02020603050405020304" pitchFamily="18" charset="0"/>
              <a:cs typeface="Times New Roman" panose="02020603050405020304" pitchFamily="18" charset="0"/>
            </a:rPr>
            <a:t>-7,3%</a:t>
          </a:r>
          <a:endParaRPr lang="ru-RU" sz="1000" b="1" i="1">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0.83475</cdr:x>
      <cdr:y>0.21391</cdr:y>
    </cdr:from>
    <cdr:to>
      <cdr:x>0.9478</cdr:x>
      <cdr:y>0.32137</cdr:y>
    </cdr:to>
    <cdr:sp macro="" textlink="">
      <cdr:nvSpPr>
        <cdr:cNvPr id="6" name="Овал 5"/>
        <cdr:cNvSpPr/>
      </cdr:nvSpPr>
      <cdr:spPr>
        <a:xfrm xmlns:a="http://schemas.openxmlformats.org/drawingml/2006/main">
          <a:off x="4913738" y="867957"/>
          <a:ext cx="665463" cy="436055"/>
        </a:xfrm>
        <a:prstGeom xmlns:a="http://schemas.openxmlformats.org/drawingml/2006/main" prst="ellipse">
          <a:avLst/>
        </a:prstGeom>
        <a:solidFill xmlns:a="http://schemas.openxmlformats.org/drawingml/2006/main">
          <a:schemeClr val="bg2"/>
        </a:solidFill>
        <a:ln xmlns:a="http://schemas.openxmlformats.org/drawingml/2006/main">
          <a:solidFill>
            <a:schemeClr val="bg1">
              <a:lumMod val="8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lstStyle xmlns:a="http://schemas.openxmlformats.org/drawingml/2006/main"/>
        <a:p xmlns:a="http://schemas.openxmlformats.org/drawingml/2006/main">
          <a:pPr algn="ctr"/>
          <a:r>
            <a:rPr lang="en-US" sz="1000" b="1">
              <a:solidFill>
                <a:schemeClr val="tx1"/>
              </a:solidFill>
              <a:latin typeface="Times New Roman" panose="02020603050405020304" pitchFamily="18" charset="0"/>
              <a:cs typeface="Times New Roman" panose="02020603050405020304" pitchFamily="18" charset="0"/>
            </a:rPr>
            <a:t>2</a:t>
          </a:r>
          <a:r>
            <a:rPr lang="ru-RU" sz="1000" b="1">
              <a:solidFill>
                <a:schemeClr val="tx1"/>
              </a:solidFill>
              <a:latin typeface="Times New Roman" panose="02020603050405020304" pitchFamily="18" charset="0"/>
              <a:cs typeface="Times New Roman" panose="02020603050405020304" pitchFamily="18" charset="0"/>
            </a:rPr>
            <a:t>7</a:t>
          </a:r>
          <a:r>
            <a:rPr lang="en-US" sz="1000" b="1" baseline="0">
              <a:solidFill>
                <a:schemeClr val="tx1"/>
              </a:solidFill>
              <a:latin typeface="Times New Roman" panose="02020603050405020304" pitchFamily="18" charset="0"/>
              <a:cs typeface="Times New Roman" panose="02020603050405020304" pitchFamily="18" charset="0"/>
            </a:rPr>
            <a:t> </a:t>
          </a:r>
          <a:r>
            <a:rPr lang="ru-RU" sz="1000" b="1" baseline="0">
              <a:solidFill>
                <a:schemeClr val="tx1"/>
              </a:solidFill>
              <a:latin typeface="Times New Roman" panose="02020603050405020304" pitchFamily="18" charset="0"/>
              <a:cs typeface="Times New Roman" panose="02020603050405020304" pitchFamily="18" charset="0"/>
            </a:rPr>
            <a:t>920,9</a:t>
          </a:r>
        </a:p>
        <a:p xmlns:a="http://schemas.openxmlformats.org/drawingml/2006/main">
          <a:pPr algn="ctr"/>
          <a:r>
            <a:rPr lang="ru-RU" sz="1000" b="1" i="1" baseline="0">
              <a:solidFill>
                <a:schemeClr val="tx1"/>
              </a:solidFill>
              <a:latin typeface="Times New Roman" panose="02020603050405020304" pitchFamily="18" charset="0"/>
              <a:cs typeface="Times New Roman" panose="02020603050405020304" pitchFamily="18" charset="0"/>
            </a:rPr>
            <a:t>-20,8%</a:t>
          </a:r>
          <a:endParaRPr lang="ru-RU" sz="1000" b="1" i="1">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0.42502</cdr:x>
      <cdr:y>0.0591</cdr:y>
    </cdr:from>
    <cdr:to>
      <cdr:x>0.53806</cdr:x>
      <cdr:y>0.17244</cdr:y>
    </cdr:to>
    <cdr:sp macro="" textlink="">
      <cdr:nvSpPr>
        <cdr:cNvPr id="20" name="Овал 19"/>
        <cdr:cNvSpPr/>
      </cdr:nvSpPr>
      <cdr:spPr>
        <a:xfrm xmlns:a="http://schemas.openxmlformats.org/drawingml/2006/main">
          <a:off x="2501877" y="239805"/>
          <a:ext cx="665404" cy="459909"/>
        </a:xfrm>
        <a:prstGeom xmlns:a="http://schemas.openxmlformats.org/drawingml/2006/main" prst="ellipse">
          <a:avLst/>
        </a:prstGeom>
        <a:solidFill xmlns:a="http://schemas.openxmlformats.org/drawingml/2006/main">
          <a:schemeClr val="bg2"/>
        </a:solidFill>
        <a:ln xmlns:a="http://schemas.openxmlformats.org/drawingml/2006/main">
          <a:solidFill>
            <a:schemeClr val="bg1">
              <a:lumMod val="8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lstStyle xmlns:a="http://schemas.openxmlformats.org/drawingml/2006/main"/>
        <a:p xmlns:a="http://schemas.openxmlformats.org/drawingml/2006/main">
          <a:pPr algn="ctr"/>
          <a:r>
            <a:rPr lang="ru-RU" sz="1000" b="1">
              <a:solidFill>
                <a:schemeClr val="tx1"/>
              </a:solidFill>
              <a:latin typeface="Times New Roman" panose="02020603050405020304" pitchFamily="18" charset="0"/>
              <a:cs typeface="Times New Roman" panose="02020603050405020304" pitchFamily="18" charset="0"/>
            </a:rPr>
            <a:t>38</a:t>
          </a:r>
          <a:r>
            <a:rPr lang="en-US" sz="1000" b="1" baseline="0">
              <a:solidFill>
                <a:schemeClr val="tx1"/>
              </a:solidFill>
              <a:latin typeface="Times New Roman" panose="02020603050405020304" pitchFamily="18" charset="0"/>
              <a:cs typeface="Times New Roman" panose="02020603050405020304" pitchFamily="18" charset="0"/>
            </a:rPr>
            <a:t> </a:t>
          </a:r>
          <a:r>
            <a:rPr lang="ru-RU" sz="1000" b="1" baseline="0">
              <a:solidFill>
                <a:schemeClr val="tx1"/>
              </a:solidFill>
              <a:latin typeface="Times New Roman" panose="02020603050405020304" pitchFamily="18" charset="0"/>
              <a:cs typeface="Times New Roman" panose="02020603050405020304" pitchFamily="18" charset="0"/>
            </a:rPr>
            <a:t>029,4</a:t>
          </a:r>
        </a:p>
        <a:p xmlns:a="http://schemas.openxmlformats.org/drawingml/2006/main">
          <a:pPr algn="ctr"/>
          <a:r>
            <a:rPr lang="ru-RU" sz="1000" b="1" i="1" baseline="0">
              <a:solidFill>
                <a:schemeClr val="tx1"/>
              </a:solidFill>
              <a:latin typeface="Times New Roman" panose="02020603050405020304" pitchFamily="18" charset="0"/>
              <a:cs typeface="Times New Roman" panose="02020603050405020304" pitchFamily="18" charset="0"/>
            </a:rPr>
            <a:t>+14,8%</a:t>
          </a:r>
          <a:endParaRPr lang="ru-RU" sz="1000" b="1" i="1">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0.28644</cdr:x>
      <cdr:y>0.25268</cdr:y>
    </cdr:from>
    <cdr:to>
      <cdr:x>0.31187</cdr:x>
      <cdr:y>0.27036</cdr:y>
    </cdr:to>
    <cdr:sp macro="" textlink="">
      <cdr:nvSpPr>
        <cdr:cNvPr id="7" name="Надпись 6"/>
        <cdr:cNvSpPr txBox="1"/>
      </cdr:nvSpPr>
      <cdr:spPr>
        <a:xfrm xmlns:a="http://schemas.openxmlformats.org/drawingml/2006/main">
          <a:off x="1701580" y="1932167"/>
          <a:ext cx="151074" cy="1351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0.01476</cdr:x>
      <cdr:y>0.01689</cdr:y>
    </cdr:from>
    <cdr:to>
      <cdr:x>0.18301</cdr:x>
      <cdr:y>0.14573</cdr:y>
    </cdr:to>
    <cdr:sp macro="" textlink="">
      <cdr:nvSpPr>
        <cdr:cNvPr id="10" name="Надпись 9"/>
        <cdr:cNvSpPr txBox="1"/>
      </cdr:nvSpPr>
      <cdr:spPr>
        <a:xfrm xmlns:a="http://schemas.openxmlformats.org/drawingml/2006/main">
          <a:off x="86880" y="68546"/>
          <a:ext cx="990395" cy="522776"/>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ru-RU" sz="1000">
              <a:latin typeface="Times New Roman" panose="02020603050405020304" pitchFamily="18" charset="0"/>
              <a:cs typeface="Times New Roman" panose="02020603050405020304" pitchFamily="18" charset="0"/>
            </a:rPr>
            <a:t>Общий</a:t>
          </a:r>
          <a:r>
            <a:rPr lang="ru-RU" sz="1000" baseline="0">
              <a:latin typeface="Times New Roman" panose="02020603050405020304" pitchFamily="18" charset="0"/>
              <a:cs typeface="Times New Roman" panose="02020603050405020304" pitchFamily="18" charset="0"/>
            </a:rPr>
            <a:t> объем государственного долга</a:t>
          </a:r>
          <a:endParaRPr lang="ru-RU" sz="10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0.85914</cdr:x>
      <cdr:y>0.01429</cdr:y>
    </cdr:from>
    <cdr:to>
      <cdr:x>0.9898</cdr:x>
      <cdr:y>0.04898</cdr:y>
    </cdr:to>
    <cdr:sp macro="" textlink="">
      <cdr:nvSpPr>
        <cdr:cNvPr id="14" name="Надпись 13"/>
        <cdr:cNvSpPr txBox="1"/>
      </cdr:nvSpPr>
      <cdr:spPr>
        <a:xfrm xmlns:a="http://schemas.openxmlformats.org/drawingml/2006/main">
          <a:off x="5103629" y="74428"/>
          <a:ext cx="776176" cy="18075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000">
              <a:latin typeface="Times New Roman" panose="02020603050405020304" pitchFamily="18" charset="0"/>
              <a:cs typeface="Times New Roman" panose="02020603050405020304" pitchFamily="18" charset="0"/>
            </a:rPr>
            <a:t>(млн. рублей)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5C2E-8FE8-4A5C-AD4D-EF0759EC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12832</Words>
  <Characters>73147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Минаева Галина Рустемовна</dc:creator>
  <cp:lastModifiedBy>Филиппов Евгений Вадимович</cp:lastModifiedBy>
  <cp:revision>3</cp:revision>
  <cp:lastPrinted>2024-11-13T13:55:00Z</cp:lastPrinted>
  <dcterms:created xsi:type="dcterms:W3CDTF">2024-11-14T09:42:00Z</dcterms:created>
  <dcterms:modified xsi:type="dcterms:W3CDTF">2024-12-03T12:51:00Z</dcterms:modified>
</cp:coreProperties>
</file>