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241E09">
      <w:pPr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</w:t>
      </w:r>
    </w:p>
    <w:p w:rsidR="00CF049D" w:rsidRPr="00CF049D" w:rsidRDefault="00CB5F27" w:rsidP="00241E09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 xml:space="preserve">экспертно-аналитического мероприятия </w:t>
      </w:r>
      <w:r w:rsidR="00CF049D" w:rsidRPr="00CF049D">
        <w:rPr>
          <w:rFonts w:eastAsia="Calibri"/>
          <w:b/>
          <w:szCs w:val="28"/>
        </w:rPr>
        <w:t>«Внешняя проверка бюджетной отчетности государственной жилищной инспекции Тульской области за 2018 год»</w:t>
      </w:r>
      <w:bookmarkStart w:id="0" w:name="_GoBack"/>
      <w:bookmarkEnd w:id="0"/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</w:t>
      </w:r>
      <w:r w:rsidR="00D96DBB">
        <w:rPr>
          <w:szCs w:val="28"/>
          <w:lang w:eastAsia="ru-RU"/>
        </w:rPr>
        <w:t>.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98358D" w:rsidRDefault="005A343E" w:rsidP="005A343E">
      <w:pPr>
        <w:ind w:firstLine="709"/>
        <w:jc w:val="both"/>
        <w:rPr>
          <w:szCs w:val="28"/>
        </w:rPr>
      </w:pPr>
      <w:r w:rsidRPr="0098358D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 w:rsidR="00CB5F27" w:rsidRPr="00CB5F27">
        <w:rPr>
          <w:b/>
          <w:szCs w:val="28"/>
        </w:rPr>
        <w:t xml:space="preserve"> </w:t>
      </w:r>
      <w:r w:rsidRPr="0098358D">
        <w:rPr>
          <w:szCs w:val="28"/>
        </w:rPr>
        <w:t>приняты следующие меры:</w:t>
      </w:r>
    </w:p>
    <w:p w:rsidR="00146804" w:rsidRDefault="00146804" w:rsidP="00146804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При формировании годовой бюджетной отчетности Инспекция обеспечит соблюдение требований действующего законодательства, нормативных правовых актов, федеральных стандартов бухгалтерского учета.</w:t>
      </w:r>
    </w:p>
    <w:p w:rsidR="00146804" w:rsidRDefault="00146804" w:rsidP="00146804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При проведении инвентаризации активов и обязательств Инспекция обеспечит соблюдение действующего законодательства.</w:t>
      </w:r>
    </w:p>
    <w:p w:rsidR="008965E5" w:rsidRDefault="00146804" w:rsidP="00146804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 xml:space="preserve">Инспекцией совместно с ГКУ ТО «Централизованная бухгалтерия органов исполнительной власти Тульской области», Фондом социального страхования проведена проверка правильности назначения и оплаты листка нетрудоспособности по уходу за ребенком сотруднику Инспекции, в результате которой подтверждена сумма переплаты, которая будет возвращена в бюджет области. </w:t>
      </w:r>
    </w:p>
    <w:p w:rsidR="00146804" w:rsidRDefault="00146804" w:rsidP="00146804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При формировании учетной политики Инспекция будет руководствоваться положениями действующего законодательства и нормативных правовых актов.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B33444">
        <w:rPr>
          <w:b/>
          <w:szCs w:val="28"/>
        </w:rPr>
        <w:t>представлени</w:t>
      </w:r>
      <w:r w:rsidR="00A665B7" w:rsidRPr="00B33444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C020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8B" w:rsidRDefault="0011488B" w:rsidP="00536B43">
      <w:r>
        <w:separator/>
      </w:r>
    </w:p>
  </w:endnote>
  <w:endnote w:type="continuationSeparator" w:id="0">
    <w:p w:rsidR="0011488B" w:rsidRDefault="0011488B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8B" w:rsidRDefault="0011488B" w:rsidP="00536B43">
      <w:r>
        <w:separator/>
      </w:r>
    </w:p>
  </w:footnote>
  <w:footnote w:type="continuationSeparator" w:id="0">
    <w:p w:rsidR="0011488B" w:rsidRDefault="0011488B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5508"/>
      <w:docPartObj>
        <w:docPartGallery w:val="Page Numbers (Top of Page)"/>
        <w:docPartUnique/>
      </w:docPartObj>
    </w:sdtPr>
    <w:sdtEndPr/>
    <w:sdtContent>
      <w:p w:rsidR="00C020AE" w:rsidRDefault="00C02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E5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44599"/>
    <w:rsid w:val="000576DE"/>
    <w:rsid w:val="0006588B"/>
    <w:rsid w:val="000B5A79"/>
    <w:rsid w:val="000C5312"/>
    <w:rsid w:val="000D542A"/>
    <w:rsid w:val="00105F85"/>
    <w:rsid w:val="0011488B"/>
    <w:rsid w:val="001168BB"/>
    <w:rsid w:val="00146804"/>
    <w:rsid w:val="00164609"/>
    <w:rsid w:val="001D663F"/>
    <w:rsid w:val="001D6C96"/>
    <w:rsid w:val="001D7C14"/>
    <w:rsid w:val="001E561D"/>
    <w:rsid w:val="00207EE8"/>
    <w:rsid w:val="00233CA6"/>
    <w:rsid w:val="00241E09"/>
    <w:rsid w:val="00251718"/>
    <w:rsid w:val="0028316B"/>
    <w:rsid w:val="002962DA"/>
    <w:rsid w:val="002B3018"/>
    <w:rsid w:val="002B7E0E"/>
    <w:rsid w:val="002C5E1F"/>
    <w:rsid w:val="002E1172"/>
    <w:rsid w:val="003008D4"/>
    <w:rsid w:val="00311905"/>
    <w:rsid w:val="003859D5"/>
    <w:rsid w:val="003B039E"/>
    <w:rsid w:val="003B60A3"/>
    <w:rsid w:val="003C7012"/>
    <w:rsid w:val="003D6584"/>
    <w:rsid w:val="003E112E"/>
    <w:rsid w:val="00423522"/>
    <w:rsid w:val="00445604"/>
    <w:rsid w:val="00455EAF"/>
    <w:rsid w:val="00456F60"/>
    <w:rsid w:val="0046037F"/>
    <w:rsid w:val="00484016"/>
    <w:rsid w:val="00484FB5"/>
    <w:rsid w:val="004C4460"/>
    <w:rsid w:val="004E6AE4"/>
    <w:rsid w:val="00523E01"/>
    <w:rsid w:val="0052588D"/>
    <w:rsid w:val="00536B43"/>
    <w:rsid w:val="005A343E"/>
    <w:rsid w:val="005A3B05"/>
    <w:rsid w:val="005D78C0"/>
    <w:rsid w:val="005E1F50"/>
    <w:rsid w:val="00666ED6"/>
    <w:rsid w:val="00692D08"/>
    <w:rsid w:val="006A24D6"/>
    <w:rsid w:val="006C12B0"/>
    <w:rsid w:val="006E24D2"/>
    <w:rsid w:val="006E5D54"/>
    <w:rsid w:val="006F140C"/>
    <w:rsid w:val="006F40FF"/>
    <w:rsid w:val="006F420A"/>
    <w:rsid w:val="00716B48"/>
    <w:rsid w:val="0073033C"/>
    <w:rsid w:val="007525D9"/>
    <w:rsid w:val="00775954"/>
    <w:rsid w:val="00791CC4"/>
    <w:rsid w:val="007F69E6"/>
    <w:rsid w:val="00804D11"/>
    <w:rsid w:val="008219DA"/>
    <w:rsid w:val="008965E5"/>
    <w:rsid w:val="008C4198"/>
    <w:rsid w:val="008F035C"/>
    <w:rsid w:val="008F76E3"/>
    <w:rsid w:val="009314CE"/>
    <w:rsid w:val="009423D5"/>
    <w:rsid w:val="00942BEE"/>
    <w:rsid w:val="0094758C"/>
    <w:rsid w:val="0098358D"/>
    <w:rsid w:val="009868DE"/>
    <w:rsid w:val="009B090F"/>
    <w:rsid w:val="009E0423"/>
    <w:rsid w:val="009E1281"/>
    <w:rsid w:val="00A3309A"/>
    <w:rsid w:val="00A665B7"/>
    <w:rsid w:val="00AA6CDF"/>
    <w:rsid w:val="00B25D1E"/>
    <w:rsid w:val="00B33444"/>
    <w:rsid w:val="00B56E36"/>
    <w:rsid w:val="00B60503"/>
    <w:rsid w:val="00BA5A3E"/>
    <w:rsid w:val="00BB0E89"/>
    <w:rsid w:val="00BB6F6C"/>
    <w:rsid w:val="00BE2D5F"/>
    <w:rsid w:val="00C020AE"/>
    <w:rsid w:val="00C65DC4"/>
    <w:rsid w:val="00CB5F27"/>
    <w:rsid w:val="00CD258A"/>
    <w:rsid w:val="00CF049D"/>
    <w:rsid w:val="00D07523"/>
    <w:rsid w:val="00D07838"/>
    <w:rsid w:val="00D51F8A"/>
    <w:rsid w:val="00D91143"/>
    <w:rsid w:val="00D96DBB"/>
    <w:rsid w:val="00DC6734"/>
    <w:rsid w:val="00DD34DE"/>
    <w:rsid w:val="00DF256D"/>
    <w:rsid w:val="00E04A8B"/>
    <w:rsid w:val="00E66D90"/>
    <w:rsid w:val="00EB5B07"/>
    <w:rsid w:val="00ED0542"/>
    <w:rsid w:val="00ED3831"/>
    <w:rsid w:val="00EE1653"/>
    <w:rsid w:val="00F16E74"/>
    <w:rsid w:val="00F23961"/>
    <w:rsid w:val="00F42B12"/>
    <w:rsid w:val="00F52344"/>
    <w:rsid w:val="00F6144F"/>
    <w:rsid w:val="00F667D8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CB5F27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CB5F27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0171-413F-404A-984C-FF7D30D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6</cp:revision>
  <cp:lastPrinted>2018-04-02T09:06:00Z</cp:lastPrinted>
  <dcterms:created xsi:type="dcterms:W3CDTF">2019-08-09T11:06:00Z</dcterms:created>
  <dcterms:modified xsi:type="dcterms:W3CDTF">2019-08-12T14:00:00Z</dcterms:modified>
</cp:coreProperties>
</file>