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4A" w:rsidRDefault="00C65435" w:rsidP="007C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577B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7C12B3">
        <w:rPr>
          <w:rFonts w:ascii="Times New Roman" w:hAnsi="Times New Roman" w:cs="Times New Roman"/>
          <w:b/>
          <w:sz w:val="28"/>
          <w:szCs w:val="28"/>
        </w:rPr>
        <w:br/>
      </w:r>
      <w:r w:rsidRPr="00AE36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AE364A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AE3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6A4">
        <w:rPr>
          <w:rFonts w:ascii="Times New Roman" w:hAnsi="Times New Roman" w:cs="Times New Roman"/>
          <w:b/>
          <w:sz w:val="28"/>
          <w:szCs w:val="28"/>
        </w:rPr>
        <w:t>экспертно</w:t>
      </w:r>
      <w:r w:rsidR="007C12B3">
        <w:rPr>
          <w:rFonts w:ascii="Times New Roman" w:hAnsi="Times New Roman" w:cs="Times New Roman"/>
          <w:b/>
          <w:sz w:val="28"/>
          <w:szCs w:val="28"/>
        </w:rPr>
        <w:t>-</w:t>
      </w:r>
      <w:r w:rsidR="005956A4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Pr="00AE364A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7C1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2B3">
        <w:rPr>
          <w:rFonts w:ascii="Times New Roman" w:hAnsi="Times New Roman" w:cs="Times New Roman"/>
          <w:b/>
          <w:sz w:val="28"/>
          <w:szCs w:val="28"/>
        </w:rPr>
        <w:br/>
      </w:r>
      <w:r w:rsidR="005956A4" w:rsidRPr="005956A4">
        <w:rPr>
          <w:rFonts w:ascii="Times New Roman" w:hAnsi="Times New Roman" w:cs="Times New Roman"/>
          <w:b/>
          <w:sz w:val="28"/>
          <w:szCs w:val="28"/>
        </w:rPr>
        <w:t>«</w:t>
      </w:r>
      <w:r w:rsidR="007C12B3" w:rsidRPr="007C12B3">
        <w:rPr>
          <w:rFonts w:ascii="Times New Roman" w:hAnsi="Times New Roman" w:cs="Times New Roman"/>
          <w:b/>
          <w:sz w:val="28"/>
          <w:szCs w:val="28"/>
        </w:rPr>
        <w:t xml:space="preserve">Проведение экспертизы </w:t>
      </w:r>
      <w:r w:rsidR="007C12B3">
        <w:rPr>
          <w:rFonts w:ascii="Times New Roman" w:hAnsi="Times New Roman" w:cs="Times New Roman"/>
          <w:b/>
          <w:sz w:val="28"/>
          <w:szCs w:val="28"/>
        </w:rPr>
        <w:t xml:space="preserve">проекта закона Тульской области </w:t>
      </w:r>
      <w:r w:rsidR="007C12B3">
        <w:rPr>
          <w:rFonts w:ascii="Times New Roman" w:hAnsi="Times New Roman" w:cs="Times New Roman"/>
          <w:b/>
          <w:sz w:val="28"/>
          <w:szCs w:val="28"/>
        </w:rPr>
        <w:br/>
      </w:r>
      <w:r w:rsidR="007C12B3" w:rsidRPr="007C12B3">
        <w:rPr>
          <w:rFonts w:ascii="Times New Roman" w:hAnsi="Times New Roman" w:cs="Times New Roman"/>
          <w:b/>
          <w:sz w:val="28"/>
          <w:szCs w:val="28"/>
        </w:rPr>
        <w:t>«О бюджете территориального фонда обязательного медицинского страхования Тульской области на 2020</w:t>
      </w:r>
      <w:r w:rsidR="007C12B3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7C12B3" w:rsidRPr="007C12B3">
        <w:rPr>
          <w:rFonts w:ascii="Times New Roman" w:hAnsi="Times New Roman" w:cs="Times New Roman"/>
          <w:b/>
          <w:sz w:val="28"/>
          <w:szCs w:val="28"/>
        </w:rPr>
        <w:t>и на</w:t>
      </w:r>
      <w:r w:rsidR="007C1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2B3">
        <w:rPr>
          <w:rFonts w:ascii="Times New Roman" w:hAnsi="Times New Roman" w:cs="Times New Roman"/>
          <w:b/>
          <w:sz w:val="28"/>
          <w:szCs w:val="28"/>
        </w:rPr>
        <w:br/>
      </w:r>
      <w:r w:rsidR="007C12B3" w:rsidRPr="007C12B3">
        <w:rPr>
          <w:rFonts w:ascii="Times New Roman" w:hAnsi="Times New Roman" w:cs="Times New Roman"/>
          <w:b/>
          <w:sz w:val="28"/>
          <w:szCs w:val="28"/>
        </w:rPr>
        <w:t>плановый период 2021 и 2022 годов»</w:t>
      </w:r>
    </w:p>
    <w:p w:rsidR="00A96E91" w:rsidRDefault="00A96E91" w:rsidP="00373E3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Счетной палатой Тульской области в</w:t>
      </w:r>
      <w:r w:rsidR="0032239C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соответствии с </w:t>
      </w:r>
      <w:r w:rsidR="0011391F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пунктом </w:t>
      </w:r>
      <w:r w:rsidR="005956A4" w:rsidRPr="00160A37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7C12B3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5956A4" w:rsidRPr="00160A3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7C12B3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C028F9" w:rsidRPr="00160A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F306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C028F9" w:rsidRPr="00160A37">
        <w:rPr>
          <w:rFonts w:ascii="Times New Roman" w:hAnsi="Times New Roman" w:cs="Times New Roman"/>
          <w:spacing w:val="-4"/>
          <w:sz w:val="28"/>
          <w:szCs w:val="28"/>
        </w:rPr>
        <w:t>лана работы счетной палаты Тульской области на 2019 год</w:t>
      </w:r>
      <w:r w:rsidR="002C70DC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период </w:t>
      </w:r>
      <w:r w:rsidR="00FF306B" w:rsidRPr="00FF306B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373E3F" w:rsidRPr="00373E3F">
        <w:rPr>
          <w:rFonts w:ascii="Times New Roman" w:hAnsi="Times New Roman" w:cs="Times New Roman"/>
          <w:spacing w:val="-4"/>
          <w:sz w:val="28"/>
          <w:szCs w:val="28"/>
        </w:rPr>
        <w:t>31.10.2019 по 06.11.2019</w:t>
      </w:r>
      <w:r w:rsidR="00C028F9" w:rsidRPr="00160A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3B5D" w:rsidRPr="00160A37">
        <w:rPr>
          <w:rFonts w:ascii="Times New Roman" w:hAnsi="Times New Roman" w:cs="Times New Roman"/>
          <w:spacing w:val="-4"/>
          <w:sz w:val="28"/>
          <w:szCs w:val="28"/>
        </w:rPr>
        <w:t>проведен</w:t>
      </w:r>
      <w:r w:rsidR="00A620E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633B5D" w:rsidRPr="00160A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73E3F" w:rsidRPr="00373E3F">
        <w:rPr>
          <w:rFonts w:ascii="Times New Roman" w:hAnsi="Times New Roman" w:cs="Times New Roman"/>
          <w:spacing w:val="-4"/>
          <w:sz w:val="28"/>
          <w:szCs w:val="28"/>
        </w:rPr>
        <w:t>экспертиз</w:t>
      </w:r>
      <w:r w:rsidR="00A620E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373E3F" w:rsidRPr="00373E3F">
        <w:rPr>
          <w:rFonts w:ascii="Times New Roman" w:hAnsi="Times New Roman" w:cs="Times New Roman"/>
          <w:spacing w:val="-4"/>
          <w:sz w:val="28"/>
          <w:szCs w:val="28"/>
        </w:rPr>
        <w:t xml:space="preserve"> проекта закона Тульской области «О бюджете территориального фонда обязательного медицинского страхования Тульской области на 2020 год и на плановый период 2021 и 2022 годов</w:t>
      </w:r>
      <w:r w:rsidRPr="00160A37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571762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571762" w:rsidRPr="0057176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далее – </w:t>
      </w:r>
      <w:r w:rsidR="00571762" w:rsidRPr="00571762">
        <w:rPr>
          <w:rFonts w:ascii="Times New Roman" w:eastAsia="Times New Roman" w:hAnsi="Times New Roman" w:cs="Times New Roman"/>
          <w:i/>
          <w:color w:val="0070C0"/>
          <w:kern w:val="28"/>
          <w:sz w:val="28"/>
          <w:szCs w:val="28"/>
          <w:lang w:eastAsia="ru-RU"/>
        </w:rPr>
        <w:t>Законопроект</w:t>
      </w:r>
      <w:r w:rsidR="00571762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160A3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A06D1" w:rsidRPr="006A06D1" w:rsidRDefault="006A06D1" w:rsidP="006A06D1">
      <w:pPr>
        <w:tabs>
          <w:tab w:val="left" w:pos="993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A06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Проект бюджета территориального фонда обязательного медицинского страхования Тульской области (далее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6A06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– </w:t>
      </w:r>
      <w:r w:rsidRPr="006A06D1">
        <w:rPr>
          <w:rFonts w:ascii="Times New Roman" w:eastAsia="Times New Roman" w:hAnsi="Times New Roman" w:cs="Times New Roman"/>
          <w:i/>
          <w:color w:val="0070C0"/>
          <w:kern w:val="28"/>
          <w:sz w:val="28"/>
          <w:szCs w:val="28"/>
          <w:lang w:eastAsia="ru-RU"/>
        </w:rPr>
        <w:t>Фонд</w:t>
      </w:r>
      <w:r w:rsidRPr="006A06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 составлен сроком на три года – на очередной финансовый год и на плановый период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</w:t>
      </w:r>
      <w:r w:rsidRPr="006A06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внесен в Тульскую областную Думу с соблюдением срока, установленного Законом Тульской области «О бюджетном процессе в Тульской области».</w:t>
      </w:r>
    </w:p>
    <w:p w:rsidR="006A06D1" w:rsidRPr="006A06D1" w:rsidRDefault="006A06D1" w:rsidP="006A06D1">
      <w:pPr>
        <w:tabs>
          <w:tab w:val="left" w:pos="993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A06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Законопроект составлен с учетом положений:</w:t>
      </w:r>
      <w:r w:rsidR="0057176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6A06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</w:t>
      </w:r>
      <w:r w:rsidR="0057176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юджетного кодекса </w:t>
      </w:r>
      <w:r w:rsidRPr="006A06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</w:t>
      </w:r>
      <w:r w:rsidR="0057176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оссийской Федерации</w:t>
      </w:r>
      <w:r w:rsidRPr="006A06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  <w:r w:rsidR="0057176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6A06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Федерального закона от 29.11.2010 №326</w:t>
      </w:r>
      <w:r w:rsidRPr="006A06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noBreakHyphen/>
        <w:t>ФЗ «Об обязательном медицинском страховании в Российской Федерации»;</w:t>
      </w:r>
      <w:r w:rsidR="0057176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6A06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Федерального закона от 30.11.2011 №354</w:t>
      </w:r>
      <w:r w:rsidRPr="006A06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noBreakHyphen/>
        <w:t>ФЗ «О размере и порядке расчета тарифа страхового взноса на обязательное медицинское страхование неработающего населения»;</w:t>
      </w:r>
      <w:r w:rsidR="0057176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6A06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Приказа Федерального фонда обязательного медицинского страхования (далее – </w:t>
      </w:r>
      <w:r w:rsidRPr="006A06D1">
        <w:rPr>
          <w:rFonts w:ascii="Times New Roman" w:eastAsia="Times New Roman" w:hAnsi="Times New Roman" w:cs="Times New Roman"/>
          <w:i/>
          <w:color w:val="0070C0"/>
          <w:kern w:val="28"/>
          <w:sz w:val="28"/>
          <w:szCs w:val="28"/>
          <w:lang w:eastAsia="ru-RU"/>
        </w:rPr>
        <w:t>ФФОМС</w:t>
      </w:r>
      <w:r w:rsidRPr="006A06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 от 27.03.2019 №54 «О порядке использования средств нормированного страхового запаса территориального фонда обязательного медицинского страхования»;</w:t>
      </w:r>
      <w:r w:rsidR="0057176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6A06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Приказов Минфина России от 06.06.2019 №85н «О Порядке формирования и применения кодов бюджетной классификации Российской Федерации, их структуре и принципах назначения» (с учетом письма Минфина России от 26.09.2019 №23</w:t>
      </w:r>
      <w:r w:rsidRPr="006A06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noBreakHyphen/>
        <w:t>04</w:t>
      </w:r>
      <w:r w:rsidRPr="006A06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noBreakHyphen/>
        <w:t>06/74370 о планирующемся введении дополнительных кодов доходов) и от 06.06.2019 №86н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Федерации», а также Порядка применения бюджетной классификации Российской Федерации в части, относящейся к бюджету Тульской области и бюджету территориального фонда обязательного медицинского страхования Тульской области</w:t>
      </w:r>
      <w:r w:rsidR="000951E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(утвержден Приказом министерства финансов Тульской области от 20.12.2018 №177)</w:t>
      </w:r>
      <w:r w:rsidRPr="006A06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4033D3" w:rsidRPr="004033D3" w:rsidRDefault="004033D3" w:rsidP="004033D3">
      <w:pPr>
        <w:tabs>
          <w:tab w:val="left" w:pos="993"/>
          <w:tab w:val="right" w:pos="935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033D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Бюджет Фонда на 2020 год и на плановый период 2021-2022 годов сбалансирован по доходам и расходам. Основные характеристики бюджета Фонда представлены в следующей таблице.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1"/>
        <w:gridCol w:w="2754"/>
        <w:gridCol w:w="1865"/>
        <w:gridCol w:w="1905"/>
      </w:tblGrid>
      <w:tr w:rsidR="0020585D" w:rsidRPr="004033D3" w:rsidTr="0020585D">
        <w:trPr>
          <w:cantSplit/>
          <w:tblHeader/>
          <w:jc w:val="center"/>
        </w:trPr>
        <w:tc>
          <w:tcPr>
            <w:tcW w:w="2821" w:type="dxa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</w:t>
            </w:r>
          </w:p>
        </w:tc>
        <w:tc>
          <w:tcPr>
            <w:tcW w:w="2754" w:type="dxa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65" w:type="dxa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05" w:type="dxa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</w:tr>
      <w:tr w:rsidR="0020585D" w:rsidRPr="004033D3" w:rsidTr="0020585D">
        <w:trPr>
          <w:cantSplit/>
          <w:jc w:val="center"/>
        </w:trPr>
        <w:tc>
          <w:tcPr>
            <w:tcW w:w="2821" w:type="dxa"/>
            <w:shd w:val="clear" w:color="auto" w:fill="F2F2F2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754" w:type="dxa"/>
            <w:shd w:val="clear" w:color="auto" w:fill="F2F2F2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18 851 456,4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19 909 006,4</w:t>
            </w:r>
          </w:p>
        </w:tc>
        <w:tc>
          <w:tcPr>
            <w:tcW w:w="1905" w:type="dxa"/>
            <w:shd w:val="clear" w:color="auto" w:fill="F2F2F2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20 990 709,0</w:t>
            </w:r>
          </w:p>
        </w:tc>
      </w:tr>
      <w:tr w:rsidR="0020585D" w:rsidRPr="004033D3" w:rsidTr="0020585D">
        <w:trPr>
          <w:cantSplit/>
          <w:jc w:val="center"/>
        </w:trPr>
        <w:tc>
          <w:tcPr>
            <w:tcW w:w="2821" w:type="dxa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прирост к предшествующему году</w:t>
            </w:r>
          </w:p>
        </w:tc>
        <w:tc>
          <w:tcPr>
            <w:tcW w:w="2754" w:type="dxa"/>
            <w:vAlign w:val="center"/>
          </w:tcPr>
          <w:p w:rsidR="0020585D" w:rsidRPr="004033D3" w:rsidRDefault="0020585D" w:rsidP="0020585D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(к утв.) +1 091 925,3</w:t>
            </w: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(к о</w:t>
            </w: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цен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ке</w:t>
            </w:r>
            <w:r w:rsidR="00890E3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исполнения</w:t>
            </w: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 +935 582,0</w:t>
            </w:r>
          </w:p>
        </w:tc>
        <w:tc>
          <w:tcPr>
            <w:tcW w:w="1865" w:type="dxa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+1 057 550,0</w:t>
            </w:r>
          </w:p>
        </w:tc>
        <w:tc>
          <w:tcPr>
            <w:tcW w:w="1905" w:type="dxa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+1 081 702,6</w:t>
            </w:r>
          </w:p>
        </w:tc>
      </w:tr>
      <w:tr w:rsidR="0020585D" w:rsidRPr="004033D3" w:rsidTr="0020585D">
        <w:trPr>
          <w:cantSplit/>
          <w:jc w:val="center"/>
        </w:trPr>
        <w:tc>
          <w:tcPr>
            <w:tcW w:w="2821" w:type="dxa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темп прироста к предшествующему году</w:t>
            </w:r>
          </w:p>
        </w:tc>
        <w:tc>
          <w:tcPr>
            <w:tcW w:w="2754" w:type="dxa"/>
            <w:vAlign w:val="center"/>
          </w:tcPr>
          <w:p w:rsidR="0020585D" w:rsidRPr="004033D3" w:rsidRDefault="0020585D" w:rsidP="0020585D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(к утв.) +6,1%</w:t>
            </w: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(к о</w:t>
            </w: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цен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ке</w:t>
            </w:r>
            <w:r w:rsidR="00890E3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исполнения</w:t>
            </w: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 +5,2%</w:t>
            </w:r>
          </w:p>
        </w:tc>
        <w:tc>
          <w:tcPr>
            <w:tcW w:w="1865" w:type="dxa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+5,6%</w:t>
            </w:r>
          </w:p>
        </w:tc>
        <w:tc>
          <w:tcPr>
            <w:tcW w:w="1905" w:type="dxa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+5,4%</w:t>
            </w:r>
          </w:p>
        </w:tc>
      </w:tr>
      <w:tr w:rsidR="0020585D" w:rsidRPr="004033D3" w:rsidTr="0020585D">
        <w:trPr>
          <w:cantSplit/>
          <w:jc w:val="center"/>
        </w:trPr>
        <w:tc>
          <w:tcPr>
            <w:tcW w:w="2821" w:type="dxa"/>
            <w:shd w:val="clear" w:color="auto" w:fill="F2F2F2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754" w:type="dxa"/>
            <w:shd w:val="clear" w:color="auto" w:fill="F2F2F2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18 851 456,4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19 909 006,4</w:t>
            </w:r>
          </w:p>
        </w:tc>
        <w:tc>
          <w:tcPr>
            <w:tcW w:w="1905" w:type="dxa"/>
            <w:shd w:val="clear" w:color="auto" w:fill="F2F2F2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20 990 709,0</w:t>
            </w:r>
          </w:p>
        </w:tc>
      </w:tr>
      <w:tr w:rsidR="0020585D" w:rsidRPr="004033D3" w:rsidTr="0020585D">
        <w:trPr>
          <w:cantSplit/>
          <w:jc w:val="center"/>
        </w:trPr>
        <w:tc>
          <w:tcPr>
            <w:tcW w:w="2821" w:type="dxa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прирост к предшествующему году</w:t>
            </w:r>
          </w:p>
        </w:tc>
        <w:tc>
          <w:tcPr>
            <w:tcW w:w="2754" w:type="dxa"/>
            <w:vAlign w:val="center"/>
          </w:tcPr>
          <w:p w:rsidR="0020585D" w:rsidRPr="004033D3" w:rsidRDefault="0020585D" w:rsidP="0020585D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(к утв.) +953 195,8</w:t>
            </w: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 xml:space="preserve">(к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</w:t>
            </w: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цен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ке</w:t>
            </w:r>
            <w:r w:rsidR="00890E3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исполнения</w:t>
            </w: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 +796 852,5</w:t>
            </w:r>
          </w:p>
        </w:tc>
        <w:tc>
          <w:tcPr>
            <w:tcW w:w="1865" w:type="dxa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+1 057 550,0</w:t>
            </w:r>
          </w:p>
        </w:tc>
        <w:tc>
          <w:tcPr>
            <w:tcW w:w="1905" w:type="dxa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+1 081 702,6</w:t>
            </w:r>
          </w:p>
        </w:tc>
      </w:tr>
      <w:tr w:rsidR="0020585D" w:rsidRPr="004033D3" w:rsidTr="0020585D">
        <w:trPr>
          <w:cantSplit/>
          <w:jc w:val="center"/>
        </w:trPr>
        <w:tc>
          <w:tcPr>
            <w:tcW w:w="2821" w:type="dxa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темп прироста к предшествующему году</w:t>
            </w:r>
          </w:p>
        </w:tc>
        <w:tc>
          <w:tcPr>
            <w:tcW w:w="2754" w:type="dxa"/>
            <w:vAlign w:val="center"/>
          </w:tcPr>
          <w:p w:rsidR="0020585D" w:rsidRPr="004033D3" w:rsidRDefault="0020585D" w:rsidP="0020585D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(к утв.) +5,3%</w:t>
            </w: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 xml:space="preserve">(к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</w:t>
            </w: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цен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ке</w:t>
            </w:r>
            <w:r w:rsidR="00890E3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исполнения</w:t>
            </w: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 +4,4%</w:t>
            </w:r>
          </w:p>
        </w:tc>
        <w:tc>
          <w:tcPr>
            <w:tcW w:w="1865" w:type="dxa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+5,6%</w:t>
            </w:r>
          </w:p>
        </w:tc>
        <w:tc>
          <w:tcPr>
            <w:tcW w:w="1905" w:type="dxa"/>
            <w:vAlign w:val="center"/>
          </w:tcPr>
          <w:p w:rsidR="0020585D" w:rsidRPr="004033D3" w:rsidRDefault="0020585D" w:rsidP="004033D3">
            <w:pPr>
              <w:keepNext/>
              <w:tabs>
                <w:tab w:val="left" w:pos="1134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03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+5,4%</w:t>
            </w:r>
          </w:p>
        </w:tc>
      </w:tr>
    </w:tbl>
    <w:p w:rsidR="0020585D" w:rsidRPr="0020585D" w:rsidRDefault="0020585D" w:rsidP="0020585D">
      <w:pPr>
        <w:tabs>
          <w:tab w:val="left" w:pos="993"/>
          <w:tab w:val="right" w:pos="935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0585D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>Доходы</w:t>
      </w:r>
      <w:r w:rsidRPr="0020585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бюджета Фонда сформированы в соответствии со статьей 146 Б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юджетного кодекса</w:t>
      </w:r>
      <w:r w:rsidRPr="0020585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оссийской Федерации</w:t>
      </w:r>
      <w:r w:rsidRPr="0020585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F8023A" w:rsidRPr="0020585D" w:rsidRDefault="0020585D" w:rsidP="0020585D">
      <w:pPr>
        <w:tabs>
          <w:tab w:val="left" w:pos="993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90E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Структура доходов бюджета Фонда </w:t>
      </w:r>
      <w:r w:rsidR="00F8023A" w:rsidRPr="00890E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2020 году </w:t>
      </w:r>
      <w:r w:rsidRPr="00890E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 сравнению с 2019 годом не изменяется: 99</w:t>
      </w:r>
      <w:r w:rsidR="00146F9B" w:rsidRPr="00890E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,6</w:t>
      </w:r>
      <w:r w:rsidRPr="00890E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% доходов бюджета Фонда составляют межбюджетные трансферты из бюджета ФФОМС (субвенции</w:t>
      </w:r>
      <w:r w:rsidRPr="0089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E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 финансовое обеспечение организации обязательного медицинского страхования (далее также – </w:t>
      </w:r>
      <w:r w:rsidRPr="00890E3A">
        <w:rPr>
          <w:rFonts w:ascii="Times New Roman" w:eastAsia="Times New Roman" w:hAnsi="Times New Roman" w:cs="Times New Roman"/>
          <w:i/>
          <w:color w:val="0070C0"/>
          <w:kern w:val="28"/>
          <w:sz w:val="28"/>
          <w:szCs w:val="28"/>
          <w:lang w:eastAsia="ru-RU"/>
        </w:rPr>
        <w:t>ОМС</w:t>
      </w:r>
      <w:r w:rsidRPr="00890E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 на территориях субъектов Российской Федерации)</w:t>
      </w:r>
      <w:r w:rsidR="00890E3A" w:rsidRPr="00890E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0,4% – неналоговые доходы бюджета Фонда</w:t>
      </w:r>
      <w:r w:rsidRPr="00890E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7F4BA0" w:rsidRPr="00890E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F8023A" w:rsidRPr="00890E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Поступление в 2020 году в бюджет Фонда субвенций на финансовое обеспечение организации ОМС на территориях субъектов Российской Федерации предусматривается в Законопроекте в соответствии с проект</w:t>
      </w:r>
      <w:r w:rsidR="007F4BA0" w:rsidRPr="00890E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ом</w:t>
      </w:r>
      <w:r w:rsidR="00F8023A" w:rsidRPr="00890E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федерального закона «О бюджете Федерального фонда обязательного медицинского страхования на 2020 год и на плановый период 2021 и 2022 годов».</w:t>
      </w:r>
    </w:p>
    <w:p w:rsidR="00F8023A" w:rsidRPr="00F8023A" w:rsidRDefault="00F8023A" w:rsidP="00F8023A">
      <w:pPr>
        <w:tabs>
          <w:tab w:val="left" w:pos="993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802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Доходы бюджета Фонда на плановый период </w:t>
      </w:r>
      <w:r w:rsidR="007F4B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полностью </w:t>
      </w:r>
      <w:r w:rsidRPr="00F802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сформированы за счет безвозмездных поступлений в форме субвенций из бюджета ФФОМС на финансовое обеспечение организации ОМС на территориях субъектов Российской Федерации.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F802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Объемы субвенций ФФОМС на 2021 и 2022 годы Законопроектом устанавливаются исходя из предполагаемой численности застрахованных граждан и подушевых нормативов финансирования базовой программы ОМС, примененных для расчета объемов субвенций, отраженных в проекте федерального закона</w:t>
      </w:r>
      <w:r w:rsidR="007F4BA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7F4BA0" w:rsidRPr="00F802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«О бюджете Федерального фонда обязательного медицинского страхования на 2020 год и на плановый период 2021 и 2022 годов»</w:t>
      </w:r>
      <w:r w:rsidRPr="00F8023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8F5723" w:rsidRPr="008F5723" w:rsidRDefault="008F5723" w:rsidP="008F5723">
      <w:pPr>
        <w:tabs>
          <w:tab w:val="left" w:pos="993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F5723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>Расходы</w:t>
      </w:r>
      <w:r w:rsidRPr="008F572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бюджета Фонда в 2020 году предполагается направлять в основном на финансовое обеспечение организации ОМС на территории Тульской области, в том числе на:</w:t>
      </w:r>
    </w:p>
    <w:p w:rsidR="000951ED" w:rsidRPr="008F5723" w:rsidRDefault="000951ED" w:rsidP="000951ED">
      <w:pPr>
        <w:tabs>
          <w:tab w:val="left" w:pos="993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– </w:t>
      </w:r>
      <w:r w:rsidRPr="008F572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обеспечение реализации территориальной программы ОМС в части оказания медицинской помощи лицам, застрахованным в Тульской области, в рамках базовой программы ОМС – 18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646 056,4 тыс. рублей (98,91%);</w:t>
      </w:r>
    </w:p>
    <w:p w:rsidR="008F5723" w:rsidRPr="008F5723" w:rsidRDefault="008F5723" w:rsidP="008F5723">
      <w:pPr>
        <w:tabs>
          <w:tab w:val="left" w:pos="993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– </w:t>
      </w:r>
      <w:r w:rsidRPr="008F572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обеспечение выполнения аппаратом Фонда своих функций – 135 400,0 тыс. рублей (0,72% общего объема ра</w:t>
      </w:r>
      <w:r w:rsidR="000951E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сходов).</w:t>
      </w:r>
    </w:p>
    <w:p w:rsidR="008F5723" w:rsidRPr="008F5723" w:rsidRDefault="008F5723" w:rsidP="008F5723">
      <w:pPr>
        <w:tabs>
          <w:tab w:val="left" w:pos="993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F572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Кроме того, за счет средств неналоговых доходов, направляемых на формирование нормированного страхового запаса (далее также – </w:t>
      </w:r>
      <w:r w:rsidRPr="008F5723">
        <w:rPr>
          <w:rFonts w:ascii="Times New Roman" w:eastAsia="Times New Roman" w:hAnsi="Times New Roman" w:cs="Times New Roman"/>
          <w:i/>
          <w:color w:val="0070C0"/>
          <w:kern w:val="28"/>
          <w:sz w:val="28"/>
          <w:szCs w:val="28"/>
          <w:lang w:eastAsia="ru-RU"/>
        </w:rPr>
        <w:t>НСЗ</w:t>
      </w:r>
      <w:r w:rsidRPr="008F572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) Фонда (70 000,0 тыс. рублей), Законопроектом в 2020 году предусматриваются бюджетные ассигнования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</w:t>
      </w:r>
      <w:r w:rsidRPr="008F572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приобретению и проведению ремонта медицинского оборудования (0,37% общего объема расходов).</w:t>
      </w:r>
    </w:p>
    <w:p w:rsidR="00B3679A" w:rsidRPr="00B3679A" w:rsidRDefault="00B3679A" w:rsidP="00B3679A">
      <w:pPr>
        <w:tabs>
          <w:tab w:val="left" w:pos="993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</w:t>
      </w:r>
      <w:r w:rsidRPr="00B3679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ормирование НСЗ Фонда Законопроект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ом</w:t>
      </w:r>
      <w:r w:rsidRPr="00B3679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2020 году предусмотрено в размере 2 020 000,0 тыс. рублей</w:t>
      </w:r>
      <w:r w:rsidRPr="00B36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НСЗ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 его использования </w:t>
      </w:r>
      <w:r w:rsidRPr="00B36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нормами действующего законодательства</w:t>
      </w:r>
      <w:r w:rsidRPr="00B36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D9E" w:rsidRDefault="00166B91" w:rsidP="00166B9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6B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Расходы бюджета Фонда на плановый период предусмотрены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Законопроектом </w:t>
      </w:r>
      <w:r w:rsidRPr="00166B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 финансовое обеспечение организации ОМС на территориях субъектов Российской Федерации.</w:t>
      </w:r>
    </w:p>
    <w:sectPr w:rsidR="00A2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35" w:rsidRDefault="00941735" w:rsidP="00F8023A">
      <w:pPr>
        <w:spacing w:after="0" w:line="240" w:lineRule="auto"/>
      </w:pPr>
      <w:r>
        <w:separator/>
      </w:r>
    </w:p>
  </w:endnote>
  <w:endnote w:type="continuationSeparator" w:id="0">
    <w:p w:rsidR="00941735" w:rsidRDefault="00941735" w:rsidP="00F8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35" w:rsidRDefault="00941735" w:rsidP="00F8023A">
      <w:pPr>
        <w:spacing w:after="0" w:line="240" w:lineRule="auto"/>
      </w:pPr>
      <w:r>
        <w:separator/>
      </w:r>
    </w:p>
  </w:footnote>
  <w:footnote w:type="continuationSeparator" w:id="0">
    <w:p w:rsidR="00941735" w:rsidRDefault="00941735" w:rsidP="00F80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51387"/>
    <w:rsid w:val="0006637A"/>
    <w:rsid w:val="000951ED"/>
    <w:rsid w:val="000D577B"/>
    <w:rsid w:val="000E1F0C"/>
    <w:rsid w:val="00105DEF"/>
    <w:rsid w:val="0011391F"/>
    <w:rsid w:val="00146F9B"/>
    <w:rsid w:val="001531CA"/>
    <w:rsid w:val="00160A37"/>
    <w:rsid w:val="00166B91"/>
    <w:rsid w:val="001719A9"/>
    <w:rsid w:val="00187D4E"/>
    <w:rsid w:val="001F04C6"/>
    <w:rsid w:val="0020585D"/>
    <w:rsid w:val="0021080D"/>
    <w:rsid w:val="00214C47"/>
    <w:rsid w:val="002219FB"/>
    <w:rsid w:val="00235569"/>
    <w:rsid w:val="00276B50"/>
    <w:rsid w:val="002C70DC"/>
    <w:rsid w:val="002F1B59"/>
    <w:rsid w:val="0032239C"/>
    <w:rsid w:val="00355902"/>
    <w:rsid w:val="00366477"/>
    <w:rsid w:val="00373E3F"/>
    <w:rsid w:val="00375CB1"/>
    <w:rsid w:val="00394197"/>
    <w:rsid w:val="003A5649"/>
    <w:rsid w:val="003D7D55"/>
    <w:rsid w:val="004033D3"/>
    <w:rsid w:val="00431C64"/>
    <w:rsid w:val="00462539"/>
    <w:rsid w:val="004675AD"/>
    <w:rsid w:val="004B2639"/>
    <w:rsid w:val="004B274C"/>
    <w:rsid w:val="004C46BB"/>
    <w:rsid w:val="004C4BF6"/>
    <w:rsid w:val="004E1A3A"/>
    <w:rsid w:val="004F5064"/>
    <w:rsid w:val="00502239"/>
    <w:rsid w:val="00505A73"/>
    <w:rsid w:val="00540179"/>
    <w:rsid w:val="0055256C"/>
    <w:rsid w:val="00561047"/>
    <w:rsid w:val="00571762"/>
    <w:rsid w:val="005815C3"/>
    <w:rsid w:val="005956A4"/>
    <w:rsid w:val="00595788"/>
    <w:rsid w:val="005A0DD1"/>
    <w:rsid w:val="005A76C6"/>
    <w:rsid w:val="005B4C81"/>
    <w:rsid w:val="006023A2"/>
    <w:rsid w:val="00633B5D"/>
    <w:rsid w:val="00643EB4"/>
    <w:rsid w:val="00644047"/>
    <w:rsid w:val="006605A0"/>
    <w:rsid w:val="006A06D1"/>
    <w:rsid w:val="006C7C25"/>
    <w:rsid w:val="006D1DA1"/>
    <w:rsid w:val="006E7D32"/>
    <w:rsid w:val="00707793"/>
    <w:rsid w:val="00712261"/>
    <w:rsid w:val="00736B92"/>
    <w:rsid w:val="0077631E"/>
    <w:rsid w:val="007B2467"/>
    <w:rsid w:val="007C12B3"/>
    <w:rsid w:val="007C5104"/>
    <w:rsid w:val="007F4BA0"/>
    <w:rsid w:val="008221CB"/>
    <w:rsid w:val="00854C8F"/>
    <w:rsid w:val="00884DF8"/>
    <w:rsid w:val="00890E3A"/>
    <w:rsid w:val="008A1D6A"/>
    <w:rsid w:val="008B1DD1"/>
    <w:rsid w:val="008F0B6E"/>
    <w:rsid w:val="008F5723"/>
    <w:rsid w:val="00920B79"/>
    <w:rsid w:val="00941735"/>
    <w:rsid w:val="009428C0"/>
    <w:rsid w:val="00953654"/>
    <w:rsid w:val="00956705"/>
    <w:rsid w:val="0095798D"/>
    <w:rsid w:val="00967178"/>
    <w:rsid w:val="00982532"/>
    <w:rsid w:val="009913B5"/>
    <w:rsid w:val="00997810"/>
    <w:rsid w:val="009A053A"/>
    <w:rsid w:val="009B6A44"/>
    <w:rsid w:val="009B7EB0"/>
    <w:rsid w:val="009E49CF"/>
    <w:rsid w:val="00A21D9E"/>
    <w:rsid w:val="00A27A17"/>
    <w:rsid w:val="00A47F60"/>
    <w:rsid w:val="00A56A2A"/>
    <w:rsid w:val="00A601F2"/>
    <w:rsid w:val="00A620EC"/>
    <w:rsid w:val="00A67AA1"/>
    <w:rsid w:val="00A76152"/>
    <w:rsid w:val="00A86ECD"/>
    <w:rsid w:val="00A96E91"/>
    <w:rsid w:val="00AE364A"/>
    <w:rsid w:val="00AE6B86"/>
    <w:rsid w:val="00B3679A"/>
    <w:rsid w:val="00B36D5A"/>
    <w:rsid w:val="00B77600"/>
    <w:rsid w:val="00B92BEC"/>
    <w:rsid w:val="00BB1CAB"/>
    <w:rsid w:val="00BD63B8"/>
    <w:rsid w:val="00C028F9"/>
    <w:rsid w:val="00C102F8"/>
    <w:rsid w:val="00C12194"/>
    <w:rsid w:val="00C1496D"/>
    <w:rsid w:val="00C14F12"/>
    <w:rsid w:val="00C56E82"/>
    <w:rsid w:val="00C65435"/>
    <w:rsid w:val="00C7749E"/>
    <w:rsid w:val="00C92B88"/>
    <w:rsid w:val="00CD2E74"/>
    <w:rsid w:val="00CD6B69"/>
    <w:rsid w:val="00D11FCE"/>
    <w:rsid w:val="00D47393"/>
    <w:rsid w:val="00D65E48"/>
    <w:rsid w:val="00D73146"/>
    <w:rsid w:val="00D95396"/>
    <w:rsid w:val="00DC5E86"/>
    <w:rsid w:val="00DF22A2"/>
    <w:rsid w:val="00DF49D8"/>
    <w:rsid w:val="00E30AEE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25DC"/>
    <w:rsid w:val="00F07DEC"/>
    <w:rsid w:val="00F66085"/>
    <w:rsid w:val="00F67986"/>
    <w:rsid w:val="00F710CB"/>
    <w:rsid w:val="00F746CE"/>
    <w:rsid w:val="00F8023A"/>
    <w:rsid w:val="00F94136"/>
    <w:rsid w:val="00FA2071"/>
    <w:rsid w:val="00FA2EA2"/>
    <w:rsid w:val="00FD61FB"/>
    <w:rsid w:val="00FE2709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paragraph" w:styleId="4">
    <w:name w:val="heading 4"/>
    <w:basedOn w:val="a"/>
    <w:next w:val="a"/>
    <w:link w:val="40"/>
    <w:uiPriority w:val="9"/>
    <w:unhideWhenUsed/>
    <w:qFormat/>
    <w:rsid w:val="00CD2E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2E7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CD2E74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D2E74"/>
  </w:style>
  <w:style w:type="paragraph" w:styleId="ad">
    <w:name w:val="footnote text"/>
    <w:basedOn w:val="a"/>
    <w:link w:val="ae"/>
    <w:uiPriority w:val="99"/>
    <w:unhideWhenUsed/>
    <w:rsid w:val="00F80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F80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unhideWhenUsed/>
    <w:rsid w:val="00F80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Титова Марина Владимировна</cp:lastModifiedBy>
  <cp:revision>2</cp:revision>
  <cp:lastPrinted>2019-09-13T08:28:00Z</cp:lastPrinted>
  <dcterms:created xsi:type="dcterms:W3CDTF">2019-11-28T08:49:00Z</dcterms:created>
  <dcterms:modified xsi:type="dcterms:W3CDTF">2019-11-28T08:49:00Z</dcterms:modified>
</cp:coreProperties>
</file>