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A8" w:rsidRPr="00FB6D76" w:rsidRDefault="000602A8" w:rsidP="000602A8">
      <w:pPr>
        <w:pStyle w:val="3"/>
        <w:widowControl w:val="0"/>
        <w:ind w:left="75" w:right="0" w:firstLine="633"/>
        <w:jc w:val="both"/>
        <w:rPr>
          <w:rFonts w:ascii="PT Astra Serif" w:hAnsi="PT Astra Serif"/>
          <w:i/>
          <w:sz w:val="32"/>
          <w:szCs w:val="32"/>
        </w:rPr>
      </w:pPr>
      <w:r w:rsidRPr="00FB6D76">
        <w:rPr>
          <w:rFonts w:ascii="PT Astra Serif" w:hAnsi="PT Astra Serif"/>
          <w:bCs/>
          <w:i/>
          <w:sz w:val="32"/>
          <w:szCs w:val="32"/>
        </w:rPr>
        <w:t xml:space="preserve">Информация о результатах контрольного мероприятия </w:t>
      </w:r>
      <w:r w:rsidRPr="00FB6D76">
        <w:rPr>
          <w:rFonts w:ascii="PT Astra Serif" w:hAnsi="PT Astra Serif"/>
          <w:i/>
          <w:sz w:val="32"/>
          <w:szCs w:val="32"/>
        </w:rPr>
        <w:t>«Проверка целевого и эффективного использования средств бюджета Тульской области на реализацию подпрограммы «Развитие промышленного комплекса Тульской области» государственной программы Тульской области «Развитие промышленности в Тульской области» в части средств, выделенных Фонду развития промышленности Тульской области на организацию текущей деятельности и на осуществление финансовой поддержки субъектов деятельности в сфере промышленности»</w:t>
      </w:r>
    </w:p>
    <w:p w:rsidR="000602A8" w:rsidRPr="00FB6D76" w:rsidRDefault="000602A8" w:rsidP="000602A8">
      <w:pPr>
        <w:ind w:firstLine="709"/>
        <w:jc w:val="both"/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</w:pPr>
    </w:p>
    <w:p w:rsidR="000602A8" w:rsidRDefault="000602A8" w:rsidP="000602A8">
      <w:pPr>
        <w:ind w:firstLine="709"/>
        <w:jc w:val="both"/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</w:pPr>
      <w:r w:rsidRPr="00FB6D76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пунктом </w:t>
      </w:r>
      <w:r w:rsidRPr="00FB6D76">
        <w:rPr>
          <w:rFonts w:ascii="PT Astra Serif" w:eastAsiaTheme="minorEastAsia" w:hAnsi="PT Astra Serif" w:cs="Times New Roman"/>
          <w:sz w:val="32"/>
          <w:szCs w:val="32"/>
          <w:lang w:eastAsia="ru-RU"/>
        </w:rPr>
        <w:t xml:space="preserve">п. </w:t>
      </w:r>
      <w:r w:rsidRPr="00FB6D76">
        <w:rPr>
          <w:rFonts w:ascii="PT Astra Serif" w:hAnsi="PT Astra Serif" w:cs="Times New Roman"/>
          <w:sz w:val="32"/>
          <w:szCs w:val="32"/>
        </w:rPr>
        <w:t xml:space="preserve">2.5.1 </w:t>
      </w:r>
      <w:r w:rsidRPr="00FB6D76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плана работы счетной палаты Тульской области на 2020 год, в период </w:t>
      </w:r>
      <w:r w:rsidRPr="00FB6D76">
        <w:rPr>
          <w:rFonts w:ascii="PT Astra Serif" w:hAnsi="PT Astra Serif"/>
          <w:sz w:val="32"/>
          <w:szCs w:val="32"/>
        </w:rPr>
        <w:t>с 20 января 2020 года по 20 февраля 2020 года</w:t>
      </w:r>
      <w:r w:rsidRPr="00FB6D76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</w:t>
      </w:r>
      <w:r w:rsidRPr="00FB6D76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проведено контрольное мероприятие «Проверка целевого и эффективного использования средств бюджета Тульской области на реализацию подпрограммы «Развитие промышленного комплекса Тульской области» государственной программы Тульской области «Развитие промышленности в Тульской области» в части средств, выделенных Фонду развития промышленности Тульской области на организацию текущей деятельности и на осуществление финансовой поддержки субъектов деятельности в сфере промышленности»</w:t>
      </w:r>
      <w:r w:rsidRPr="00FB6D76">
        <w:rPr>
          <w:rFonts w:ascii="PT Astra Serif" w:hAnsi="PT Astra Serif"/>
          <w:sz w:val="32"/>
          <w:szCs w:val="32"/>
        </w:rPr>
        <w:t xml:space="preserve"> </w:t>
      </w:r>
      <w:r w:rsidRPr="00FB6D76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за 2017 - 2019 годы.</w:t>
      </w:r>
    </w:p>
    <w:p w:rsidR="00C82366" w:rsidRDefault="00C82366" w:rsidP="000602A8">
      <w:pPr>
        <w:ind w:firstLine="709"/>
        <w:jc w:val="both"/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Проверка проводилась с целью оценки законности и эффективности использования средств бюджета Тульской области, направленных в Фонд развития промышленности Тульской области на организацию текущей деятельности и на осуществление финансовой поддержки субъектов деятельности в сфере промышленности в рамках реализации подпрограммы «Развитие промышленного комплекса Тульской области» государственной программы Тульской области «Развитие промышленности в Тульской области».</w:t>
      </w:r>
    </w:p>
    <w:p w:rsidR="00C82366" w:rsidRPr="00FB6D76" w:rsidRDefault="00C82366" w:rsidP="000602A8">
      <w:pPr>
        <w:ind w:firstLine="709"/>
        <w:jc w:val="both"/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По результатам контрольного мероприятия выявлены отдельные нарушения в деятельности министерства промышленности и науки Тульской области при исполнении ими </w:t>
      </w:r>
      <w:r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lastRenderedPageBreak/>
        <w:t>госпрограммы и соглашений о выделении субсидий, в части установления показателей эффективности и результативности деятельности Фонда</w:t>
      </w:r>
      <w:r w:rsidR="00A13B31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. В работе Фонда выявлены нарушения при планировании бюджетных ассигнований.</w:t>
      </w:r>
      <w:r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 </w:t>
      </w:r>
    </w:p>
    <w:p w:rsidR="000602A8" w:rsidRDefault="000602A8" w:rsidP="000602A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</w:pPr>
      <w:r w:rsidRPr="00FB6D76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По результатам проверки направлены представления счетной палаты Тульской области в</w:t>
      </w:r>
      <w:r w:rsidRPr="00FB6D76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</w:t>
      </w:r>
      <w:r w:rsidR="00A13B31">
        <w:rPr>
          <w:rFonts w:ascii="PT Astra Serif" w:eastAsia="Times New Roman" w:hAnsi="PT Astra Serif" w:cs="Times New Roman"/>
          <w:sz w:val="32"/>
          <w:szCs w:val="32"/>
          <w:lang w:eastAsia="ru-RU"/>
        </w:rPr>
        <w:t>м</w:t>
      </w:r>
      <w:r w:rsidRPr="00FB6D76">
        <w:rPr>
          <w:rFonts w:ascii="PT Astra Serif" w:eastAsia="Times New Roman" w:hAnsi="PT Astra Serif" w:cs="Times New Roman"/>
          <w:sz w:val="32"/>
          <w:szCs w:val="32"/>
          <w:lang w:eastAsia="ru-RU"/>
        </w:rPr>
        <w:t>инистерство</w:t>
      </w:r>
      <w:r w:rsidR="00A13B31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промышленности и науки Тульской области и</w:t>
      </w:r>
      <w:r w:rsidRPr="00FB6D76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в Фонд</w:t>
      </w:r>
      <w:r w:rsidR="00A13B31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развития промышленности Тульской области</w:t>
      </w:r>
      <w:bookmarkStart w:id="0" w:name="_GoBack"/>
      <w:bookmarkEnd w:id="0"/>
      <w:r w:rsidRPr="00FB6D76"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 xml:space="preserve">. </w:t>
      </w:r>
    </w:p>
    <w:p w:rsidR="000602A8" w:rsidRDefault="000602A8" w:rsidP="000602A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</w:pPr>
    </w:p>
    <w:p w:rsidR="000602A8" w:rsidRPr="00FB6D76" w:rsidRDefault="000602A8" w:rsidP="000602A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bCs/>
          <w:sz w:val="32"/>
          <w:szCs w:val="32"/>
          <w:lang w:eastAsia="ru-RU"/>
        </w:rPr>
        <w:t>Аудитор                                                           Т.А. Сергеева</w:t>
      </w:r>
    </w:p>
    <w:p w:rsidR="00D77627" w:rsidRPr="004E02AF" w:rsidRDefault="00D77627" w:rsidP="004E02AF"/>
    <w:sectPr w:rsidR="00D77627" w:rsidRPr="004E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C182B"/>
    <w:multiLevelType w:val="hybridMultilevel"/>
    <w:tmpl w:val="7A687C1E"/>
    <w:lvl w:ilvl="0" w:tplc="3FB8C6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6A"/>
    <w:rsid w:val="000602A8"/>
    <w:rsid w:val="002C6607"/>
    <w:rsid w:val="004E02AF"/>
    <w:rsid w:val="009E09F2"/>
    <w:rsid w:val="009E556A"/>
    <w:rsid w:val="00A13B31"/>
    <w:rsid w:val="00C82366"/>
    <w:rsid w:val="00D77627"/>
    <w:rsid w:val="00EF5B44"/>
    <w:rsid w:val="00F7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221A-B4A4-4C9B-8653-8C2B6D0E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607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0602A8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Николаевна</dc:creator>
  <cp:keywords/>
  <dc:description/>
  <cp:lastModifiedBy>Кузнецова Ольга Николаевна</cp:lastModifiedBy>
  <cp:revision>3</cp:revision>
  <cp:lastPrinted>2020-02-25T07:48:00Z</cp:lastPrinted>
  <dcterms:created xsi:type="dcterms:W3CDTF">2020-05-25T06:20:00Z</dcterms:created>
  <dcterms:modified xsi:type="dcterms:W3CDTF">2020-05-25T07:01:00Z</dcterms:modified>
</cp:coreProperties>
</file>