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DB" w:rsidRPr="003256DB" w:rsidRDefault="00FB4496" w:rsidP="003256D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  <w:r w:rsidRPr="00E9283D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3256DB" w:rsidRPr="003256DB">
        <w:rPr>
          <w:rFonts w:ascii="Times New Roman" w:eastAsiaTheme="minorEastAsia" w:hAnsi="Times New Roman" w:cs="Times New Roman"/>
          <w:b/>
          <w:sz w:val="28"/>
          <w:szCs w:val="28"/>
        </w:rPr>
        <w:t xml:space="preserve">Анализ формирования бюджетов муниципальных образований Тульской области на 2022 год и плановый период 2023 и 2024 годов» </w:t>
      </w:r>
    </w:p>
    <w:p w:rsidR="003256DB" w:rsidRPr="003256DB" w:rsidRDefault="003256DB" w:rsidP="003256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56DB">
        <w:rPr>
          <w:rFonts w:ascii="Times New Roman" w:eastAsiaTheme="minorEastAsia" w:hAnsi="Times New Roman" w:cs="Times New Roman"/>
          <w:b/>
          <w:sz w:val="28"/>
          <w:szCs w:val="28"/>
        </w:rPr>
        <w:t>(с учетом заключений контрольно-счетных органов муниципальных образований на проекты решений о бюджетах муниципальных образований на соответствующий период)</w:t>
      </w:r>
    </w:p>
    <w:p w:rsidR="00FB4496" w:rsidRPr="00E9283D" w:rsidRDefault="00FB4496" w:rsidP="003256DB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8"/>
          <w:sz w:val="28"/>
          <w:szCs w:val="28"/>
          <w:highlight w:val="yellow"/>
        </w:rPr>
      </w:pPr>
    </w:p>
    <w:p w:rsidR="00FB4496" w:rsidRPr="00E9283D" w:rsidRDefault="00FB4496" w:rsidP="00E9283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Экспертно-аналитическое мероприятие проведено в соответствии с пунктом 4.</w:t>
      </w:r>
      <w:r w:rsidR="003256DB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. Плана работы счетной палаты Тульской области на 202</w:t>
      </w:r>
      <w:r w:rsidR="003256DB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 </w:t>
      </w:r>
      <w:r w:rsidRPr="00E9283D">
        <w:rPr>
          <w:rFonts w:ascii="Times New Roman" w:hAnsi="Times New Roman" w:cs="Times New Roman"/>
          <w:spacing w:val="-4"/>
          <w:kern w:val="28"/>
          <w:sz w:val="28"/>
          <w:szCs w:val="28"/>
        </w:rPr>
        <w:t>год.</w:t>
      </w:r>
    </w:p>
    <w:p w:rsidR="005A2B73" w:rsidRPr="00E9283D" w:rsidRDefault="00FB4496" w:rsidP="00E92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9283D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 w:rsidRPr="00E928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283D" w:rsidRPr="00E9283D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муниципальных образований Тульской области</w:t>
      </w:r>
      <w:r w:rsidR="005A2B73" w:rsidRPr="00E9283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9283D" w:rsidRPr="003256DB" w:rsidRDefault="00E9283D" w:rsidP="00E928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6DB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экспертно-аналитического мероприятия </w:t>
      </w:r>
      <w:r w:rsidR="003256DB" w:rsidRPr="003256DB">
        <w:rPr>
          <w:rFonts w:ascii="Times New Roman" w:hAnsi="Times New Roman"/>
          <w:sz w:val="28"/>
          <w:szCs w:val="28"/>
        </w:rPr>
        <w:t xml:space="preserve">проведен анализ </w:t>
      </w:r>
      <w:r w:rsidR="003256DB" w:rsidRPr="003256DB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правовых актов представительных органов</w:t>
      </w:r>
      <w:r w:rsidR="003256DB" w:rsidRPr="003256DB">
        <w:rPr>
          <w:rFonts w:ascii="Times New Roman" w:hAnsi="Times New Roman"/>
          <w:sz w:val="28"/>
          <w:szCs w:val="28"/>
        </w:rPr>
        <w:t xml:space="preserve"> муниципальных образований, регулирующих</w:t>
      </w:r>
      <w:r w:rsidR="003256DB" w:rsidRPr="003256DB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бюджетный процесс в муниципальных образованиях Тульской области</w:t>
      </w:r>
      <w:r w:rsidR="006A13E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(далее – также</w:t>
      </w:r>
      <w:r w:rsidR="005F22B4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МО)</w:t>
      </w:r>
      <w:r w:rsidR="003256DB" w:rsidRPr="003256DB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, </w:t>
      </w:r>
      <w:r w:rsidR="003256DB" w:rsidRPr="003256DB">
        <w:rPr>
          <w:rFonts w:ascii="Times New Roman" w:hAnsi="Times New Roman"/>
          <w:sz w:val="28"/>
          <w:szCs w:val="28"/>
        </w:rPr>
        <w:t>решений о бюджетах муниципальных образований на 2022 год, отчетов об исполнении местных бюджетов за 2021 год.</w:t>
      </w:r>
      <w:r w:rsidRPr="003256D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проведенного счетной палатой анализа установлено следующее.</w:t>
      </w:r>
    </w:p>
    <w:p w:rsidR="001A08F1" w:rsidRDefault="00E9283D" w:rsidP="00A72CFC">
      <w:pPr>
        <w:tabs>
          <w:tab w:val="left" w:pos="1134"/>
          <w:tab w:val="left" w:pos="1276"/>
        </w:tabs>
        <w:spacing w:before="60" w:after="0" w:line="240" w:lineRule="auto"/>
        <w:ind w:firstLine="709"/>
        <w:jc w:val="both"/>
      </w:pPr>
      <w:r w:rsidRPr="001A08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 В результате анализа </w:t>
      </w:r>
      <w:r w:rsidR="00D75B39" w:rsidRPr="001A08F1">
        <w:rPr>
          <w:rFonts w:ascii="Times New Roman" w:hAnsi="Times New Roman"/>
          <w:sz w:val="28"/>
          <w:szCs w:val="28"/>
        </w:rPr>
        <w:t>нормативных</w:t>
      </w:r>
      <w:r w:rsidR="00D75B39" w:rsidRPr="00170FDB">
        <w:rPr>
          <w:rFonts w:ascii="Times New Roman" w:hAnsi="Times New Roman"/>
          <w:sz w:val="28"/>
          <w:szCs w:val="28"/>
        </w:rPr>
        <w:t xml:space="preserve"> правовых документов, регулирующих бюджетный процесс в МО, на соблюдение отдельных положений бюджетного законодательства Р</w:t>
      </w:r>
      <w:r w:rsidR="00505659">
        <w:rPr>
          <w:rFonts w:ascii="Times New Roman" w:hAnsi="Times New Roman"/>
          <w:sz w:val="28"/>
          <w:szCs w:val="28"/>
        </w:rPr>
        <w:t>оссийской Федерации</w:t>
      </w:r>
      <w:r w:rsidR="00D75B39" w:rsidRPr="00170FDB">
        <w:rPr>
          <w:rFonts w:ascii="Times New Roman" w:hAnsi="Times New Roman"/>
          <w:sz w:val="28"/>
          <w:szCs w:val="28"/>
        </w:rPr>
        <w:t xml:space="preserve"> </w:t>
      </w:r>
      <w:r w:rsidR="00D75B39">
        <w:rPr>
          <w:rFonts w:ascii="Times New Roman" w:hAnsi="Times New Roman"/>
          <w:sz w:val="28"/>
          <w:szCs w:val="28"/>
        </w:rPr>
        <w:t>установлен ряд замечаний и недостатков:</w:t>
      </w:r>
      <w:r w:rsidR="00D75B39" w:rsidRPr="00D75B39">
        <w:t xml:space="preserve"> </w:t>
      </w:r>
    </w:p>
    <w:p w:rsidR="00E9283D" w:rsidRDefault="00D75B39" w:rsidP="00E928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B">
        <w:rPr>
          <w:rFonts w:ascii="Times New Roman" w:hAnsi="Times New Roman"/>
          <w:sz w:val="28"/>
          <w:szCs w:val="28"/>
        </w:rPr>
        <w:t>не соблюдена</w:t>
      </w:r>
      <w:r w:rsidRPr="00D75B39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>норма</w:t>
      </w:r>
      <w:r w:rsidRPr="00D75B39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>статьи 185 Б</w:t>
      </w:r>
      <w:r w:rsidR="006A3E85">
        <w:rPr>
          <w:rFonts w:ascii="Times New Roman" w:hAnsi="Times New Roman"/>
          <w:sz w:val="28"/>
          <w:szCs w:val="28"/>
        </w:rPr>
        <w:t>юджетного кодекса Российской Федерации (далее – Б</w:t>
      </w:r>
      <w:r w:rsidRPr="00170FDB">
        <w:rPr>
          <w:rFonts w:ascii="Times New Roman" w:hAnsi="Times New Roman"/>
          <w:sz w:val="28"/>
          <w:szCs w:val="28"/>
        </w:rPr>
        <w:t>К РФ</w:t>
      </w:r>
      <w:r w:rsidR="006A3E85">
        <w:rPr>
          <w:rFonts w:ascii="Times New Roman" w:hAnsi="Times New Roman"/>
          <w:sz w:val="28"/>
          <w:szCs w:val="28"/>
        </w:rPr>
        <w:t>)</w:t>
      </w:r>
      <w:r w:rsidR="005A0C18">
        <w:rPr>
          <w:rFonts w:ascii="Times New Roman" w:hAnsi="Times New Roman"/>
          <w:sz w:val="28"/>
          <w:szCs w:val="28"/>
        </w:rPr>
        <w:t>:</w:t>
      </w:r>
      <w:r w:rsidR="006A13EE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 xml:space="preserve">в положениях о бюджетном процессе </w:t>
      </w:r>
      <w:r w:rsidR="006A13EE" w:rsidRPr="00D75B39">
        <w:rPr>
          <w:rFonts w:ascii="Times New Roman" w:hAnsi="Times New Roman"/>
          <w:sz w:val="28"/>
          <w:szCs w:val="28"/>
        </w:rPr>
        <w:t xml:space="preserve">четырех </w:t>
      </w:r>
      <w:r w:rsidR="006A13EE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не</w:t>
      </w:r>
      <w:r w:rsidRPr="00170FDB">
        <w:rPr>
          <w:rFonts w:ascii="Times New Roman" w:hAnsi="Times New Roman"/>
          <w:sz w:val="28"/>
          <w:szCs w:val="28"/>
        </w:rPr>
        <w:t xml:space="preserve"> установлен срок внесения администрацией </w:t>
      </w:r>
      <w:r>
        <w:rPr>
          <w:rFonts w:ascii="Times New Roman" w:hAnsi="Times New Roman"/>
          <w:sz w:val="28"/>
          <w:szCs w:val="28"/>
        </w:rPr>
        <w:t>МО</w:t>
      </w:r>
      <w:r w:rsidRPr="00170FDB">
        <w:rPr>
          <w:rFonts w:ascii="Times New Roman" w:hAnsi="Times New Roman"/>
          <w:sz w:val="28"/>
          <w:szCs w:val="28"/>
        </w:rPr>
        <w:t xml:space="preserve"> на рассмотрение в представительный орган МО проекта решения о местном бюджете</w:t>
      </w:r>
      <w:r w:rsidR="00505659">
        <w:rPr>
          <w:rFonts w:ascii="Times New Roman" w:hAnsi="Times New Roman"/>
          <w:sz w:val="28"/>
          <w:szCs w:val="28"/>
        </w:rPr>
        <w:t>;</w:t>
      </w:r>
    </w:p>
    <w:p w:rsidR="001A08F1" w:rsidRDefault="001A08F1" w:rsidP="00E928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DB">
        <w:rPr>
          <w:rFonts w:ascii="Times New Roman" w:hAnsi="Times New Roman"/>
          <w:sz w:val="28"/>
          <w:szCs w:val="28"/>
        </w:rPr>
        <w:t>не соблюдена</w:t>
      </w:r>
      <w:r w:rsidRPr="00D75B39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>норма</w:t>
      </w:r>
      <w:r w:rsidRPr="00D75B39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>статьи 157 БК РФ</w:t>
      </w:r>
      <w:r w:rsidR="005A0C18">
        <w:rPr>
          <w:rFonts w:ascii="Times New Roman" w:hAnsi="Times New Roman"/>
          <w:sz w:val="28"/>
          <w:szCs w:val="28"/>
        </w:rPr>
        <w:t>:</w:t>
      </w:r>
      <w:r w:rsidR="006A13EE">
        <w:rPr>
          <w:rFonts w:ascii="Times New Roman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 xml:space="preserve">в положениях о бюджетном процессе </w:t>
      </w:r>
      <w:r w:rsidR="005A0C18" w:rsidRPr="00170FDB">
        <w:rPr>
          <w:rFonts w:ascii="Times New Roman" w:eastAsia="Calibri" w:hAnsi="Times New Roman"/>
          <w:sz w:val="28"/>
          <w:szCs w:val="28"/>
        </w:rPr>
        <w:t>трех МО</w:t>
      </w:r>
      <w:r w:rsidR="005A0C1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170FDB">
        <w:rPr>
          <w:rFonts w:ascii="Times New Roman" w:hAnsi="Times New Roman"/>
          <w:sz w:val="28"/>
          <w:szCs w:val="28"/>
        </w:rPr>
        <w:t xml:space="preserve"> предусмотрено направление проектов решений о бюджете МО на экспертизу в контрольно-счетный орган МО</w:t>
      </w:r>
      <w:r w:rsidR="00CB140C">
        <w:rPr>
          <w:rFonts w:ascii="Times New Roman" w:hAnsi="Times New Roman"/>
          <w:sz w:val="28"/>
          <w:szCs w:val="28"/>
        </w:rPr>
        <w:t>.</w:t>
      </w:r>
    </w:p>
    <w:p w:rsidR="00A72CFC" w:rsidRDefault="00A72CFC" w:rsidP="00A72CFC">
      <w:pPr>
        <w:tabs>
          <w:tab w:val="left" w:pos="1134"/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 В нарушение </w:t>
      </w:r>
      <w:r w:rsidRPr="00D75B3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й</w:t>
      </w:r>
      <w:r w:rsidRPr="00D75B39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Pr="00170FDB">
        <w:rPr>
          <w:rFonts w:ascii="Times New Roman" w:eastAsia="Calibri" w:hAnsi="Times New Roman"/>
          <w:sz w:val="28"/>
          <w:szCs w:val="28"/>
        </w:rPr>
        <w:t>трех МО</w:t>
      </w:r>
      <w:r w:rsidRPr="00A72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70FDB">
        <w:rPr>
          <w:rFonts w:ascii="Times New Roman" w:hAnsi="Times New Roman"/>
          <w:sz w:val="28"/>
          <w:szCs w:val="28"/>
        </w:rPr>
        <w:t xml:space="preserve">не были представлены на экспертизу проекты решений о </w:t>
      </w:r>
      <w:r w:rsidRPr="004631B8">
        <w:rPr>
          <w:rFonts w:ascii="Times New Roman" w:hAnsi="Times New Roman"/>
          <w:sz w:val="28"/>
          <w:szCs w:val="28"/>
        </w:rPr>
        <w:t>бюджете на 2022 год в контрольно-счетную палату МО Узловский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5F22B4" w:rsidRPr="00170FDB" w:rsidRDefault="00A72CFC" w:rsidP="00A1727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22">
        <w:rPr>
          <w:rFonts w:ascii="Times New Roman" w:hAnsi="Times New Roman"/>
          <w:sz w:val="28"/>
          <w:szCs w:val="28"/>
        </w:rPr>
        <w:t>3. </w:t>
      </w:r>
      <w:r w:rsidR="005F22B4" w:rsidRPr="000D0B22">
        <w:rPr>
          <w:rFonts w:ascii="Times New Roman" w:hAnsi="Times New Roman"/>
          <w:sz w:val="28"/>
          <w:szCs w:val="28"/>
        </w:rPr>
        <w:t xml:space="preserve">В 26-ти муниципальных образованиях </w:t>
      </w:r>
      <w:r w:rsidR="005F22B4" w:rsidRPr="000D0B22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рассмотрение проектов бюджетов на 2022 год осуществлено с нарушением положений о бюджетном процессе МО: </w:t>
      </w:r>
      <w:r w:rsidR="005F22B4" w:rsidRPr="000D0B22">
        <w:rPr>
          <w:rFonts w:ascii="Times New Roman" w:hAnsi="Times New Roman"/>
          <w:sz w:val="28"/>
          <w:szCs w:val="28"/>
        </w:rPr>
        <w:t xml:space="preserve">в период после </w:t>
      </w:r>
      <w:r w:rsidR="00BF1619" w:rsidRPr="000D0B22">
        <w:rPr>
          <w:rFonts w:ascii="Times New Roman" w:hAnsi="Times New Roman"/>
          <w:sz w:val="28"/>
          <w:szCs w:val="28"/>
        </w:rPr>
        <w:t>утверждения</w:t>
      </w:r>
      <w:r w:rsidR="00BF1619" w:rsidRPr="00BF1619">
        <w:rPr>
          <w:rFonts w:ascii="Times New Roman" w:hAnsi="Times New Roman"/>
          <w:sz w:val="28"/>
          <w:szCs w:val="28"/>
        </w:rPr>
        <w:t xml:space="preserve"> </w:t>
      </w:r>
      <w:r w:rsidR="00BF1619" w:rsidRPr="00BF1619">
        <w:rPr>
          <w:rFonts w:ascii="Times New Roman" w:hAnsi="Times New Roman"/>
          <w:sz w:val="28"/>
          <w:szCs w:val="28"/>
        </w:rPr>
        <w:lastRenderedPageBreak/>
        <w:t xml:space="preserve">(одобрения, рассмотрения) основных характеристик в первом чтении </w:t>
      </w:r>
      <w:r w:rsidR="005F22B4" w:rsidRPr="00BF1619">
        <w:rPr>
          <w:rFonts w:ascii="Times New Roman" w:hAnsi="Times New Roman"/>
          <w:sz w:val="28"/>
          <w:szCs w:val="28"/>
        </w:rPr>
        <w:t xml:space="preserve">до утверждения бюджета были изменены основные характеристики бюджетов. </w:t>
      </w:r>
      <w:r w:rsidR="00A1727D" w:rsidRPr="00BF1619">
        <w:rPr>
          <w:rFonts w:ascii="Times New Roman" w:hAnsi="Times New Roman"/>
          <w:sz w:val="28"/>
          <w:szCs w:val="28"/>
        </w:rPr>
        <w:t>В</w:t>
      </w:r>
      <w:r w:rsidR="005F22B4" w:rsidRPr="00BF1619">
        <w:rPr>
          <w:rFonts w:ascii="Times New Roman" w:hAnsi="Times New Roman"/>
          <w:sz w:val="28"/>
          <w:szCs w:val="28"/>
        </w:rPr>
        <w:t xml:space="preserve"> положениях о бюджетном процессе </w:t>
      </w:r>
      <w:r w:rsidR="00A1727D" w:rsidRPr="00BF1619">
        <w:rPr>
          <w:rFonts w:ascii="Times New Roman" w:hAnsi="Times New Roman"/>
          <w:sz w:val="28"/>
          <w:szCs w:val="28"/>
        </w:rPr>
        <w:t>указанных</w:t>
      </w:r>
      <w:r w:rsidR="005F22B4" w:rsidRPr="00BF1619">
        <w:rPr>
          <w:rFonts w:ascii="Times New Roman" w:hAnsi="Times New Roman"/>
          <w:sz w:val="28"/>
          <w:szCs w:val="28"/>
        </w:rPr>
        <w:t xml:space="preserve"> МО изменение основных характеристик бюджета после их утверждения (одобрения, рассмотрения) в первом чтении</w:t>
      </w:r>
      <w:r w:rsidR="00BF1619" w:rsidRPr="00BF1619">
        <w:rPr>
          <w:rFonts w:ascii="Times New Roman" w:hAnsi="Times New Roman"/>
          <w:sz w:val="28"/>
          <w:szCs w:val="28"/>
        </w:rPr>
        <w:t xml:space="preserve"> не предусматривается</w:t>
      </w:r>
      <w:r w:rsidR="00A1727D">
        <w:rPr>
          <w:rFonts w:ascii="Times New Roman" w:hAnsi="Times New Roman"/>
          <w:sz w:val="28"/>
          <w:szCs w:val="28"/>
        </w:rPr>
        <w:t>.</w:t>
      </w:r>
    </w:p>
    <w:p w:rsidR="005F22B4" w:rsidRDefault="00A1727D" w:rsidP="00A1727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F22B4" w:rsidRPr="005F22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A1727D">
        <w:rPr>
          <w:rFonts w:ascii="Times New Roman" w:eastAsiaTheme="minorEastAsia" w:hAnsi="Times New Roman" w:cs="Times New Roman"/>
          <w:sz w:val="28"/>
          <w:szCs w:val="28"/>
        </w:rPr>
        <w:t>Бюджеты всех</w:t>
      </w:r>
      <w:r w:rsidR="00C27F21">
        <w:rPr>
          <w:rFonts w:ascii="Times New Roman" w:eastAsiaTheme="minorEastAsia" w:hAnsi="Times New Roman" w:cs="Times New Roman"/>
          <w:sz w:val="28"/>
          <w:szCs w:val="28"/>
        </w:rPr>
        <w:t xml:space="preserve"> 103</w:t>
      </w:r>
      <w:r w:rsidRPr="00A1727D">
        <w:rPr>
          <w:rFonts w:ascii="Times New Roman" w:eastAsiaTheme="minorEastAsia" w:hAnsi="Times New Roman" w:cs="Times New Roman"/>
          <w:sz w:val="28"/>
          <w:szCs w:val="28"/>
        </w:rPr>
        <w:t xml:space="preserve"> МО на 2022 год утверждены решениями соответствующих представительных органов до начала очередного финансового года</w:t>
      </w:r>
      <w:r w:rsidR="00C27F2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1727D">
        <w:rPr>
          <w:rFonts w:ascii="Times New Roman" w:eastAsiaTheme="minorEastAsia" w:hAnsi="Times New Roman" w:cs="Times New Roman"/>
          <w:sz w:val="28"/>
          <w:szCs w:val="28"/>
        </w:rPr>
        <w:t xml:space="preserve"> вступили в силу с 1 января очередного финансового года и содержат все показатели местных бюджетов, предусмотренные статьей 184.1 БК РФ.</w:t>
      </w:r>
    </w:p>
    <w:p w:rsidR="00A1727D" w:rsidRDefault="00A1727D" w:rsidP="00A172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727D">
        <w:rPr>
          <w:rFonts w:ascii="Times New Roman" w:eastAsiaTheme="minorEastAsia" w:hAnsi="Times New Roman" w:cs="Times New Roman"/>
          <w:sz w:val="28"/>
          <w:szCs w:val="28"/>
        </w:rPr>
        <w:t>При анализе решений о бюджетах МО на 2022 год установлены нарушения статей 23, 28 БК РФ и отдельные замечания к отражению источников финансирован</w:t>
      </w:r>
      <w:r w:rsidR="009968D8">
        <w:rPr>
          <w:rFonts w:ascii="Times New Roman" w:eastAsiaTheme="minorEastAsia" w:hAnsi="Times New Roman" w:cs="Times New Roman"/>
          <w:sz w:val="28"/>
          <w:szCs w:val="28"/>
        </w:rPr>
        <w:t>ия дефицитов бюджетов в 9-ти МО</w:t>
      </w:r>
      <w:r w:rsidRPr="00A172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54BA" w:rsidRDefault="00361A85" w:rsidP="00A1727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Pr="00642897">
        <w:rPr>
          <w:rFonts w:ascii="Times New Roman" w:hAnsi="Times New Roman"/>
          <w:spacing w:val="-4"/>
          <w:sz w:val="28"/>
          <w:szCs w:val="28"/>
        </w:rPr>
        <w:t xml:space="preserve"> результате анализа</w:t>
      </w:r>
      <w:r w:rsidR="000554BA" w:rsidRPr="00642897">
        <w:rPr>
          <w:rFonts w:ascii="Times New Roman" w:hAnsi="Times New Roman"/>
          <w:spacing w:val="-4"/>
          <w:sz w:val="28"/>
          <w:szCs w:val="28"/>
        </w:rPr>
        <w:t xml:space="preserve"> утвержденных источников финансирования дефицита бюджетов на 2022 год и размеров остатков на едином счете бюджета по состоянию на 01.01.2022 установлено, что в бюджетах трех МО </w:t>
      </w:r>
      <w:r w:rsidR="00AA090C">
        <w:rPr>
          <w:rFonts w:ascii="Times New Roman" w:hAnsi="Times New Roman"/>
          <w:spacing w:val="-4"/>
          <w:sz w:val="28"/>
          <w:szCs w:val="28"/>
        </w:rPr>
        <w:t xml:space="preserve">(Заокский район, г.Узловая Узловского района, Ревякинское Ясногорского района) </w:t>
      </w:r>
      <w:r w:rsidR="000554BA" w:rsidRPr="00642897">
        <w:rPr>
          <w:rFonts w:ascii="Times New Roman" w:hAnsi="Times New Roman"/>
          <w:spacing w:val="-4"/>
          <w:sz w:val="28"/>
          <w:szCs w:val="28"/>
        </w:rPr>
        <w:t>объем снижения остатка, учтенного в источниках погашения дефицита, превышает размер фактических остатков.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1A85">
        <w:rPr>
          <w:rFonts w:ascii="Times New Roman" w:hAnsi="Times New Roman"/>
          <w:spacing w:val="-4"/>
          <w:sz w:val="28"/>
          <w:szCs w:val="28"/>
        </w:rPr>
        <w:t>Таким образом, оценка объемов остатков на счетах бюджетов была произведена неверно и бюджеты названных муниципальных образований на 01.01.2022 года не были сбалансированы.</w:t>
      </w:r>
      <w:r w:rsidRPr="00361A85">
        <w:t xml:space="preserve"> </w:t>
      </w:r>
      <w:r w:rsidRPr="00361A85">
        <w:rPr>
          <w:rFonts w:ascii="Times New Roman" w:hAnsi="Times New Roman"/>
          <w:spacing w:val="-4"/>
          <w:sz w:val="28"/>
          <w:szCs w:val="28"/>
        </w:rPr>
        <w:t>В ходе проведения настоящего экспертно-аналитического мероприятия в решения о бюджете МО г.Узловая, Ревякинское Ясногорского района внесены изменения, в том числе устранены установленные замечания в источниках финансирования дефицита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9968D8">
        <w:rPr>
          <w:rFonts w:ascii="Times New Roman" w:hAnsi="Times New Roman"/>
          <w:spacing w:val="-4"/>
          <w:sz w:val="28"/>
          <w:szCs w:val="28"/>
        </w:rPr>
        <w:t xml:space="preserve"> В решение о бюджете МО Заокский район изменения внесены не были.</w:t>
      </w:r>
    </w:p>
    <w:p w:rsidR="006A3E85" w:rsidRPr="006A3E85" w:rsidRDefault="006A3E85" w:rsidP="006A3E85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5. </w:t>
      </w:r>
      <w:r w:rsidRPr="006A3E85">
        <w:rPr>
          <w:rFonts w:ascii="Times New Roman" w:eastAsiaTheme="minorEastAsia" w:hAnsi="Times New Roman" w:cs="Times New Roman"/>
          <w:sz w:val="28"/>
          <w:szCs w:val="28"/>
        </w:rPr>
        <w:t xml:space="preserve">Согласно отчетам об исполнении бюджетов МО </w:t>
      </w:r>
      <w:r>
        <w:rPr>
          <w:rFonts w:ascii="Times New Roman" w:eastAsiaTheme="minorEastAsia" w:hAnsi="Times New Roman" w:cs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2021 год</w:t>
      </w:r>
      <w:r w:rsidRPr="006A3E85">
        <w:rPr>
          <w:rFonts w:ascii="Times New Roman" w:hAnsi="Times New Roman"/>
          <w:sz w:val="28"/>
          <w:szCs w:val="28"/>
        </w:rPr>
        <w:t xml:space="preserve"> в </w:t>
      </w:r>
      <w:r w:rsidRPr="006A3E85">
        <w:rPr>
          <w:rFonts w:ascii="Times New Roman" w:hAnsi="Times New Roman"/>
          <w:iCs/>
          <w:sz w:val="28"/>
          <w:szCs w:val="28"/>
        </w:rPr>
        <w:t>доходы</w:t>
      </w:r>
      <w:r w:rsidRPr="006A3E85">
        <w:rPr>
          <w:rFonts w:ascii="Times New Roman" w:hAnsi="Times New Roman"/>
          <w:sz w:val="28"/>
          <w:szCs w:val="28"/>
        </w:rPr>
        <w:t xml:space="preserve"> местных бюджетов поступило </w:t>
      </w:r>
      <w:r w:rsidRPr="006A3E85">
        <w:rPr>
          <w:rFonts w:ascii="Times New Roman" w:eastAsia="Times New Roman" w:hAnsi="Times New Roman"/>
          <w:sz w:val="28"/>
          <w:szCs w:val="28"/>
        </w:rPr>
        <w:t xml:space="preserve">51 935,2 млн рублей, или 97,3% </w:t>
      </w:r>
      <w:r w:rsidRPr="006A3E85">
        <w:rPr>
          <w:rFonts w:ascii="Times New Roman" w:hAnsi="Times New Roman"/>
          <w:sz w:val="28"/>
          <w:szCs w:val="28"/>
        </w:rPr>
        <w:t>к сводному плановому показателю по бюджетам МО,</w:t>
      </w:r>
      <w:r w:rsidRPr="006A3E8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расходов местных бюджетов за 2021 год </w:t>
      </w:r>
      <w:r w:rsidRPr="006A3E85">
        <w:rPr>
          <w:rFonts w:ascii="Times New Roman" w:hAnsi="Times New Roman"/>
          <w:sz w:val="28"/>
          <w:szCs w:val="28"/>
        </w:rPr>
        <w:t xml:space="preserve">– </w:t>
      </w:r>
      <w:r w:rsidRPr="006A3E85">
        <w:rPr>
          <w:rFonts w:ascii="Times New Roman" w:eastAsia="Times New Roman" w:hAnsi="Times New Roman" w:cs="Times New Roman"/>
          <w:sz w:val="28"/>
          <w:szCs w:val="28"/>
        </w:rPr>
        <w:t>52 226,2 млн. рублей, или 92,8% от показателей сводной бюджетной росписи</w:t>
      </w:r>
      <w:r w:rsidR="00C27F21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6A3E85">
        <w:rPr>
          <w:rFonts w:ascii="Times New Roman" w:eastAsia="Times New Roman" w:hAnsi="Times New Roman" w:cs="Times New Roman"/>
          <w:sz w:val="28"/>
          <w:szCs w:val="28"/>
        </w:rPr>
        <w:t xml:space="preserve">овокупный дефицит </w:t>
      </w:r>
      <w:r w:rsidR="00C27F21" w:rsidRPr="006A3E85">
        <w:rPr>
          <w:rFonts w:ascii="Times New Roman" w:eastAsiaTheme="minorEastAsia" w:hAnsi="Times New Roman" w:cs="Times New Roman"/>
          <w:sz w:val="28"/>
          <w:szCs w:val="28"/>
        </w:rPr>
        <w:t xml:space="preserve">бюджетов МО </w:t>
      </w:r>
      <w:r w:rsidR="00C27F21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C27F21">
        <w:rPr>
          <w:rFonts w:ascii="Times New Roman" w:hAnsi="Times New Roman"/>
          <w:sz w:val="28"/>
          <w:szCs w:val="28"/>
        </w:rPr>
        <w:t xml:space="preserve"> 2021 год</w:t>
      </w:r>
      <w:r w:rsidR="00C27F21" w:rsidRPr="006A3E85">
        <w:rPr>
          <w:rFonts w:ascii="Times New Roman" w:hAnsi="Times New Roman"/>
          <w:sz w:val="28"/>
          <w:szCs w:val="28"/>
        </w:rPr>
        <w:t xml:space="preserve"> </w:t>
      </w:r>
      <w:r w:rsidR="008C45D8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6A3E85">
        <w:rPr>
          <w:rFonts w:ascii="Times New Roman" w:eastAsia="Times New Roman" w:hAnsi="Times New Roman" w:cs="Times New Roman"/>
          <w:sz w:val="28"/>
          <w:szCs w:val="28"/>
        </w:rPr>
        <w:t xml:space="preserve"> 291,0 млн. рублей.</w:t>
      </w:r>
    </w:p>
    <w:p w:rsidR="006A3E85" w:rsidRPr="00A1727D" w:rsidRDefault="006A3E85" w:rsidP="006A3E85">
      <w:pPr>
        <w:spacing w:before="6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6. </w:t>
      </w:r>
      <w:r w:rsidRPr="006A3E85">
        <w:rPr>
          <w:rFonts w:ascii="Times New Roman" w:eastAsiaTheme="minorEastAsia" w:hAnsi="Times New Roman" w:cs="Times New Roman"/>
          <w:sz w:val="28"/>
          <w:szCs w:val="28"/>
        </w:rPr>
        <w:t xml:space="preserve"> Анализ решений о бюджетах МО на 2022 год показал, что из 103 МО с дефицитом утверждены бюджеты 54 МО. При утверждении бюджетов МО на 2022 год положения статьи 92.1 БК РФ соблюдены всеми МО.</w:t>
      </w:r>
    </w:p>
    <w:p w:rsidR="00E9283D" w:rsidRPr="00277325" w:rsidRDefault="00E9283D" w:rsidP="007B087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256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 по результатам экспертно-аналитического мероприятия направлен в министерство финансов Тульской области, </w:t>
      </w:r>
      <w:r w:rsidR="003256DB" w:rsidRPr="003256DB">
        <w:rPr>
          <w:rFonts w:ascii="Times New Roman" w:hAnsi="Times New Roman"/>
          <w:sz w:val="28"/>
          <w:szCs w:val="28"/>
        </w:rPr>
        <w:t xml:space="preserve">администрации муниципальных образований, </w:t>
      </w:r>
      <w:r w:rsidRPr="003256D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контрольно-счетные органы муниципальных образований</w:t>
      </w:r>
      <w:r w:rsidR="003256DB" w:rsidRPr="003256DB"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Тульской области</w:t>
      </w:r>
      <w:r w:rsidRPr="003256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ADF" w:rsidRPr="00626ADF" w:rsidRDefault="00626ADF" w:rsidP="007B087C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Calibri" w:hAnsi="Times New Roman"/>
          <w:kern w:val="28"/>
          <w:sz w:val="28"/>
          <w:szCs w:val="20"/>
          <w:lang w:eastAsia="ru-RU"/>
        </w:rPr>
        <w:t>Счетной палатой Тульской области даны р</w:t>
      </w:r>
      <w:r w:rsidRPr="004631B8">
        <w:rPr>
          <w:rFonts w:ascii="Times New Roman" w:eastAsia="Calibri" w:hAnsi="Times New Roman"/>
          <w:kern w:val="28"/>
          <w:sz w:val="28"/>
          <w:szCs w:val="20"/>
          <w:lang w:eastAsia="ru-RU"/>
        </w:rPr>
        <w:t>екоменд</w:t>
      </w:r>
      <w:r>
        <w:rPr>
          <w:rFonts w:ascii="Times New Roman" w:eastAsia="Calibri" w:hAnsi="Times New Roman"/>
          <w:kern w:val="28"/>
          <w:sz w:val="28"/>
          <w:szCs w:val="20"/>
          <w:lang w:eastAsia="ru-RU"/>
        </w:rPr>
        <w:t>ации</w:t>
      </w:r>
      <w:r w:rsidRPr="004631B8">
        <w:rPr>
          <w:rFonts w:ascii="Times New Roman" w:eastAsia="Calibri" w:hAnsi="Times New Roman"/>
          <w:kern w:val="28"/>
          <w:sz w:val="28"/>
          <w:szCs w:val="20"/>
          <w:lang w:eastAsia="ru-RU"/>
        </w:rPr>
        <w:t xml:space="preserve"> органам местного самоуправления учесть установленные нарушения, замечания по соблюдению бюджетного законодательства при рассмотрении и утверждении бюджетов, провести работу по внесению изменений в положения о бюджетном процессе</w:t>
      </w:r>
      <w:r>
        <w:rPr>
          <w:rFonts w:ascii="Times New Roman" w:eastAsia="Calibri" w:hAnsi="Times New Roman"/>
          <w:kern w:val="28"/>
          <w:sz w:val="28"/>
          <w:szCs w:val="20"/>
          <w:lang w:eastAsia="ru-RU"/>
        </w:rPr>
        <w:t>;</w:t>
      </w:r>
      <w:r w:rsidRPr="00626ADF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 xml:space="preserve"> контрольно-счетным органам муниципальных</w:t>
      </w:r>
      <w:r w:rsidRPr="00626ADF">
        <w:rPr>
          <w:rFonts w:ascii="Times New Roman" w:eastAsiaTheme="minorEastAsia" w:hAnsi="Times New Roman" w:cs="Times New Roman"/>
          <w:sz w:val="28"/>
          <w:szCs w:val="28"/>
        </w:rPr>
        <w:t xml:space="preserve"> образований Тульской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6ADF">
        <w:rPr>
          <w:rFonts w:ascii="Times New Roman" w:eastAsiaTheme="minorEastAsia" w:hAnsi="Times New Roman" w:cs="Times New Roman"/>
          <w:sz w:val="28"/>
          <w:szCs w:val="28"/>
        </w:rPr>
        <w:t>в целях исполнения полномочий, указанных в статье 157 БК РФ, провести анализ положений о бюджетном процессе МО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26ADF">
        <w:rPr>
          <w:rFonts w:ascii="Times New Roman" w:eastAsia="Calibri" w:hAnsi="Times New Roman" w:cs="Times New Roman"/>
          <w:kern w:val="28"/>
          <w:sz w:val="28"/>
          <w:szCs w:val="20"/>
          <w:lang w:eastAsia="ru-RU"/>
        </w:rPr>
        <w:t>при экспертизе проектов решений о бюджете учесть установленные в ходе экспертно-аналитического мероприятия замечания.</w:t>
      </w:r>
    </w:p>
    <w:p w:rsidR="00C25D62" w:rsidRDefault="00C25D62" w:rsidP="00E9283D">
      <w:pPr>
        <w:spacing w:after="0" w:line="240" w:lineRule="auto"/>
        <w:ind w:firstLine="709"/>
        <w:jc w:val="both"/>
      </w:pPr>
    </w:p>
    <w:p w:rsidR="000E305E" w:rsidRDefault="000E305E" w:rsidP="00E9283D">
      <w:pPr>
        <w:spacing w:after="0" w:line="240" w:lineRule="auto"/>
        <w:ind w:firstLine="709"/>
        <w:jc w:val="both"/>
      </w:pPr>
    </w:p>
    <w:p w:rsidR="000E305E" w:rsidRDefault="000E305E" w:rsidP="00E9283D">
      <w:pPr>
        <w:spacing w:after="0" w:line="240" w:lineRule="auto"/>
        <w:ind w:firstLine="709"/>
        <w:jc w:val="both"/>
      </w:pPr>
    </w:p>
    <w:sectPr w:rsidR="000E305E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C4" w:rsidRDefault="002E38C4" w:rsidP="00463B4B">
      <w:pPr>
        <w:spacing w:after="0" w:line="240" w:lineRule="auto"/>
      </w:pPr>
      <w:r>
        <w:separator/>
      </w:r>
    </w:p>
  </w:endnote>
  <w:endnote w:type="continuationSeparator" w:id="0">
    <w:p w:rsidR="002E38C4" w:rsidRDefault="002E38C4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C4" w:rsidRDefault="002E38C4" w:rsidP="00463B4B">
      <w:pPr>
        <w:spacing w:after="0" w:line="240" w:lineRule="auto"/>
      </w:pPr>
      <w:r>
        <w:separator/>
      </w:r>
    </w:p>
  </w:footnote>
  <w:footnote w:type="continuationSeparator" w:id="0">
    <w:p w:rsidR="002E38C4" w:rsidRDefault="002E38C4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B723D9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554BA"/>
    <w:rsid w:val="000D0B22"/>
    <w:rsid w:val="000E305E"/>
    <w:rsid w:val="00180A11"/>
    <w:rsid w:val="001A08F1"/>
    <w:rsid w:val="001B0A20"/>
    <w:rsid w:val="001C613B"/>
    <w:rsid w:val="002021D7"/>
    <w:rsid w:val="00284F46"/>
    <w:rsid w:val="002931F7"/>
    <w:rsid w:val="002E0F48"/>
    <w:rsid w:val="002E2288"/>
    <w:rsid w:val="002E38C4"/>
    <w:rsid w:val="003256DB"/>
    <w:rsid w:val="00350658"/>
    <w:rsid w:val="00361A85"/>
    <w:rsid w:val="003F47CE"/>
    <w:rsid w:val="0044634D"/>
    <w:rsid w:val="00463B4B"/>
    <w:rsid w:val="00505659"/>
    <w:rsid w:val="0055105E"/>
    <w:rsid w:val="00575626"/>
    <w:rsid w:val="00593BE8"/>
    <w:rsid w:val="005A0C18"/>
    <w:rsid w:val="005A2B73"/>
    <w:rsid w:val="005B259D"/>
    <w:rsid w:val="005F22B4"/>
    <w:rsid w:val="00604F2F"/>
    <w:rsid w:val="0062495C"/>
    <w:rsid w:val="00626ADF"/>
    <w:rsid w:val="006A13EE"/>
    <w:rsid w:val="006A3E85"/>
    <w:rsid w:val="006B0D25"/>
    <w:rsid w:val="00713ACC"/>
    <w:rsid w:val="007A435A"/>
    <w:rsid w:val="007B087C"/>
    <w:rsid w:val="007B2769"/>
    <w:rsid w:val="007C3B5D"/>
    <w:rsid w:val="007E7205"/>
    <w:rsid w:val="008109FC"/>
    <w:rsid w:val="008C45D8"/>
    <w:rsid w:val="0090496E"/>
    <w:rsid w:val="00926F98"/>
    <w:rsid w:val="00966699"/>
    <w:rsid w:val="00966DB2"/>
    <w:rsid w:val="00977287"/>
    <w:rsid w:val="009772FD"/>
    <w:rsid w:val="009968D8"/>
    <w:rsid w:val="009C40C9"/>
    <w:rsid w:val="00A1727D"/>
    <w:rsid w:val="00A5312E"/>
    <w:rsid w:val="00A72CFC"/>
    <w:rsid w:val="00AA074A"/>
    <w:rsid w:val="00AA090C"/>
    <w:rsid w:val="00AB4A20"/>
    <w:rsid w:val="00AE0A53"/>
    <w:rsid w:val="00AF0DD8"/>
    <w:rsid w:val="00B723D9"/>
    <w:rsid w:val="00BD6219"/>
    <w:rsid w:val="00BF1619"/>
    <w:rsid w:val="00C17CF6"/>
    <w:rsid w:val="00C25D62"/>
    <w:rsid w:val="00C27F21"/>
    <w:rsid w:val="00CB140C"/>
    <w:rsid w:val="00D4732E"/>
    <w:rsid w:val="00D75B39"/>
    <w:rsid w:val="00D80703"/>
    <w:rsid w:val="00E1678E"/>
    <w:rsid w:val="00E43AC8"/>
    <w:rsid w:val="00E735F4"/>
    <w:rsid w:val="00E85EF0"/>
    <w:rsid w:val="00E9283D"/>
    <w:rsid w:val="00EA7EAC"/>
    <w:rsid w:val="00EC3391"/>
    <w:rsid w:val="00EF671E"/>
    <w:rsid w:val="00F14393"/>
    <w:rsid w:val="00FB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A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2</cp:revision>
  <cp:lastPrinted>2021-01-14T11:23:00Z</cp:lastPrinted>
  <dcterms:created xsi:type="dcterms:W3CDTF">2022-04-18T13:13:00Z</dcterms:created>
  <dcterms:modified xsi:type="dcterms:W3CDTF">2022-04-18T13:13:00Z</dcterms:modified>
</cp:coreProperties>
</file>