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E9A0" w14:textId="77777777" w:rsidR="00DF15BE" w:rsidRPr="00790BAF" w:rsidRDefault="00DF15BE" w:rsidP="00423236">
      <w:pPr>
        <w:spacing w:before="360" w:after="120" w:line="240" w:lineRule="auto"/>
        <w:jc w:val="center"/>
        <w:rPr>
          <w:rFonts w:ascii="Times New Roman" w:eastAsia="Calibri" w:hAnsi="Times New Roman" w:cs="Times New Roman"/>
          <w:b/>
          <w:strike/>
          <w:sz w:val="28"/>
          <w:szCs w:val="28"/>
        </w:rPr>
      </w:pPr>
      <w:bookmarkStart w:id="0" w:name="_GoBack"/>
      <w:bookmarkEnd w:id="0"/>
    </w:p>
    <w:p w14:paraId="4A2F0EFD" w14:textId="6A281B59" w:rsidR="003577FE" w:rsidRPr="00790BAF" w:rsidRDefault="003577FE" w:rsidP="00423236">
      <w:pPr>
        <w:spacing w:before="360" w:after="120" w:line="240" w:lineRule="auto"/>
        <w:jc w:val="center"/>
        <w:rPr>
          <w:rFonts w:ascii="Times New Roman" w:eastAsia="Calibri" w:hAnsi="Times New Roman" w:cs="Times New Roman"/>
          <w:b/>
          <w:sz w:val="28"/>
          <w:szCs w:val="28"/>
        </w:rPr>
      </w:pPr>
      <w:r w:rsidRPr="00790BAF">
        <w:rPr>
          <w:rFonts w:ascii="Times New Roman" w:eastAsia="Calibri" w:hAnsi="Times New Roman" w:cs="Times New Roman"/>
          <w:b/>
          <w:sz w:val="28"/>
          <w:szCs w:val="28"/>
        </w:rPr>
        <w:t>ЗАКЛЮЧЕНИЕ</w:t>
      </w:r>
      <w:r w:rsidRPr="00790BAF">
        <w:rPr>
          <w:rFonts w:ascii="Times New Roman" w:eastAsia="Calibri" w:hAnsi="Times New Roman" w:cs="Times New Roman"/>
          <w:b/>
          <w:sz w:val="28"/>
          <w:szCs w:val="28"/>
        </w:rPr>
        <w:br/>
        <w:t>счетной палаты Тульской области</w:t>
      </w:r>
      <w:r w:rsidRPr="00790BAF">
        <w:rPr>
          <w:rFonts w:ascii="Times New Roman" w:eastAsia="Calibri" w:hAnsi="Times New Roman" w:cs="Times New Roman"/>
          <w:b/>
          <w:sz w:val="28"/>
          <w:szCs w:val="28"/>
        </w:rPr>
        <w:br/>
        <w:t>на проект закона Тульской области «О бюджете Тульской области</w:t>
      </w:r>
      <w:r w:rsidRPr="00790BAF">
        <w:rPr>
          <w:rFonts w:ascii="Times New Roman" w:eastAsia="Calibri" w:hAnsi="Times New Roman" w:cs="Times New Roman"/>
          <w:b/>
          <w:sz w:val="28"/>
          <w:szCs w:val="28"/>
        </w:rPr>
        <w:br/>
      </w:r>
      <w:r w:rsidR="00790BAF" w:rsidRPr="00790BAF">
        <w:rPr>
          <w:rFonts w:ascii="Times New Roman" w:eastAsia="Calibri" w:hAnsi="Times New Roman" w:cs="Times New Roman"/>
          <w:b/>
          <w:sz w:val="28"/>
          <w:szCs w:val="28"/>
        </w:rPr>
        <w:t xml:space="preserve">на 2022 год и на плановый период 2023 и 2024 </w:t>
      </w:r>
      <w:r w:rsidRPr="00790BAF">
        <w:rPr>
          <w:rFonts w:ascii="Times New Roman" w:eastAsia="Calibri" w:hAnsi="Times New Roman" w:cs="Times New Roman"/>
          <w:b/>
          <w:sz w:val="28"/>
          <w:szCs w:val="28"/>
        </w:rPr>
        <w:t>годов»</w:t>
      </w:r>
    </w:p>
    <w:p w14:paraId="0A5EE478" w14:textId="26E79D09" w:rsidR="00492603" w:rsidRPr="0044146F" w:rsidRDefault="00492603" w:rsidP="00116BB9">
      <w:pPr>
        <w:tabs>
          <w:tab w:val="left" w:pos="993"/>
        </w:tabs>
        <w:spacing w:before="720" w:after="0" w:line="264" w:lineRule="auto"/>
        <w:ind w:firstLine="709"/>
        <w:jc w:val="both"/>
        <w:rPr>
          <w:rFonts w:ascii="Times New Roman" w:eastAsia="Calibri" w:hAnsi="Times New Roman" w:cs="Times New Roman"/>
          <w:sz w:val="28"/>
          <w:szCs w:val="28"/>
        </w:rPr>
      </w:pPr>
      <w:r w:rsidRPr="00790BAF">
        <w:rPr>
          <w:rFonts w:ascii="Times New Roman" w:eastAsia="Calibri" w:hAnsi="Times New Roman" w:cs="Times New Roman"/>
          <w:sz w:val="28"/>
          <w:szCs w:val="28"/>
        </w:rPr>
        <w:t xml:space="preserve">Настоящее заключение счетной палаты Тульской области на проект закона Тульской области «О бюджете Тульской области </w:t>
      </w:r>
      <w:r w:rsidR="00790BAF" w:rsidRPr="00790BAF">
        <w:rPr>
          <w:rFonts w:ascii="Times New Roman" w:eastAsia="Calibri" w:hAnsi="Times New Roman" w:cs="Times New Roman"/>
          <w:sz w:val="28"/>
          <w:szCs w:val="28"/>
        </w:rPr>
        <w:t xml:space="preserve">на 2022 год и на плановый период 2023 и 2024 </w:t>
      </w:r>
      <w:r w:rsidRPr="00790BAF">
        <w:rPr>
          <w:rFonts w:ascii="Times New Roman" w:eastAsia="Calibri" w:hAnsi="Times New Roman" w:cs="Times New Roman"/>
          <w:sz w:val="28"/>
          <w:szCs w:val="28"/>
        </w:rPr>
        <w:t xml:space="preserve">годов» </w:t>
      </w:r>
      <w:r w:rsidR="0079691A">
        <w:rPr>
          <w:rFonts w:ascii="Times New Roman" w:eastAsia="Calibri" w:hAnsi="Times New Roman" w:cs="Times New Roman"/>
          <w:sz w:val="28"/>
          <w:szCs w:val="28"/>
        </w:rPr>
        <w:t xml:space="preserve">(далее – Законопроект) </w:t>
      </w:r>
      <w:r w:rsidRPr="00790BAF">
        <w:rPr>
          <w:rFonts w:ascii="Times New Roman" w:eastAsia="Calibri" w:hAnsi="Times New Roman" w:cs="Times New Roman"/>
          <w:sz w:val="28"/>
          <w:szCs w:val="28"/>
        </w:rPr>
        <w:t xml:space="preserve">подготовлено в соответствии с Бюджетным кодексом Российской Федерации, Законами Тульской области «О </w:t>
      </w:r>
      <w:r w:rsidRPr="00116BB9">
        <w:rPr>
          <w:rFonts w:ascii="Times New Roman" w:eastAsia="Calibri" w:hAnsi="Times New Roman" w:cs="Times New Roman"/>
          <w:sz w:val="28"/>
          <w:szCs w:val="28"/>
        </w:rPr>
        <w:t>бюджетном процессе в Тульской области», «О счетной палате Тульской области»</w:t>
      </w:r>
      <w:r w:rsidR="005C12C9">
        <w:rPr>
          <w:rFonts w:ascii="Times New Roman" w:eastAsia="Calibri" w:hAnsi="Times New Roman" w:cs="Times New Roman"/>
          <w:sz w:val="28"/>
          <w:szCs w:val="28"/>
        </w:rPr>
        <w:t>.</w:t>
      </w:r>
      <w:r w:rsidRPr="00116BB9">
        <w:rPr>
          <w:rFonts w:ascii="Times New Roman" w:eastAsia="Calibri" w:hAnsi="Times New Roman" w:cs="Times New Roman"/>
          <w:sz w:val="28"/>
          <w:szCs w:val="28"/>
        </w:rPr>
        <w:t xml:space="preserve"> </w:t>
      </w:r>
    </w:p>
    <w:p w14:paraId="50A56AFD" w14:textId="0D4116E7" w:rsidR="00492603" w:rsidRPr="00244E4A" w:rsidRDefault="00492603" w:rsidP="00116BB9">
      <w:pPr>
        <w:tabs>
          <w:tab w:val="left" w:pos="993"/>
        </w:tabs>
        <w:spacing w:before="240" w:after="0" w:line="264" w:lineRule="auto"/>
        <w:ind w:firstLine="709"/>
        <w:jc w:val="both"/>
        <w:rPr>
          <w:rFonts w:ascii="Times New Roman" w:eastAsia="Calibri" w:hAnsi="Times New Roman" w:cs="Times New Roman"/>
          <w:sz w:val="28"/>
          <w:szCs w:val="28"/>
          <w:highlight w:val="yellow"/>
        </w:rPr>
      </w:pPr>
      <w:r w:rsidRPr="006B5432">
        <w:rPr>
          <w:rFonts w:ascii="Times New Roman" w:eastAsia="Calibri" w:hAnsi="Times New Roman" w:cs="Times New Roman"/>
          <w:sz w:val="28"/>
          <w:szCs w:val="28"/>
        </w:rPr>
        <w:t>В счетную палату Тульской области</w:t>
      </w:r>
      <w:r w:rsidR="004B1339">
        <w:rPr>
          <w:rFonts w:ascii="Times New Roman" w:eastAsia="Calibri" w:hAnsi="Times New Roman" w:cs="Times New Roman"/>
          <w:sz w:val="28"/>
          <w:szCs w:val="28"/>
        </w:rPr>
        <w:t xml:space="preserve"> </w:t>
      </w:r>
      <w:r w:rsidR="004B1339" w:rsidRPr="004B1339">
        <w:rPr>
          <w:rFonts w:ascii="Times New Roman" w:eastAsia="Calibri" w:hAnsi="Times New Roman" w:cs="Times New Roman"/>
          <w:sz w:val="28"/>
          <w:szCs w:val="28"/>
        </w:rPr>
        <w:t xml:space="preserve">(далее – счетная палата) </w:t>
      </w:r>
      <w:r w:rsidR="006B5432">
        <w:rPr>
          <w:rFonts w:ascii="Times New Roman" w:eastAsia="Calibri" w:hAnsi="Times New Roman" w:cs="Times New Roman"/>
          <w:sz w:val="28"/>
          <w:szCs w:val="28"/>
        </w:rPr>
        <w:t>п</w:t>
      </w:r>
      <w:r w:rsidR="006B5432" w:rsidRPr="00790BAF">
        <w:rPr>
          <w:rFonts w:ascii="Times New Roman" w:eastAsia="Calibri" w:hAnsi="Times New Roman" w:cs="Times New Roman"/>
          <w:sz w:val="28"/>
          <w:szCs w:val="28"/>
        </w:rPr>
        <w:t xml:space="preserve">роект закона Тульской области «О бюджете Тульской области на 2022 год и на плановый период 2023 и 2024 </w:t>
      </w:r>
      <w:r w:rsidR="006B5432" w:rsidRPr="006B5432">
        <w:rPr>
          <w:rFonts w:ascii="Times New Roman" w:eastAsia="Calibri" w:hAnsi="Times New Roman" w:cs="Times New Roman"/>
          <w:sz w:val="28"/>
          <w:szCs w:val="28"/>
        </w:rPr>
        <w:t xml:space="preserve">годов» </w:t>
      </w:r>
      <w:r w:rsidRPr="006B5432">
        <w:rPr>
          <w:rFonts w:ascii="Times New Roman" w:eastAsia="Calibri" w:hAnsi="Times New Roman" w:cs="Times New Roman"/>
          <w:sz w:val="28"/>
          <w:szCs w:val="28"/>
        </w:rPr>
        <w:t xml:space="preserve">направлен </w:t>
      </w:r>
      <w:r w:rsidR="006B5432" w:rsidRPr="006B5432">
        <w:rPr>
          <w:rFonts w:ascii="Times New Roman" w:eastAsia="Calibri" w:hAnsi="Times New Roman" w:cs="Times New Roman"/>
          <w:sz w:val="28"/>
          <w:szCs w:val="28"/>
        </w:rPr>
        <w:t xml:space="preserve">председателем Тульской областной Думы 29.10.2021 </w:t>
      </w:r>
      <w:r w:rsidR="00355170" w:rsidRPr="006B5432">
        <w:rPr>
          <w:rFonts w:ascii="Times New Roman" w:eastAsia="Calibri" w:hAnsi="Times New Roman" w:cs="Times New Roman"/>
          <w:sz w:val="28"/>
          <w:szCs w:val="28"/>
        </w:rPr>
        <w:t>письмо с исходящим №</w:t>
      </w:r>
      <w:r w:rsidR="006B5432" w:rsidRPr="006B5432">
        <w:rPr>
          <w:rFonts w:ascii="Times New Roman" w:eastAsia="Calibri" w:hAnsi="Times New Roman" w:cs="Times New Roman"/>
          <w:sz w:val="28"/>
          <w:szCs w:val="28"/>
        </w:rPr>
        <w:t>Д/16</w:t>
      </w:r>
      <w:r w:rsidR="006B5432" w:rsidRPr="006B5432">
        <w:rPr>
          <w:rFonts w:ascii="Times New Roman" w:eastAsia="Calibri" w:hAnsi="Times New Roman" w:cs="Times New Roman"/>
          <w:sz w:val="28"/>
          <w:szCs w:val="28"/>
        </w:rPr>
        <w:noBreakHyphen/>
        <w:t>3180/2.</w:t>
      </w:r>
      <w:r w:rsidR="006B5432" w:rsidRPr="00790BAF">
        <w:rPr>
          <w:rFonts w:ascii="Times New Roman" w:eastAsia="Calibri" w:hAnsi="Times New Roman" w:cs="Times New Roman"/>
          <w:sz w:val="28"/>
          <w:szCs w:val="28"/>
        </w:rPr>
        <w:t xml:space="preserve"> </w:t>
      </w:r>
    </w:p>
    <w:p w14:paraId="75064958" w14:textId="0DC4575B" w:rsidR="009A0CA3" w:rsidRDefault="009A0CA3"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r w:rsidRPr="00116BB9">
        <w:rPr>
          <w:rFonts w:ascii="Times New Roman" w:eastAsia="Calibri" w:hAnsi="Times New Roman" w:cs="Times New Roman"/>
          <w:kern w:val="28"/>
          <w:sz w:val="28"/>
          <w:szCs w:val="28"/>
        </w:rPr>
        <w:t xml:space="preserve">Перечень документов и материалов, представленных одновременно с Законопроектом, соответствует требованиям статьи 16 Закона </w:t>
      </w:r>
      <w:r w:rsidR="00967D7F" w:rsidRPr="00790BAF">
        <w:rPr>
          <w:rFonts w:ascii="Times New Roman" w:eastAsia="Calibri" w:hAnsi="Times New Roman" w:cs="Times New Roman"/>
          <w:sz w:val="28"/>
          <w:szCs w:val="28"/>
        </w:rPr>
        <w:t xml:space="preserve">Тульской области «О </w:t>
      </w:r>
      <w:r w:rsidR="00967D7F" w:rsidRPr="00116BB9">
        <w:rPr>
          <w:rFonts w:ascii="Times New Roman" w:eastAsia="Calibri" w:hAnsi="Times New Roman" w:cs="Times New Roman"/>
          <w:sz w:val="28"/>
          <w:szCs w:val="28"/>
        </w:rPr>
        <w:t>бюджетном процессе в Тульской области»</w:t>
      </w:r>
      <w:r w:rsidR="00967D7F">
        <w:rPr>
          <w:rFonts w:ascii="Times New Roman" w:eastAsia="Calibri" w:hAnsi="Times New Roman" w:cs="Times New Roman"/>
          <w:sz w:val="28"/>
          <w:szCs w:val="28"/>
        </w:rPr>
        <w:t xml:space="preserve"> (далее – Закон </w:t>
      </w:r>
      <w:r w:rsidRPr="00116BB9">
        <w:rPr>
          <w:rFonts w:ascii="Times New Roman" w:eastAsia="Calibri" w:hAnsi="Times New Roman" w:cs="Times New Roman"/>
          <w:kern w:val="28"/>
          <w:sz w:val="28"/>
          <w:szCs w:val="28"/>
        </w:rPr>
        <w:t>области о бюджетном процессе</w:t>
      </w:r>
      <w:r w:rsidR="00967D7F">
        <w:rPr>
          <w:rFonts w:ascii="Times New Roman" w:eastAsia="Calibri" w:hAnsi="Times New Roman" w:cs="Times New Roman"/>
          <w:kern w:val="28"/>
          <w:sz w:val="28"/>
          <w:szCs w:val="28"/>
        </w:rPr>
        <w:t>)</w:t>
      </w:r>
      <w:r w:rsidRPr="00116BB9">
        <w:rPr>
          <w:rFonts w:ascii="Times New Roman" w:eastAsia="Calibri" w:hAnsi="Times New Roman" w:cs="Times New Roman"/>
          <w:kern w:val="28"/>
          <w:sz w:val="28"/>
          <w:szCs w:val="28"/>
        </w:rPr>
        <w:t xml:space="preserve">. Перечень показателей Законопроекта и приложений к Законопроекту соответствует требованиям статьи </w:t>
      </w:r>
      <w:r w:rsidR="004F1184" w:rsidRPr="00116BB9">
        <w:rPr>
          <w:rFonts w:ascii="Times New Roman" w:eastAsia="Calibri" w:hAnsi="Times New Roman" w:cs="Times New Roman"/>
          <w:kern w:val="28"/>
          <w:sz w:val="28"/>
          <w:szCs w:val="28"/>
        </w:rPr>
        <w:t xml:space="preserve">184.1 </w:t>
      </w:r>
      <w:r w:rsidR="00795EF0">
        <w:rPr>
          <w:rFonts w:ascii="Times New Roman" w:eastAsia="Calibri" w:hAnsi="Times New Roman" w:cs="Times New Roman"/>
          <w:kern w:val="28"/>
          <w:sz w:val="28"/>
          <w:szCs w:val="28"/>
        </w:rPr>
        <w:t xml:space="preserve">Бюджетного кодекса Российской Федерации (далее – </w:t>
      </w:r>
      <w:r w:rsidR="004F1184" w:rsidRPr="00116BB9">
        <w:rPr>
          <w:rFonts w:ascii="Times New Roman" w:eastAsia="Calibri" w:hAnsi="Times New Roman" w:cs="Times New Roman"/>
          <w:kern w:val="28"/>
          <w:sz w:val="28"/>
          <w:szCs w:val="28"/>
        </w:rPr>
        <w:t>БК РФ</w:t>
      </w:r>
      <w:r w:rsidR="00795EF0">
        <w:rPr>
          <w:rFonts w:ascii="Times New Roman" w:eastAsia="Calibri" w:hAnsi="Times New Roman" w:cs="Times New Roman"/>
          <w:kern w:val="28"/>
          <w:sz w:val="28"/>
          <w:szCs w:val="28"/>
        </w:rPr>
        <w:t>)</w:t>
      </w:r>
      <w:r w:rsidR="004F1184" w:rsidRPr="00116BB9">
        <w:rPr>
          <w:rFonts w:ascii="Times New Roman" w:eastAsia="Calibri" w:hAnsi="Times New Roman" w:cs="Times New Roman"/>
          <w:kern w:val="28"/>
          <w:sz w:val="28"/>
          <w:szCs w:val="28"/>
        </w:rPr>
        <w:t xml:space="preserve">, статьи </w:t>
      </w:r>
      <w:r w:rsidRPr="00116BB9">
        <w:rPr>
          <w:rFonts w:ascii="Times New Roman" w:eastAsia="Calibri" w:hAnsi="Times New Roman" w:cs="Times New Roman"/>
          <w:kern w:val="28"/>
          <w:sz w:val="28"/>
          <w:szCs w:val="28"/>
        </w:rPr>
        <w:t>15 Закона области о бюджетном процессе.</w:t>
      </w:r>
    </w:p>
    <w:p w14:paraId="15184C06" w14:textId="77777777" w:rsidR="004B1339" w:rsidRDefault="004B1339"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p>
    <w:p w14:paraId="60294D2E" w14:textId="77777777" w:rsidR="004B1339" w:rsidRPr="00116BB9" w:rsidRDefault="004B1339"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p>
    <w:p w14:paraId="215F61D4" w14:textId="2B82D719" w:rsidR="000B23E7" w:rsidRPr="009128F7" w:rsidRDefault="000B23E7" w:rsidP="004B1339">
      <w:pPr>
        <w:pageBreakBefore/>
        <w:widowControl w:val="0"/>
        <w:pBdr>
          <w:bottom w:val="thinThickSmallGap" w:sz="18" w:space="10" w:color="auto"/>
        </w:pBdr>
        <w:suppressAutoHyphens/>
        <w:spacing w:before="600" w:after="0" w:line="240" w:lineRule="auto"/>
        <w:jc w:val="center"/>
        <w:outlineLvl w:val="0"/>
        <w:rPr>
          <w:rFonts w:ascii="Times New Roman" w:eastAsia="Calibri" w:hAnsi="Times New Roman" w:cs="Times New Roman"/>
          <w:b/>
          <w:caps/>
          <w:spacing w:val="30"/>
          <w:w w:val="150"/>
          <w:sz w:val="24"/>
          <w:szCs w:val="24"/>
        </w:rPr>
      </w:pPr>
      <w:r w:rsidRPr="009128F7">
        <w:rPr>
          <w:rFonts w:ascii="Times New Roman" w:eastAsia="Calibri" w:hAnsi="Times New Roman" w:cs="Times New Roman"/>
          <w:b/>
          <w:caps/>
          <w:spacing w:val="30"/>
          <w:w w:val="150"/>
          <w:sz w:val="24"/>
          <w:szCs w:val="24"/>
        </w:rPr>
        <w:lastRenderedPageBreak/>
        <w:t>1. ОБЩАЯ ХАРАКТЕРИСТИКА</w:t>
      </w:r>
      <w:r w:rsidRPr="009128F7">
        <w:rPr>
          <w:rFonts w:ascii="Times New Roman" w:eastAsia="Calibri" w:hAnsi="Times New Roman" w:cs="Times New Roman"/>
          <w:b/>
          <w:caps/>
          <w:spacing w:val="30"/>
          <w:w w:val="150"/>
          <w:sz w:val="24"/>
          <w:szCs w:val="24"/>
        </w:rPr>
        <w:br/>
        <w:t>ПРОЕКТА БЮДЖЕТА ОБЛАСТИ и условий его формирования</w:t>
      </w:r>
    </w:p>
    <w:p w14:paraId="6338B5F0" w14:textId="782B5130" w:rsidR="000B23E7" w:rsidRPr="00116BB9" w:rsidRDefault="000B23E7" w:rsidP="00352D19">
      <w:pPr>
        <w:tabs>
          <w:tab w:val="left" w:pos="993"/>
          <w:tab w:val="left" w:pos="1134"/>
          <w:tab w:val="left" w:pos="1276"/>
        </w:tabs>
        <w:spacing w:before="120" w:after="0" w:line="240" w:lineRule="auto"/>
        <w:ind w:firstLine="709"/>
        <w:jc w:val="both"/>
        <w:rPr>
          <w:rFonts w:ascii="Times New Roman" w:eastAsia="Calibri" w:hAnsi="Times New Roman" w:cs="Times New Roman"/>
          <w:strike/>
          <w:kern w:val="28"/>
          <w:sz w:val="28"/>
          <w:szCs w:val="28"/>
        </w:rPr>
      </w:pPr>
      <w:r w:rsidRPr="00116BB9">
        <w:rPr>
          <w:rFonts w:ascii="Times New Roman" w:eastAsia="Calibri" w:hAnsi="Times New Roman" w:cs="Times New Roman"/>
          <w:kern w:val="28"/>
          <w:sz w:val="28"/>
          <w:szCs w:val="28"/>
        </w:rPr>
        <w:t xml:space="preserve">Проект бюджета </w:t>
      </w:r>
      <w:r w:rsidR="007640C5">
        <w:rPr>
          <w:rFonts w:ascii="Times New Roman" w:eastAsia="Calibri" w:hAnsi="Times New Roman" w:cs="Times New Roman"/>
          <w:kern w:val="28"/>
          <w:sz w:val="28"/>
          <w:szCs w:val="28"/>
        </w:rPr>
        <w:t xml:space="preserve">Тульской </w:t>
      </w:r>
      <w:r w:rsidRPr="00116BB9">
        <w:rPr>
          <w:rFonts w:ascii="Times New Roman" w:eastAsia="Calibri" w:hAnsi="Times New Roman" w:cs="Times New Roman"/>
          <w:kern w:val="28"/>
          <w:sz w:val="28"/>
          <w:szCs w:val="28"/>
        </w:rPr>
        <w:t xml:space="preserve">области составлен на три года в форме проекта закона Тульской области, что соответствует БК РФ и Закону </w:t>
      </w:r>
      <w:r w:rsidR="00D9250E" w:rsidRPr="00116BB9">
        <w:rPr>
          <w:rFonts w:ascii="Times New Roman" w:eastAsia="Calibri" w:hAnsi="Times New Roman" w:cs="Times New Roman"/>
          <w:kern w:val="28"/>
          <w:sz w:val="28"/>
          <w:szCs w:val="28"/>
        </w:rPr>
        <w:t xml:space="preserve">области </w:t>
      </w:r>
      <w:r w:rsidRPr="00116BB9">
        <w:rPr>
          <w:rFonts w:ascii="Times New Roman" w:eastAsia="Calibri" w:hAnsi="Times New Roman" w:cs="Times New Roman"/>
          <w:kern w:val="28"/>
          <w:sz w:val="28"/>
          <w:szCs w:val="28"/>
        </w:rPr>
        <w:t>о бюджетном процессе.</w:t>
      </w:r>
      <w:r w:rsidR="009A2A67" w:rsidRPr="00116BB9">
        <w:rPr>
          <w:rFonts w:ascii="Times New Roman" w:eastAsia="Calibri" w:hAnsi="Times New Roman" w:cs="Times New Roman"/>
          <w:kern w:val="28"/>
          <w:sz w:val="28"/>
          <w:szCs w:val="28"/>
        </w:rPr>
        <w:t xml:space="preserve"> </w:t>
      </w:r>
    </w:p>
    <w:p w14:paraId="11A8B3AC" w14:textId="6DF62EDE" w:rsidR="000B23E7" w:rsidRPr="009128F7" w:rsidRDefault="000B23E7"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116BB9">
        <w:rPr>
          <w:rFonts w:ascii="Times New Roman" w:eastAsia="Calibri" w:hAnsi="Times New Roman" w:cs="Times New Roman"/>
          <w:kern w:val="28"/>
          <w:sz w:val="28"/>
          <w:szCs w:val="28"/>
        </w:rPr>
        <w:t>Формирование</w:t>
      </w:r>
      <w:r w:rsidRPr="009128F7">
        <w:rPr>
          <w:rFonts w:ascii="Times New Roman" w:eastAsia="Calibri" w:hAnsi="Times New Roman" w:cs="Times New Roman"/>
          <w:kern w:val="28"/>
          <w:sz w:val="28"/>
          <w:szCs w:val="28"/>
        </w:rPr>
        <w:t xml:space="preserve"> бюджета области </w:t>
      </w:r>
      <w:r w:rsidR="00790BAF" w:rsidRPr="009128F7">
        <w:rPr>
          <w:rFonts w:ascii="Times New Roman" w:eastAsia="Calibri" w:hAnsi="Times New Roman" w:cs="Times New Roman"/>
          <w:kern w:val="28"/>
          <w:sz w:val="28"/>
          <w:szCs w:val="28"/>
        </w:rPr>
        <w:t xml:space="preserve">на 2022 год и на плановый период 2023 и 2024 </w:t>
      </w:r>
      <w:r w:rsidRPr="009128F7">
        <w:rPr>
          <w:rFonts w:ascii="Times New Roman" w:eastAsia="Calibri" w:hAnsi="Times New Roman" w:cs="Times New Roman"/>
          <w:kern w:val="28"/>
          <w:sz w:val="28"/>
          <w:szCs w:val="28"/>
        </w:rPr>
        <w:t>годов осуществлялось с учетом особенностей экономической ситуации</w:t>
      </w:r>
      <w:r w:rsidR="00184269" w:rsidRPr="009128F7">
        <w:rPr>
          <w:rFonts w:ascii="Times New Roman" w:eastAsia="Calibri" w:hAnsi="Times New Roman" w:cs="Times New Roman"/>
          <w:kern w:val="28"/>
          <w:sz w:val="28"/>
          <w:szCs w:val="28"/>
        </w:rPr>
        <w:t>,</w:t>
      </w:r>
      <w:r w:rsidRPr="009128F7">
        <w:rPr>
          <w:rFonts w:ascii="Times New Roman" w:eastAsia="Calibri" w:hAnsi="Times New Roman" w:cs="Times New Roman"/>
          <w:kern w:val="28"/>
          <w:sz w:val="28"/>
          <w:szCs w:val="28"/>
        </w:rPr>
        <w:t xml:space="preserve"> на основе оценки исполнения бюджета области за 20</w:t>
      </w:r>
      <w:r w:rsidR="004A18B5" w:rsidRPr="009128F7">
        <w:rPr>
          <w:rFonts w:ascii="Times New Roman" w:eastAsia="Calibri" w:hAnsi="Times New Roman" w:cs="Times New Roman"/>
          <w:kern w:val="28"/>
          <w:sz w:val="28"/>
          <w:szCs w:val="28"/>
        </w:rPr>
        <w:t>2</w:t>
      </w:r>
      <w:r w:rsidR="009128F7" w:rsidRPr="009128F7">
        <w:rPr>
          <w:rFonts w:ascii="Times New Roman" w:eastAsia="Calibri" w:hAnsi="Times New Roman" w:cs="Times New Roman"/>
          <w:kern w:val="28"/>
          <w:sz w:val="28"/>
          <w:szCs w:val="28"/>
        </w:rPr>
        <w:t>1</w:t>
      </w:r>
      <w:r w:rsidRPr="009128F7">
        <w:rPr>
          <w:rFonts w:ascii="Times New Roman" w:eastAsia="Calibri" w:hAnsi="Times New Roman" w:cs="Times New Roman"/>
          <w:kern w:val="28"/>
          <w:sz w:val="28"/>
          <w:szCs w:val="28"/>
        </w:rPr>
        <w:t xml:space="preserve"> год и базового варианта </w:t>
      </w:r>
      <w:r w:rsidR="00836792" w:rsidRPr="009128F7">
        <w:rPr>
          <w:rFonts w:ascii="Times New Roman" w:eastAsia="Calibri" w:hAnsi="Times New Roman" w:cs="Times New Roman"/>
          <w:kern w:val="28"/>
          <w:sz w:val="28"/>
          <w:szCs w:val="28"/>
        </w:rPr>
        <w:t xml:space="preserve">прогноза </w:t>
      </w:r>
      <w:r w:rsidRPr="009128F7">
        <w:rPr>
          <w:rFonts w:ascii="Times New Roman" w:eastAsia="Calibri" w:hAnsi="Times New Roman" w:cs="Times New Roman"/>
          <w:kern w:val="28"/>
          <w:sz w:val="28"/>
          <w:szCs w:val="28"/>
        </w:rPr>
        <w:t>социально-экономического развития.</w:t>
      </w:r>
    </w:p>
    <w:p w14:paraId="26B71848" w14:textId="7433F0AB" w:rsidR="000356F3" w:rsidRPr="00E1593B" w:rsidRDefault="00E1593B"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4B1339">
        <w:rPr>
          <w:rFonts w:ascii="PT Astra Serif" w:hAnsi="PT Astra Serif"/>
          <w:sz w:val="28"/>
          <w:szCs w:val="28"/>
        </w:rPr>
        <w:t>П</w:t>
      </w:r>
      <w:r w:rsidR="000356F3" w:rsidRPr="004B1339">
        <w:rPr>
          <w:rFonts w:ascii="Times New Roman" w:eastAsia="Calibri" w:hAnsi="Times New Roman" w:cs="Times New Roman"/>
          <w:kern w:val="28"/>
          <w:sz w:val="28"/>
          <w:szCs w:val="28"/>
        </w:rPr>
        <w:t>ри формировании проекта бюджета области важным моментом являлось обеспечение соблюдения требований соглашени</w:t>
      </w:r>
      <w:r w:rsidR="00FB5D12" w:rsidRPr="004B1339">
        <w:rPr>
          <w:rFonts w:ascii="Times New Roman" w:eastAsia="Calibri" w:hAnsi="Times New Roman" w:cs="Times New Roman"/>
          <w:kern w:val="28"/>
          <w:sz w:val="28"/>
          <w:szCs w:val="28"/>
        </w:rPr>
        <w:t>й</w:t>
      </w:r>
      <w:r w:rsidR="000356F3" w:rsidRPr="004B1339">
        <w:rPr>
          <w:rFonts w:ascii="Times New Roman" w:eastAsia="Calibri" w:hAnsi="Times New Roman" w:cs="Times New Roman"/>
          <w:kern w:val="28"/>
          <w:sz w:val="28"/>
          <w:szCs w:val="28"/>
        </w:rPr>
        <w:t xml:space="preserve"> </w:t>
      </w:r>
      <w:r w:rsidR="00DF15BE" w:rsidRPr="004B1339">
        <w:rPr>
          <w:rFonts w:ascii="Times New Roman" w:eastAsia="Calibri" w:hAnsi="Times New Roman" w:cs="Times New Roman"/>
          <w:kern w:val="28"/>
          <w:sz w:val="28"/>
          <w:szCs w:val="28"/>
        </w:rPr>
        <w:t>Тульской области и</w:t>
      </w:r>
      <w:r w:rsidR="000356F3" w:rsidRPr="004B1339">
        <w:rPr>
          <w:rFonts w:ascii="Times New Roman" w:eastAsia="Calibri" w:hAnsi="Times New Roman" w:cs="Times New Roman"/>
          <w:kern w:val="28"/>
          <w:sz w:val="28"/>
          <w:szCs w:val="28"/>
        </w:rPr>
        <w:t xml:space="preserve"> Минфин</w:t>
      </w:r>
      <w:r w:rsidR="00DF15BE" w:rsidRPr="004B1339">
        <w:rPr>
          <w:rFonts w:ascii="Times New Roman" w:eastAsia="Calibri" w:hAnsi="Times New Roman" w:cs="Times New Roman"/>
          <w:kern w:val="28"/>
          <w:sz w:val="28"/>
          <w:szCs w:val="28"/>
        </w:rPr>
        <w:t>а</w:t>
      </w:r>
      <w:r w:rsidR="000356F3" w:rsidRPr="004B1339">
        <w:rPr>
          <w:rFonts w:ascii="Times New Roman" w:eastAsia="Calibri" w:hAnsi="Times New Roman" w:cs="Times New Roman"/>
          <w:kern w:val="28"/>
          <w:sz w:val="28"/>
          <w:szCs w:val="28"/>
        </w:rPr>
        <w:t xml:space="preserve"> России </w:t>
      </w:r>
      <w:r w:rsidR="00FB5D12" w:rsidRPr="004B1339">
        <w:rPr>
          <w:rFonts w:ascii="Times New Roman" w:eastAsia="Calibri" w:hAnsi="Times New Roman" w:cs="Times New Roman"/>
          <w:kern w:val="28"/>
          <w:sz w:val="28"/>
          <w:szCs w:val="28"/>
        </w:rPr>
        <w:t>по реструктуризации задолженности Тульской области по бюджетным кредитам, пол</w:t>
      </w:r>
      <w:r w:rsidR="002B4956" w:rsidRPr="004B1339">
        <w:rPr>
          <w:rFonts w:ascii="Times New Roman" w:eastAsia="Calibri" w:hAnsi="Times New Roman" w:cs="Times New Roman"/>
          <w:kern w:val="28"/>
          <w:sz w:val="28"/>
          <w:szCs w:val="28"/>
        </w:rPr>
        <w:t>ученным из федерального бюджета (далее – соглашения с Минфином России)</w:t>
      </w:r>
      <w:r w:rsidRPr="004B1339">
        <w:rPr>
          <w:rFonts w:ascii="Times New Roman" w:eastAsia="Calibri" w:hAnsi="Times New Roman" w:cs="Times New Roman"/>
          <w:kern w:val="28"/>
          <w:sz w:val="28"/>
          <w:szCs w:val="28"/>
        </w:rPr>
        <w:t>.</w:t>
      </w:r>
    </w:p>
    <w:p w14:paraId="6A2E1417" w14:textId="3E9DAB0C" w:rsidR="000B23E7" w:rsidRPr="00434A1B" w:rsidRDefault="000B23E7"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434A1B">
        <w:rPr>
          <w:rFonts w:ascii="Times New Roman" w:eastAsia="Calibri" w:hAnsi="Times New Roman" w:cs="Times New Roman"/>
          <w:kern w:val="28"/>
          <w:sz w:val="28"/>
          <w:szCs w:val="28"/>
        </w:rPr>
        <w:t xml:space="preserve">На проект бюджета области оказали влияние изменения, внесенные в </w:t>
      </w:r>
      <w:r w:rsidR="00434A1B" w:rsidRPr="00434A1B">
        <w:rPr>
          <w:rFonts w:ascii="Times New Roman" w:eastAsia="Calibri" w:hAnsi="Times New Roman" w:cs="Times New Roman"/>
          <w:kern w:val="28"/>
          <w:sz w:val="28"/>
          <w:szCs w:val="28"/>
        </w:rPr>
        <w:t xml:space="preserve">бюджетное и </w:t>
      </w:r>
      <w:r w:rsidR="00AB7885" w:rsidRPr="00434A1B">
        <w:rPr>
          <w:rFonts w:ascii="Times New Roman" w:eastAsia="Calibri" w:hAnsi="Times New Roman" w:cs="Times New Roman"/>
          <w:kern w:val="28"/>
          <w:sz w:val="28"/>
          <w:szCs w:val="28"/>
        </w:rPr>
        <w:t>налоговое</w:t>
      </w:r>
      <w:r w:rsidRPr="00434A1B">
        <w:rPr>
          <w:rFonts w:ascii="Times New Roman" w:eastAsia="Calibri" w:hAnsi="Times New Roman" w:cs="Times New Roman"/>
          <w:kern w:val="28"/>
          <w:sz w:val="28"/>
          <w:szCs w:val="28"/>
        </w:rPr>
        <w:t xml:space="preserve"> законодательство</w:t>
      </w:r>
      <w:r w:rsidR="004A18B5" w:rsidRPr="00434A1B">
        <w:rPr>
          <w:rFonts w:ascii="Times New Roman" w:eastAsia="Calibri" w:hAnsi="Times New Roman" w:cs="Times New Roman"/>
          <w:kern w:val="28"/>
          <w:sz w:val="28"/>
          <w:szCs w:val="28"/>
        </w:rPr>
        <w:t xml:space="preserve"> и</w:t>
      </w:r>
      <w:r w:rsidRPr="00434A1B">
        <w:rPr>
          <w:rFonts w:ascii="Times New Roman" w:eastAsia="Calibri" w:hAnsi="Times New Roman" w:cs="Times New Roman"/>
          <w:kern w:val="28"/>
          <w:sz w:val="28"/>
          <w:szCs w:val="28"/>
        </w:rPr>
        <w:t xml:space="preserve"> </w:t>
      </w:r>
      <w:r w:rsidR="00116BB9">
        <w:rPr>
          <w:rFonts w:ascii="Times New Roman" w:eastAsia="Calibri" w:hAnsi="Times New Roman" w:cs="Times New Roman"/>
          <w:kern w:val="28"/>
          <w:sz w:val="28"/>
          <w:szCs w:val="28"/>
        </w:rPr>
        <w:t xml:space="preserve">применяемые начиная с </w:t>
      </w:r>
      <w:r w:rsidR="00DF15BE">
        <w:rPr>
          <w:rFonts w:ascii="Times New Roman" w:eastAsia="Calibri" w:hAnsi="Times New Roman" w:cs="Times New Roman"/>
          <w:kern w:val="28"/>
          <w:sz w:val="28"/>
          <w:szCs w:val="28"/>
        </w:rPr>
        <w:t xml:space="preserve">формирования </w:t>
      </w:r>
      <w:r w:rsidR="00116BB9">
        <w:rPr>
          <w:rFonts w:ascii="Times New Roman" w:eastAsia="Calibri" w:hAnsi="Times New Roman" w:cs="Times New Roman"/>
          <w:kern w:val="28"/>
          <w:sz w:val="28"/>
          <w:szCs w:val="28"/>
        </w:rPr>
        <w:t>бюджета</w:t>
      </w:r>
      <w:r w:rsidR="00DF15BE">
        <w:rPr>
          <w:rFonts w:ascii="Times New Roman" w:eastAsia="Calibri" w:hAnsi="Times New Roman" w:cs="Times New Roman"/>
          <w:kern w:val="28"/>
          <w:sz w:val="28"/>
          <w:szCs w:val="28"/>
        </w:rPr>
        <w:t xml:space="preserve"> области</w:t>
      </w:r>
      <w:r w:rsidR="00116BB9">
        <w:rPr>
          <w:rFonts w:ascii="Times New Roman" w:eastAsia="Calibri" w:hAnsi="Times New Roman" w:cs="Times New Roman"/>
          <w:kern w:val="28"/>
          <w:sz w:val="28"/>
          <w:szCs w:val="28"/>
        </w:rPr>
        <w:t xml:space="preserve"> на 2022 год и на плановый период 2023 и 2024 годов.</w:t>
      </w:r>
    </w:p>
    <w:p w14:paraId="04C5A27B" w14:textId="25DCB829" w:rsidR="00BD4BE3" w:rsidRPr="00BC3B05" w:rsidRDefault="00BD4BE3" w:rsidP="00352D19">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BC3B05">
        <w:rPr>
          <w:rFonts w:ascii="Times New Roman" w:eastAsia="Times New Roman" w:hAnsi="Times New Roman" w:cs="Times New Roman"/>
          <w:sz w:val="28"/>
          <w:szCs w:val="28"/>
          <w:lang w:eastAsia="ru-RU"/>
        </w:rPr>
        <w:t>Показатели Законопроекта</w:t>
      </w:r>
      <w:r w:rsidR="009A2A67" w:rsidRPr="00BC3B05">
        <w:rPr>
          <w:rFonts w:ascii="Times New Roman" w:eastAsia="Times New Roman" w:hAnsi="Times New Roman" w:cs="Times New Roman"/>
          <w:sz w:val="28"/>
          <w:szCs w:val="28"/>
          <w:lang w:eastAsia="ru-RU"/>
        </w:rPr>
        <w:t xml:space="preserve"> </w:t>
      </w:r>
      <w:r w:rsidRPr="00BC3B05">
        <w:rPr>
          <w:rFonts w:ascii="Times New Roman" w:eastAsia="Times New Roman" w:hAnsi="Times New Roman" w:cs="Times New Roman"/>
          <w:sz w:val="28"/>
          <w:szCs w:val="28"/>
          <w:lang w:eastAsia="ru-RU"/>
        </w:rPr>
        <w:t xml:space="preserve">соответствуют установленным БК РФ </w:t>
      </w:r>
      <w:r w:rsidRPr="00BC3B05">
        <w:rPr>
          <w:rFonts w:ascii="Times New Roman" w:eastAsia="Calibri" w:hAnsi="Times New Roman" w:cs="Times New Roman"/>
          <w:sz w:val="28"/>
          <w:szCs w:val="28"/>
          <w:lang w:eastAsia="ru-RU"/>
        </w:rPr>
        <w:t>принципам сбалансированности бюджета (статья 33 БК РФ) и общего (совокупного) покрытия расходов бюджетов (статья 35 БК РФ).</w:t>
      </w:r>
    </w:p>
    <w:p w14:paraId="1E41B3E3" w14:textId="739B9080" w:rsidR="004841BF" w:rsidRPr="00B3668E" w:rsidRDefault="004841BF"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B3668E">
        <w:rPr>
          <w:rFonts w:ascii="Times New Roman" w:eastAsia="Calibri" w:hAnsi="Times New Roman" w:cs="Times New Roman"/>
          <w:kern w:val="28"/>
          <w:sz w:val="28"/>
          <w:szCs w:val="28"/>
        </w:rPr>
        <w:t>Основные показатели бюджета области представлены в следующей таблице.</w:t>
      </w:r>
    </w:p>
    <w:tbl>
      <w:tblPr>
        <w:tblW w:w="5188" w:type="pct"/>
        <w:jc w:val="center"/>
        <w:tblLayout w:type="fixed"/>
        <w:tblLook w:val="04A0" w:firstRow="1" w:lastRow="0" w:firstColumn="1" w:lastColumn="0" w:noHBand="0" w:noVBand="1"/>
      </w:tblPr>
      <w:tblGrid>
        <w:gridCol w:w="1152"/>
        <w:gridCol w:w="1014"/>
        <w:gridCol w:w="1013"/>
        <w:gridCol w:w="1014"/>
        <w:gridCol w:w="979"/>
        <w:gridCol w:w="638"/>
        <w:gridCol w:w="707"/>
        <w:gridCol w:w="1032"/>
        <w:gridCol w:w="486"/>
        <w:gridCol w:w="1024"/>
        <w:gridCol w:w="637"/>
      </w:tblGrid>
      <w:tr w:rsidR="004841BF" w:rsidRPr="00B3668E" w14:paraId="4A49E8E0" w14:textId="77777777" w:rsidTr="00352D19">
        <w:trPr>
          <w:trHeight w:val="144"/>
          <w:tblHeader/>
          <w:jc w:val="center"/>
        </w:trPr>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9ED3D8" w14:textId="77777777" w:rsidR="004841BF" w:rsidRPr="00B3668E" w:rsidRDefault="004841BF" w:rsidP="00EB1281">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Показатель</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D31F124" w14:textId="4B62AE3D" w:rsidR="004841BF" w:rsidRPr="00BC3B05" w:rsidRDefault="004841BF" w:rsidP="00203A13">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C3B05">
              <w:rPr>
                <w:rFonts w:ascii="Times New Roman" w:eastAsia="Times New Roman" w:hAnsi="Times New Roman" w:cs="Times New Roman"/>
                <w:color w:val="000000"/>
                <w:spacing w:val="-4"/>
                <w:w w:val="98"/>
                <w:sz w:val="18"/>
                <w:szCs w:val="18"/>
                <w:lang w:eastAsia="ru-RU"/>
              </w:rPr>
              <w:t>20</w:t>
            </w:r>
            <w:r w:rsidR="00203A13" w:rsidRPr="00BC3B05">
              <w:rPr>
                <w:rFonts w:ascii="Times New Roman" w:eastAsia="Times New Roman" w:hAnsi="Times New Roman" w:cs="Times New Roman"/>
                <w:color w:val="000000"/>
                <w:spacing w:val="-4"/>
                <w:w w:val="98"/>
                <w:sz w:val="18"/>
                <w:szCs w:val="18"/>
                <w:lang w:eastAsia="ru-RU"/>
              </w:rPr>
              <w:t>20</w:t>
            </w:r>
            <w:r w:rsidRPr="00BC3B05">
              <w:rPr>
                <w:rFonts w:ascii="Times New Roman" w:eastAsia="Times New Roman" w:hAnsi="Times New Roman" w:cs="Times New Roman"/>
                <w:color w:val="000000"/>
                <w:spacing w:val="-4"/>
                <w:w w:val="98"/>
                <w:sz w:val="18"/>
                <w:szCs w:val="18"/>
                <w:lang w:eastAsia="ru-RU"/>
              </w:rPr>
              <w:t xml:space="preserve"> год</w:t>
            </w:r>
          </w:p>
        </w:tc>
        <w:tc>
          <w:tcPr>
            <w:tcW w:w="2027" w:type="dxa"/>
            <w:gridSpan w:val="2"/>
            <w:tcBorders>
              <w:top w:val="single" w:sz="4" w:space="0" w:color="auto"/>
              <w:left w:val="nil"/>
              <w:bottom w:val="single" w:sz="4" w:space="0" w:color="auto"/>
              <w:right w:val="single" w:sz="4" w:space="0" w:color="auto"/>
            </w:tcBorders>
            <w:shd w:val="clear" w:color="auto" w:fill="auto"/>
            <w:vAlign w:val="center"/>
            <w:hideMark/>
          </w:tcPr>
          <w:p w14:paraId="3FFCCC98" w14:textId="11FF5D90" w:rsidR="004841BF" w:rsidRPr="00B3668E" w:rsidRDefault="004841BF" w:rsidP="00203A13">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20</w:t>
            </w:r>
            <w:r w:rsidR="00203A13">
              <w:rPr>
                <w:rFonts w:ascii="Times New Roman" w:eastAsia="Times New Roman" w:hAnsi="Times New Roman" w:cs="Times New Roman"/>
                <w:color w:val="000000"/>
                <w:spacing w:val="-4"/>
                <w:w w:val="98"/>
                <w:sz w:val="18"/>
                <w:szCs w:val="18"/>
                <w:lang w:eastAsia="ru-RU"/>
              </w:rPr>
              <w:t>21</w:t>
            </w:r>
            <w:r w:rsidRPr="00B3668E">
              <w:rPr>
                <w:rFonts w:ascii="Times New Roman" w:eastAsia="Times New Roman" w:hAnsi="Times New Roman" w:cs="Times New Roman"/>
                <w:color w:val="000000"/>
                <w:spacing w:val="-4"/>
                <w:w w:val="98"/>
                <w:sz w:val="18"/>
                <w:szCs w:val="18"/>
                <w:lang w:eastAsia="ru-RU"/>
              </w:rPr>
              <w:t xml:space="preserve"> год</w:t>
            </w:r>
          </w:p>
        </w:tc>
        <w:tc>
          <w:tcPr>
            <w:tcW w:w="2324" w:type="dxa"/>
            <w:gridSpan w:val="3"/>
            <w:tcBorders>
              <w:top w:val="single" w:sz="4" w:space="0" w:color="auto"/>
              <w:left w:val="nil"/>
              <w:bottom w:val="single" w:sz="4" w:space="0" w:color="auto"/>
              <w:right w:val="single" w:sz="4" w:space="0" w:color="auto"/>
            </w:tcBorders>
            <w:shd w:val="clear" w:color="auto" w:fill="auto"/>
            <w:vAlign w:val="center"/>
            <w:hideMark/>
          </w:tcPr>
          <w:p w14:paraId="6041A6E1" w14:textId="0B61710A" w:rsidR="004841BF" w:rsidRPr="00B3668E" w:rsidRDefault="004841BF" w:rsidP="00203A13">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202</w:t>
            </w:r>
            <w:r w:rsidR="00203A13">
              <w:rPr>
                <w:rFonts w:ascii="Times New Roman" w:eastAsia="Times New Roman" w:hAnsi="Times New Roman" w:cs="Times New Roman"/>
                <w:color w:val="000000"/>
                <w:spacing w:val="-4"/>
                <w:w w:val="98"/>
                <w:sz w:val="18"/>
                <w:szCs w:val="18"/>
                <w:lang w:eastAsia="ru-RU"/>
              </w:rPr>
              <w:t>2</w:t>
            </w:r>
            <w:r w:rsidRPr="00B3668E">
              <w:rPr>
                <w:rFonts w:ascii="Times New Roman" w:eastAsia="Times New Roman" w:hAnsi="Times New Roman" w:cs="Times New Roman"/>
                <w:color w:val="000000"/>
                <w:spacing w:val="-4"/>
                <w:w w:val="98"/>
                <w:sz w:val="18"/>
                <w:szCs w:val="18"/>
                <w:lang w:eastAsia="ru-RU"/>
              </w:rPr>
              <w:t xml:space="preserve"> год</w:t>
            </w:r>
            <w:r w:rsidR="00116F12">
              <w:rPr>
                <w:rFonts w:ascii="Times New Roman" w:eastAsia="Times New Roman" w:hAnsi="Times New Roman" w:cs="Times New Roman"/>
                <w:color w:val="000000"/>
                <w:spacing w:val="-4"/>
                <w:w w:val="98"/>
                <w:sz w:val="18"/>
                <w:szCs w:val="18"/>
                <w:lang w:eastAsia="ru-RU"/>
              </w:rPr>
              <w:t>*</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14:paraId="51ABE067" w14:textId="6AE527B6" w:rsidR="004841BF" w:rsidRPr="00B3668E" w:rsidRDefault="004841BF" w:rsidP="00203A13">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202</w:t>
            </w:r>
            <w:r w:rsidR="00203A13">
              <w:rPr>
                <w:rFonts w:ascii="Times New Roman" w:eastAsia="Times New Roman" w:hAnsi="Times New Roman" w:cs="Times New Roman"/>
                <w:color w:val="000000"/>
                <w:spacing w:val="-4"/>
                <w:w w:val="98"/>
                <w:sz w:val="18"/>
                <w:szCs w:val="18"/>
                <w:lang w:eastAsia="ru-RU"/>
              </w:rPr>
              <w:t>3</w:t>
            </w:r>
            <w:r w:rsidRPr="00B3668E">
              <w:rPr>
                <w:rFonts w:ascii="Times New Roman" w:eastAsia="Times New Roman" w:hAnsi="Times New Roman" w:cs="Times New Roman"/>
                <w:color w:val="000000"/>
                <w:spacing w:val="-4"/>
                <w:w w:val="98"/>
                <w:sz w:val="18"/>
                <w:szCs w:val="18"/>
                <w:lang w:eastAsia="ru-RU"/>
              </w:rPr>
              <w:t xml:space="preserve"> год</w:t>
            </w:r>
          </w:p>
        </w:tc>
        <w:tc>
          <w:tcPr>
            <w:tcW w:w="1661" w:type="dxa"/>
            <w:gridSpan w:val="2"/>
            <w:tcBorders>
              <w:top w:val="single" w:sz="4" w:space="0" w:color="auto"/>
              <w:left w:val="nil"/>
              <w:bottom w:val="single" w:sz="4" w:space="0" w:color="auto"/>
              <w:right w:val="single" w:sz="4" w:space="0" w:color="auto"/>
            </w:tcBorders>
            <w:shd w:val="clear" w:color="auto" w:fill="auto"/>
            <w:vAlign w:val="center"/>
            <w:hideMark/>
          </w:tcPr>
          <w:p w14:paraId="49CCA104" w14:textId="23433D19" w:rsidR="004841BF" w:rsidRPr="00B3668E" w:rsidRDefault="004841BF" w:rsidP="00203A13">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202</w:t>
            </w:r>
            <w:r w:rsidR="00203A13">
              <w:rPr>
                <w:rFonts w:ascii="Times New Roman" w:eastAsia="Times New Roman" w:hAnsi="Times New Roman" w:cs="Times New Roman"/>
                <w:color w:val="000000"/>
                <w:spacing w:val="-4"/>
                <w:w w:val="98"/>
                <w:sz w:val="18"/>
                <w:szCs w:val="18"/>
                <w:lang w:eastAsia="ru-RU"/>
              </w:rPr>
              <w:t>4</w:t>
            </w:r>
            <w:r w:rsidRPr="00B3668E">
              <w:rPr>
                <w:rFonts w:ascii="Times New Roman" w:eastAsia="Times New Roman" w:hAnsi="Times New Roman" w:cs="Times New Roman"/>
                <w:color w:val="000000"/>
                <w:spacing w:val="-4"/>
                <w:w w:val="98"/>
                <w:sz w:val="18"/>
                <w:szCs w:val="18"/>
                <w:lang w:eastAsia="ru-RU"/>
              </w:rPr>
              <w:t xml:space="preserve"> год</w:t>
            </w:r>
          </w:p>
        </w:tc>
      </w:tr>
      <w:tr w:rsidR="004841BF" w:rsidRPr="00B3668E" w14:paraId="7C16C9D2" w14:textId="77777777" w:rsidTr="00352D19">
        <w:trPr>
          <w:trHeight w:val="1061"/>
          <w:tblHeader/>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077ABB9" w14:textId="77777777" w:rsidR="004841BF" w:rsidRPr="00B3668E" w:rsidRDefault="004841BF" w:rsidP="00EB1281">
            <w:pPr>
              <w:spacing w:after="0" w:line="240" w:lineRule="auto"/>
              <w:ind w:left="-57" w:right="-57"/>
              <w:rPr>
                <w:rFonts w:ascii="Times New Roman" w:eastAsia="Times New Roman" w:hAnsi="Times New Roman" w:cs="Times New Roman"/>
                <w:color w:val="000000"/>
                <w:spacing w:val="-4"/>
                <w:w w:val="98"/>
                <w:sz w:val="18"/>
                <w:szCs w:val="18"/>
                <w:lang w:eastAsia="ru-RU"/>
              </w:rPr>
            </w:pPr>
          </w:p>
        </w:tc>
        <w:tc>
          <w:tcPr>
            <w:tcW w:w="1014" w:type="dxa"/>
            <w:tcBorders>
              <w:top w:val="nil"/>
              <w:left w:val="nil"/>
              <w:bottom w:val="single" w:sz="4" w:space="0" w:color="auto"/>
              <w:right w:val="single" w:sz="4" w:space="0" w:color="auto"/>
            </w:tcBorders>
            <w:shd w:val="clear" w:color="auto" w:fill="auto"/>
            <w:vAlign w:val="center"/>
            <w:hideMark/>
          </w:tcPr>
          <w:p w14:paraId="5A03A395" w14:textId="50B12ED2" w:rsidR="004841BF" w:rsidRPr="00BC3B05"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C3B05">
              <w:rPr>
                <w:rFonts w:ascii="Times New Roman" w:eastAsia="Times New Roman" w:hAnsi="Times New Roman" w:cs="Times New Roman"/>
                <w:color w:val="000000"/>
                <w:spacing w:val="-4"/>
                <w:w w:val="85"/>
                <w:sz w:val="18"/>
                <w:szCs w:val="18"/>
                <w:lang w:eastAsia="ru-RU"/>
              </w:rPr>
              <w:t xml:space="preserve">Фактическое исполнение, </w:t>
            </w:r>
            <w:r w:rsidR="00203A13" w:rsidRPr="00BC3B05">
              <w:rPr>
                <w:rFonts w:ascii="Times New Roman" w:eastAsia="Times New Roman" w:hAnsi="Times New Roman" w:cs="Times New Roman"/>
                <w:color w:val="000000"/>
                <w:spacing w:val="-4"/>
                <w:w w:val="85"/>
                <w:sz w:val="18"/>
                <w:szCs w:val="18"/>
                <w:lang w:eastAsia="ru-RU"/>
              </w:rPr>
              <w:t>млн. рублей</w:t>
            </w:r>
          </w:p>
        </w:tc>
        <w:tc>
          <w:tcPr>
            <w:tcW w:w="1013" w:type="dxa"/>
            <w:tcBorders>
              <w:top w:val="nil"/>
              <w:left w:val="nil"/>
              <w:bottom w:val="single" w:sz="4" w:space="0" w:color="auto"/>
              <w:right w:val="single" w:sz="4" w:space="0" w:color="auto"/>
            </w:tcBorders>
            <w:shd w:val="clear" w:color="auto" w:fill="auto"/>
            <w:vAlign w:val="center"/>
            <w:hideMark/>
          </w:tcPr>
          <w:p w14:paraId="4315BAB8" w14:textId="77777777" w:rsidR="00116F12" w:rsidRDefault="004841BF" w:rsidP="000F417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 xml:space="preserve">Закон о бюджете области </w:t>
            </w:r>
          </w:p>
          <w:p w14:paraId="72819307" w14:textId="2CB4A3A4" w:rsidR="00116F12" w:rsidRDefault="004841BF" w:rsidP="000F417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на 20</w:t>
            </w:r>
            <w:r w:rsidR="000F4171">
              <w:rPr>
                <w:rFonts w:ascii="Times New Roman" w:eastAsia="Times New Roman" w:hAnsi="Times New Roman" w:cs="Times New Roman"/>
                <w:color w:val="000000"/>
                <w:spacing w:val="-4"/>
                <w:w w:val="85"/>
                <w:sz w:val="18"/>
                <w:szCs w:val="18"/>
                <w:lang w:eastAsia="ru-RU"/>
              </w:rPr>
              <w:t>21</w:t>
            </w:r>
            <w:r w:rsidRPr="00B3668E">
              <w:rPr>
                <w:rFonts w:ascii="Times New Roman" w:eastAsia="Times New Roman" w:hAnsi="Times New Roman" w:cs="Times New Roman"/>
                <w:color w:val="000000"/>
                <w:spacing w:val="-4"/>
                <w:w w:val="85"/>
                <w:sz w:val="18"/>
                <w:szCs w:val="18"/>
                <w:lang w:eastAsia="ru-RU"/>
              </w:rPr>
              <w:t xml:space="preserve"> год</w:t>
            </w:r>
            <w:r w:rsidR="004B1339">
              <w:rPr>
                <w:rStyle w:val="a5"/>
                <w:rFonts w:ascii="Times New Roman" w:eastAsia="Times New Roman" w:hAnsi="Times New Roman" w:cs="Times New Roman"/>
                <w:color w:val="000000"/>
                <w:spacing w:val="-4"/>
                <w:w w:val="85"/>
                <w:sz w:val="18"/>
                <w:szCs w:val="18"/>
                <w:lang w:eastAsia="ru-RU"/>
              </w:rPr>
              <w:footnoteReference w:id="1"/>
            </w:r>
            <w:r w:rsidRPr="00B3668E">
              <w:rPr>
                <w:rFonts w:ascii="Times New Roman" w:eastAsia="Times New Roman" w:hAnsi="Times New Roman" w:cs="Times New Roman"/>
                <w:color w:val="000000"/>
                <w:spacing w:val="-4"/>
                <w:w w:val="85"/>
                <w:sz w:val="18"/>
                <w:szCs w:val="18"/>
                <w:lang w:eastAsia="ru-RU"/>
              </w:rPr>
              <w:t xml:space="preserve">, </w:t>
            </w:r>
          </w:p>
          <w:p w14:paraId="58A780FD" w14:textId="6FF2723E" w:rsidR="004841BF" w:rsidRPr="00B3668E" w:rsidRDefault="00203A13" w:rsidP="000F417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млн</w:t>
            </w:r>
            <w:r w:rsidRPr="00B3668E">
              <w:rPr>
                <w:rFonts w:ascii="Times New Roman" w:eastAsia="Times New Roman" w:hAnsi="Times New Roman" w:cs="Times New Roman"/>
                <w:color w:val="000000"/>
                <w:spacing w:val="-4"/>
                <w:w w:val="85"/>
                <w:sz w:val="18"/>
                <w:szCs w:val="18"/>
                <w:lang w:eastAsia="ru-RU"/>
              </w:rPr>
              <w:t>. рублей</w:t>
            </w:r>
          </w:p>
        </w:tc>
        <w:tc>
          <w:tcPr>
            <w:tcW w:w="1014" w:type="dxa"/>
            <w:tcBorders>
              <w:top w:val="nil"/>
              <w:left w:val="nil"/>
              <w:bottom w:val="single" w:sz="4" w:space="0" w:color="auto"/>
              <w:right w:val="single" w:sz="4" w:space="0" w:color="auto"/>
            </w:tcBorders>
            <w:shd w:val="clear" w:color="auto" w:fill="auto"/>
            <w:vAlign w:val="center"/>
            <w:hideMark/>
          </w:tcPr>
          <w:p w14:paraId="2D0C5F66" w14:textId="23324FF9" w:rsidR="004841BF" w:rsidRPr="00B3668E"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 xml:space="preserve">Оценка исполнения, </w:t>
            </w:r>
            <w:r w:rsidR="00203A13">
              <w:rPr>
                <w:rFonts w:ascii="Times New Roman" w:eastAsia="Times New Roman" w:hAnsi="Times New Roman" w:cs="Times New Roman"/>
                <w:color w:val="000000"/>
                <w:spacing w:val="-4"/>
                <w:w w:val="85"/>
                <w:sz w:val="18"/>
                <w:szCs w:val="18"/>
                <w:lang w:eastAsia="ru-RU"/>
              </w:rPr>
              <w:t>млн</w:t>
            </w:r>
            <w:r w:rsidR="00203A13" w:rsidRPr="00B3668E">
              <w:rPr>
                <w:rFonts w:ascii="Times New Roman" w:eastAsia="Times New Roman" w:hAnsi="Times New Roman" w:cs="Times New Roman"/>
                <w:color w:val="000000"/>
                <w:spacing w:val="-4"/>
                <w:w w:val="85"/>
                <w:sz w:val="18"/>
                <w:szCs w:val="18"/>
                <w:lang w:eastAsia="ru-RU"/>
              </w:rPr>
              <w:t>. рублей</w:t>
            </w:r>
          </w:p>
        </w:tc>
        <w:tc>
          <w:tcPr>
            <w:tcW w:w="979" w:type="dxa"/>
            <w:tcBorders>
              <w:top w:val="nil"/>
              <w:left w:val="nil"/>
              <w:bottom w:val="single" w:sz="4" w:space="0" w:color="auto"/>
              <w:right w:val="single" w:sz="4" w:space="0" w:color="auto"/>
            </w:tcBorders>
            <w:shd w:val="clear" w:color="auto" w:fill="auto"/>
            <w:vAlign w:val="center"/>
            <w:hideMark/>
          </w:tcPr>
          <w:p w14:paraId="7D467BD7"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П</w:t>
            </w:r>
            <w:r w:rsidR="004841BF" w:rsidRPr="00B3668E">
              <w:rPr>
                <w:rFonts w:ascii="Times New Roman" w:eastAsia="Times New Roman" w:hAnsi="Times New Roman" w:cs="Times New Roman"/>
                <w:color w:val="000000"/>
                <w:spacing w:val="-4"/>
                <w:w w:val="85"/>
                <w:sz w:val="18"/>
                <w:szCs w:val="18"/>
                <w:lang w:eastAsia="ru-RU"/>
              </w:rPr>
              <w:t>роект</w:t>
            </w:r>
            <w:r w:rsidRPr="00B3668E">
              <w:rPr>
                <w:rFonts w:ascii="Times New Roman" w:eastAsia="Times New Roman" w:hAnsi="Times New Roman" w:cs="Times New Roman"/>
                <w:color w:val="000000"/>
                <w:spacing w:val="-4"/>
                <w:w w:val="85"/>
                <w:sz w:val="18"/>
                <w:szCs w:val="18"/>
                <w:lang w:eastAsia="ru-RU"/>
              </w:rPr>
              <w:t xml:space="preserve"> </w:t>
            </w:r>
          </w:p>
          <w:p w14:paraId="45920B5C"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з</w:t>
            </w:r>
            <w:r w:rsidRPr="00B3668E">
              <w:rPr>
                <w:rFonts w:ascii="Times New Roman" w:eastAsia="Times New Roman" w:hAnsi="Times New Roman" w:cs="Times New Roman"/>
                <w:color w:val="000000"/>
                <w:spacing w:val="-4"/>
                <w:w w:val="85"/>
                <w:sz w:val="18"/>
                <w:szCs w:val="18"/>
                <w:lang w:eastAsia="ru-RU"/>
              </w:rPr>
              <w:t>акон</w:t>
            </w:r>
            <w:r>
              <w:rPr>
                <w:rFonts w:ascii="Times New Roman" w:eastAsia="Times New Roman" w:hAnsi="Times New Roman" w:cs="Times New Roman"/>
                <w:color w:val="000000"/>
                <w:spacing w:val="-4"/>
                <w:w w:val="85"/>
                <w:sz w:val="18"/>
                <w:szCs w:val="18"/>
                <w:lang w:eastAsia="ru-RU"/>
              </w:rPr>
              <w:t>а</w:t>
            </w:r>
            <w:r w:rsidR="004841BF" w:rsidRPr="00B3668E">
              <w:rPr>
                <w:rFonts w:ascii="Times New Roman" w:eastAsia="Times New Roman" w:hAnsi="Times New Roman" w:cs="Times New Roman"/>
                <w:color w:val="000000"/>
                <w:spacing w:val="-4"/>
                <w:w w:val="85"/>
                <w:sz w:val="18"/>
                <w:szCs w:val="18"/>
                <w:lang w:eastAsia="ru-RU"/>
              </w:rPr>
              <w:t>,</w:t>
            </w:r>
          </w:p>
          <w:p w14:paraId="4EB49EB3" w14:textId="0ECA9F91" w:rsidR="004841BF" w:rsidRPr="00B3668E" w:rsidRDefault="004841BF"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 xml:space="preserve"> </w:t>
            </w:r>
            <w:r w:rsidR="00203A13">
              <w:rPr>
                <w:rFonts w:ascii="Times New Roman" w:eastAsia="Times New Roman" w:hAnsi="Times New Roman" w:cs="Times New Roman"/>
                <w:color w:val="000000"/>
                <w:spacing w:val="-4"/>
                <w:w w:val="85"/>
                <w:sz w:val="18"/>
                <w:szCs w:val="18"/>
                <w:lang w:eastAsia="ru-RU"/>
              </w:rPr>
              <w:t>млн</w:t>
            </w:r>
            <w:r w:rsidR="00203A13" w:rsidRPr="00B3668E">
              <w:rPr>
                <w:rFonts w:ascii="Times New Roman" w:eastAsia="Times New Roman" w:hAnsi="Times New Roman" w:cs="Times New Roman"/>
                <w:color w:val="000000"/>
                <w:spacing w:val="-4"/>
                <w:w w:val="85"/>
                <w:sz w:val="18"/>
                <w:szCs w:val="18"/>
                <w:lang w:eastAsia="ru-RU"/>
              </w:rPr>
              <w:t>. рублей</w:t>
            </w:r>
          </w:p>
        </w:tc>
        <w:tc>
          <w:tcPr>
            <w:tcW w:w="638" w:type="dxa"/>
            <w:tcBorders>
              <w:top w:val="nil"/>
              <w:left w:val="nil"/>
              <w:bottom w:val="single" w:sz="4" w:space="0" w:color="auto"/>
              <w:right w:val="single" w:sz="4" w:space="0" w:color="auto"/>
            </w:tcBorders>
            <w:shd w:val="clear" w:color="auto" w:fill="auto"/>
            <w:vAlign w:val="center"/>
            <w:hideMark/>
          </w:tcPr>
          <w:p w14:paraId="02392048" w14:textId="40D69636" w:rsidR="004841BF" w:rsidRPr="00B3668E"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к 20</w:t>
            </w:r>
            <w:r w:rsidR="00EB1281">
              <w:rPr>
                <w:rFonts w:ascii="Times New Roman" w:eastAsia="Times New Roman" w:hAnsi="Times New Roman" w:cs="Times New Roman"/>
                <w:color w:val="000000"/>
                <w:spacing w:val="-4"/>
                <w:w w:val="85"/>
                <w:sz w:val="18"/>
                <w:szCs w:val="18"/>
                <w:lang w:eastAsia="ru-RU"/>
              </w:rPr>
              <w:t>21</w:t>
            </w:r>
            <w:r w:rsidRPr="00B3668E">
              <w:rPr>
                <w:rFonts w:ascii="Times New Roman" w:eastAsia="Times New Roman" w:hAnsi="Times New Roman" w:cs="Times New Roman"/>
                <w:color w:val="000000"/>
                <w:spacing w:val="-4"/>
                <w:w w:val="85"/>
                <w:sz w:val="18"/>
                <w:szCs w:val="18"/>
                <w:lang w:eastAsia="ru-RU"/>
              </w:rPr>
              <w:t xml:space="preserve"> году (Закон), %</w:t>
            </w:r>
          </w:p>
        </w:tc>
        <w:tc>
          <w:tcPr>
            <w:tcW w:w="706" w:type="dxa"/>
            <w:tcBorders>
              <w:top w:val="nil"/>
              <w:left w:val="nil"/>
              <w:bottom w:val="single" w:sz="4" w:space="0" w:color="auto"/>
              <w:right w:val="single" w:sz="4" w:space="0" w:color="auto"/>
            </w:tcBorders>
            <w:shd w:val="clear" w:color="auto" w:fill="auto"/>
            <w:vAlign w:val="center"/>
            <w:hideMark/>
          </w:tcPr>
          <w:p w14:paraId="6498292B" w14:textId="4B9FF9D9" w:rsidR="004841BF" w:rsidRPr="00B3668E"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к 20</w:t>
            </w:r>
            <w:r w:rsidR="00EB1281">
              <w:rPr>
                <w:rFonts w:ascii="Times New Roman" w:eastAsia="Times New Roman" w:hAnsi="Times New Roman" w:cs="Times New Roman"/>
                <w:color w:val="000000"/>
                <w:spacing w:val="-4"/>
                <w:w w:val="85"/>
                <w:sz w:val="18"/>
                <w:szCs w:val="18"/>
                <w:lang w:eastAsia="ru-RU"/>
              </w:rPr>
              <w:t>21</w:t>
            </w:r>
            <w:r w:rsidRPr="00B3668E">
              <w:rPr>
                <w:rFonts w:ascii="Times New Roman" w:eastAsia="Times New Roman" w:hAnsi="Times New Roman" w:cs="Times New Roman"/>
                <w:color w:val="000000"/>
                <w:spacing w:val="-4"/>
                <w:w w:val="85"/>
                <w:sz w:val="18"/>
                <w:szCs w:val="18"/>
                <w:lang w:eastAsia="ru-RU"/>
              </w:rPr>
              <w:t xml:space="preserve"> году (оценка), %</w:t>
            </w:r>
          </w:p>
        </w:tc>
        <w:tc>
          <w:tcPr>
            <w:tcW w:w="1032" w:type="dxa"/>
            <w:tcBorders>
              <w:top w:val="nil"/>
              <w:left w:val="nil"/>
              <w:bottom w:val="single" w:sz="4" w:space="0" w:color="auto"/>
              <w:right w:val="single" w:sz="4" w:space="0" w:color="auto"/>
            </w:tcBorders>
            <w:shd w:val="clear" w:color="auto" w:fill="auto"/>
            <w:vAlign w:val="center"/>
            <w:hideMark/>
          </w:tcPr>
          <w:p w14:paraId="7C45F866"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П</w:t>
            </w:r>
            <w:r w:rsidRPr="00B3668E">
              <w:rPr>
                <w:rFonts w:ascii="Times New Roman" w:eastAsia="Times New Roman" w:hAnsi="Times New Roman" w:cs="Times New Roman"/>
                <w:color w:val="000000"/>
                <w:spacing w:val="-4"/>
                <w:w w:val="85"/>
                <w:sz w:val="18"/>
                <w:szCs w:val="18"/>
                <w:lang w:eastAsia="ru-RU"/>
              </w:rPr>
              <w:t xml:space="preserve">роект </w:t>
            </w:r>
          </w:p>
          <w:p w14:paraId="23574B61"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з</w:t>
            </w:r>
            <w:r w:rsidRPr="00B3668E">
              <w:rPr>
                <w:rFonts w:ascii="Times New Roman" w:eastAsia="Times New Roman" w:hAnsi="Times New Roman" w:cs="Times New Roman"/>
                <w:color w:val="000000"/>
                <w:spacing w:val="-4"/>
                <w:w w:val="85"/>
                <w:sz w:val="18"/>
                <w:szCs w:val="18"/>
                <w:lang w:eastAsia="ru-RU"/>
              </w:rPr>
              <w:t>акон</w:t>
            </w:r>
            <w:r>
              <w:rPr>
                <w:rFonts w:ascii="Times New Roman" w:eastAsia="Times New Roman" w:hAnsi="Times New Roman" w:cs="Times New Roman"/>
                <w:color w:val="000000"/>
                <w:spacing w:val="-4"/>
                <w:w w:val="85"/>
                <w:sz w:val="18"/>
                <w:szCs w:val="18"/>
                <w:lang w:eastAsia="ru-RU"/>
              </w:rPr>
              <w:t>а</w:t>
            </w:r>
            <w:r w:rsidRPr="00B3668E">
              <w:rPr>
                <w:rFonts w:ascii="Times New Roman" w:eastAsia="Times New Roman" w:hAnsi="Times New Roman" w:cs="Times New Roman"/>
                <w:color w:val="000000"/>
                <w:spacing w:val="-4"/>
                <w:w w:val="85"/>
                <w:sz w:val="18"/>
                <w:szCs w:val="18"/>
                <w:lang w:eastAsia="ru-RU"/>
              </w:rPr>
              <w:t>,</w:t>
            </w:r>
          </w:p>
          <w:p w14:paraId="3C704D9C" w14:textId="66F3987C" w:rsidR="004841BF" w:rsidRPr="00B3668E"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 xml:space="preserve"> </w:t>
            </w:r>
            <w:r>
              <w:rPr>
                <w:rFonts w:ascii="Times New Roman" w:eastAsia="Times New Roman" w:hAnsi="Times New Roman" w:cs="Times New Roman"/>
                <w:color w:val="000000"/>
                <w:spacing w:val="-4"/>
                <w:w w:val="85"/>
                <w:sz w:val="18"/>
                <w:szCs w:val="18"/>
                <w:lang w:eastAsia="ru-RU"/>
              </w:rPr>
              <w:t>млн</w:t>
            </w:r>
            <w:r w:rsidRPr="00B3668E">
              <w:rPr>
                <w:rFonts w:ascii="Times New Roman" w:eastAsia="Times New Roman" w:hAnsi="Times New Roman" w:cs="Times New Roman"/>
                <w:color w:val="000000"/>
                <w:spacing w:val="-4"/>
                <w:w w:val="85"/>
                <w:sz w:val="18"/>
                <w:szCs w:val="18"/>
                <w:lang w:eastAsia="ru-RU"/>
              </w:rPr>
              <w:t>. рублей</w:t>
            </w:r>
          </w:p>
        </w:tc>
        <w:tc>
          <w:tcPr>
            <w:tcW w:w="486" w:type="dxa"/>
            <w:tcBorders>
              <w:top w:val="nil"/>
              <w:left w:val="nil"/>
              <w:bottom w:val="single" w:sz="4" w:space="0" w:color="auto"/>
              <w:right w:val="single" w:sz="4" w:space="0" w:color="auto"/>
            </w:tcBorders>
            <w:shd w:val="clear" w:color="auto" w:fill="auto"/>
            <w:vAlign w:val="center"/>
            <w:hideMark/>
          </w:tcPr>
          <w:p w14:paraId="3B5E353C" w14:textId="77777777" w:rsidR="004841BF" w:rsidRPr="00B3668E"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к 2020 году, %</w:t>
            </w:r>
          </w:p>
        </w:tc>
        <w:tc>
          <w:tcPr>
            <w:tcW w:w="1024" w:type="dxa"/>
            <w:tcBorders>
              <w:top w:val="nil"/>
              <w:left w:val="nil"/>
              <w:bottom w:val="single" w:sz="4" w:space="0" w:color="auto"/>
              <w:right w:val="single" w:sz="4" w:space="0" w:color="auto"/>
            </w:tcBorders>
            <w:shd w:val="clear" w:color="auto" w:fill="auto"/>
            <w:vAlign w:val="center"/>
            <w:hideMark/>
          </w:tcPr>
          <w:p w14:paraId="377EA093"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П</w:t>
            </w:r>
            <w:r w:rsidRPr="00B3668E">
              <w:rPr>
                <w:rFonts w:ascii="Times New Roman" w:eastAsia="Times New Roman" w:hAnsi="Times New Roman" w:cs="Times New Roman"/>
                <w:color w:val="000000"/>
                <w:spacing w:val="-4"/>
                <w:w w:val="85"/>
                <w:sz w:val="18"/>
                <w:szCs w:val="18"/>
                <w:lang w:eastAsia="ru-RU"/>
              </w:rPr>
              <w:t xml:space="preserve">роект </w:t>
            </w:r>
          </w:p>
          <w:p w14:paraId="0FE2EC0A" w14:textId="77777777" w:rsidR="00836754"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з</w:t>
            </w:r>
            <w:r w:rsidRPr="00B3668E">
              <w:rPr>
                <w:rFonts w:ascii="Times New Roman" w:eastAsia="Times New Roman" w:hAnsi="Times New Roman" w:cs="Times New Roman"/>
                <w:color w:val="000000"/>
                <w:spacing w:val="-4"/>
                <w:w w:val="85"/>
                <w:sz w:val="18"/>
                <w:szCs w:val="18"/>
                <w:lang w:eastAsia="ru-RU"/>
              </w:rPr>
              <w:t>акон</w:t>
            </w:r>
            <w:r>
              <w:rPr>
                <w:rFonts w:ascii="Times New Roman" w:eastAsia="Times New Roman" w:hAnsi="Times New Roman" w:cs="Times New Roman"/>
                <w:color w:val="000000"/>
                <w:spacing w:val="-4"/>
                <w:w w:val="85"/>
                <w:sz w:val="18"/>
                <w:szCs w:val="18"/>
                <w:lang w:eastAsia="ru-RU"/>
              </w:rPr>
              <w:t>а</w:t>
            </w:r>
            <w:r w:rsidRPr="00B3668E">
              <w:rPr>
                <w:rFonts w:ascii="Times New Roman" w:eastAsia="Times New Roman" w:hAnsi="Times New Roman" w:cs="Times New Roman"/>
                <w:color w:val="000000"/>
                <w:spacing w:val="-4"/>
                <w:w w:val="85"/>
                <w:sz w:val="18"/>
                <w:szCs w:val="18"/>
                <w:lang w:eastAsia="ru-RU"/>
              </w:rPr>
              <w:t>,</w:t>
            </w:r>
          </w:p>
          <w:p w14:paraId="282D174A" w14:textId="0F85FDCC" w:rsidR="004841BF" w:rsidRPr="00B3668E" w:rsidRDefault="00836754" w:rsidP="0083675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 xml:space="preserve"> </w:t>
            </w:r>
            <w:r>
              <w:rPr>
                <w:rFonts w:ascii="Times New Roman" w:eastAsia="Times New Roman" w:hAnsi="Times New Roman" w:cs="Times New Roman"/>
                <w:color w:val="000000"/>
                <w:spacing w:val="-4"/>
                <w:w w:val="85"/>
                <w:sz w:val="18"/>
                <w:szCs w:val="18"/>
                <w:lang w:eastAsia="ru-RU"/>
              </w:rPr>
              <w:t>млн</w:t>
            </w:r>
            <w:r w:rsidRPr="00B3668E">
              <w:rPr>
                <w:rFonts w:ascii="Times New Roman" w:eastAsia="Times New Roman" w:hAnsi="Times New Roman" w:cs="Times New Roman"/>
                <w:color w:val="000000"/>
                <w:spacing w:val="-4"/>
                <w:w w:val="85"/>
                <w:sz w:val="18"/>
                <w:szCs w:val="18"/>
                <w:lang w:eastAsia="ru-RU"/>
              </w:rPr>
              <w:t>. рублей</w:t>
            </w:r>
          </w:p>
        </w:tc>
        <w:tc>
          <w:tcPr>
            <w:tcW w:w="636" w:type="dxa"/>
            <w:tcBorders>
              <w:top w:val="nil"/>
              <w:left w:val="nil"/>
              <w:bottom w:val="single" w:sz="4" w:space="0" w:color="auto"/>
              <w:right w:val="single" w:sz="4" w:space="0" w:color="auto"/>
            </w:tcBorders>
            <w:shd w:val="clear" w:color="auto" w:fill="auto"/>
            <w:vAlign w:val="center"/>
            <w:hideMark/>
          </w:tcPr>
          <w:p w14:paraId="64E33936" w14:textId="77777777" w:rsidR="004841BF" w:rsidRPr="00B3668E" w:rsidRDefault="004841BF" w:rsidP="00EB1281">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B3668E">
              <w:rPr>
                <w:rFonts w:ascii="Times New Roman" w:eastAsia="Times New Roman" w:hAnsi="Times New Roman" w:cs="Times New Roman"/>
                <w:color w:val="000000"/>
                <w:spacing w:val="-4"/>
                <w:w w:val="85"/>
                <w:sz w:val="18"/>
                <w:szCs w:val="18"/>
                <w:lang w:eastAsia="ru-RU"/>
              </w:rPr>
              <w:t>к 2021 году, %</w:t>
            </w:r>
          </w:p>
        </w:tc>
      </w:tr>
      <w:tr w:rsidR="004841BF" w:rsidRPr="00B3668E" w14:paraId="311EA9CF" w14:textId="77777777" w:rsidTr="00352D19">
        <w:trPr>
          <w:trHeight w:val="328"/>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607E57A7" w14:textId="77777777" w:rsidR="00455350" w:rsidRDefault="004841BF" w:rsidP="00EB1281">
            <w:pPr>
              <w:spacing w:after="0" w:line="240" w:lineRule="auto"/>
              <w:ind w:left="-57" w:right="-57"/>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b/>
                <w:bCs/>
                <w:color w:val="000000"/>
                <w:spacing w:val="-4"/>
                <w:w w:val="98"/>
                <w:sz w:val="18"/>
                <w:szCs w:val="18"/>
                <w:lang w:eastAsia="ru-RU"/>
              </w:rPr>
              <w:t>Доходы,</w:t>
            </w:r>
            <w:r w:rsidR="00455350" w:rsidRPr="00B3668E">
              <w:rPr>
                <w:rFonts w:ascii="Times New Roman" w:eastAsia="Times New Roman" w:hAnsi="Times New Roman" w:cs="Times New Roman"/>
                <w:color w:val="000000"/>
                <w:spacing w:val="-4"/>
                <w:w w:val="98"/>
                <w:sz w:val="18"/>
                <w:szCs w:val="18"/>
                <w:lang w:eastAsia="ru-RU"/>
              </w:rPr>
              <w:t xml:space="preserve"> </w:t>
            </w:r>
          </w:p>
          <w:p w14:paraId="11496B23" w14:textId="69F58C97" w:rsidR="004841BF" w:rsidRPr="00B3668E" w:rsidRDefault="00455350" w:rsidP="00455350">
            <w:pPr>
              <w:widowControl w:val="0"/>
              <w:spacing w:after="0" w:line="240" w:lineRule="auto"/>
              <w:ind w:left="-170" w:right="-57" w:firstLine="57"/>
              <w:rPr>
                <w:rFonts w:ascii="Times New Roman" w:eastAsia="Times New Roman" w:hAnsi="Times New Roman" w:cs="Times New Roman"/>
                <w:b/>
                <w:bCs/>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в том числе:</w:t>
            </w:r>
          </w:p>
        </w:tc>
        <w:tc>
          <w:tcPr>
            <w:tcW w:w="1014" w:type="dxa"/>
            <w:tcBorders>
              <w:top w:val="nil"/>
              <w:left w:val="nil"/>
              <w:bottom w:val="single" w:sz="4" w:space="0" w:color="auto"/>
              <w:right w:val="single" w:sz="4" w:space="0" w:color="auto"/>
            </w:tcBorders>
            <w:shd w:val="clear" w:color="auto" w:fill="auto"/>
            <w:vAlign w:val="center"/>
            <w:hideMark/>
          </w:tcPr>
          <w:p w14:paraId="489FDC48" w14:textId="40974C65" w:rsidR="004841BF" w:rsidRPr="00836754" w:rsidRDefault="00836754"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836754">
              <w:rPr>
                <w:rFonts w:ascii="Times New Roman" w:eastAsia="Times New Roman" w:hAnsi="Times New Roman" w:cs="Times New Roman"/>
                <w:b/>
                <w:bCs/>
                <w:color w:val="000000"/>
                <w:spacing w:val="-4"/>
                <w:w w:val="98"/>
                <w:sz w:val="18"/>
                <w:szCs w:val="18"/>
                <w:lang w:eastAsia="ru-RU"/>
              </w:rPr>
              <w:t>94 360,1</w:t>
            </w:r>
          </w:p>
        </w:tc>
        <w:tc>
          <w:tcPr>
            <w:tcW w:w="1013" w:type="dxa"/>
            <w:tcBorders>
              <w:top w:val="nil"/>
              <w:left w:val="nil"/>
              <w:bottom w:val="single" w:sz="4" w:space="0" w:color="auto"/>
              <w:right w:val="single" w:sz="4" w:space="0" w:color="auto"/>
            </w:tcBorders>
            <w:shd w:val="clear" w:color="auto" w:fill="auto"/>
            <w:vAlign w:val="center"/>
            <w:hideMark/>
          </w:tcPr>
          <w:p w14:paraId="37D28355" w14:textId="0F9088CB" w:rsidR="004841BF" w:rsidRPr="00455350" w:rsidRDefault="00455350"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102 449,8</w:t>
            </w:r>
            <w:r w:rsidR="004841BF" w:rsidRPr="00455350">
              <w:rPr>
                <w:rFonts w:ascii="Times New Roman" w:eastAsia="Times New Roman" w:hAnsi="Times New Roman" w:cs="Times New Roman"/>
                <w:b/>
                <w:bCs/>
                <w:color w:val="000000"/>
                <w:spacing w:val="-4"/>
                <w:w w:val="98"/>
                <w:sz w:val="18"/>
                <w:szCs w:val="18"/>
                <w:lang w:eastAsia="ru-RU"/>
              </w:rPr>
              <w:t> </w:t>
            </w:r>
          </w:p>
        </w:tc>
        <w:tc>
          <w:tcPr>
            <w:tcW w:w="1014" w:type="dxa"/>
            <w:tcBorders>
              <w:top w:val="nil"/>
              <w:left w:val="nil"/>
              <w:bottom w:val="single" w:sz="4" w:space="0" w:color="auto"/>
              <w:right w:val="single" w:sz="4" w:space="0" w:color="auto"/>
            </w:tcBorders>
            <w:shd w:val="clear" w:color="auto" w:fill="auto"/>
            <w:vAlign w:val="center"/>
            <w:hideMark/>
          </w:tcPr>
          <w:p w14:paraId="2205312B" w14:textId="3B251845" w:rsidR="004841BF" w:rsidRPr="00455350" w:rsidRDefault="00455350" w:rsidP="00A21A6A">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106 890,</w:t>
            </w:r>
            <w:r w:rsidR="00A21A6A">
              <w:rPr>
                <w:rFonts w:ascii="Times New Roman" w:eastAsia="Times New Roman" w:hAnsi="Times New Roman" w:cs="Times New Roman"/>
                <w:b/>
                <w:bCs/>
                <w:color w:val="000000"/>
                <w:spacing w:val="-4"/>
                <w:w w:val="98"/>
                <w:sz w:val="18"/>
                <w:szCs w:val="18"/>
                <w:lang w:eastAsia="ru-RU"/>
              </w:rPr>
              <w:t>7</w:t>
            </w:r>
            <w:r w:rsidR="004841BF" w:rsidRPr="00455350">
              <w:rPr>
                <w:rFonts w:ascii="Times New Roman" w:eastAsia="Times New Roman" w:hAnsi="Times New Roman" w:cs="Times New Roman"/>
                <w:b/>
                <w:bCs/>
                <w:color w:val="000000"/>
                <w:spacing w:val="-4"/>
                <w:w w:val="98"/>
                <w:sz w:val="18"/>
                <w:szCs w:val="18"/>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14:paraId="3C3BF791" w14:textId="6FE5904B" w:rsidR="004841BF" w:rsidRPr="000F4171" w:rsidRDefault="000F4171" w:rsidP="00EB1281">
            <w:pPr>
              <w:spacing w:after="0" w:line="240" w:lineRule="auto"/>
              <w:ind w:left="-113" w:right="-68"/>
              <w:jc w:val="right"/>
              <w:rPr>
                <w:rFonts w:ascii="Times New Roman" w:eastAsia="Times New Roman" w:hAnsi="Times New Roman" w:cs="Times New Roman"/>
                <w:b/>
                <w:bCs/>
                <w:color w:val="000000"/>
                <w:spacing w:val="-4"/>
                <w:w w:val="98"/>
                <w:sz w:val="18"/>
                <w:szCs w:val="18"/>
                <w:highlight w:val="yellow"/>
                <w:lang w:eastAsia="ru-RU"/>
              </w:rPr>
            </w:pPr>
            <w:r w:rsidRPr="000F4171">
              <w:rPr>
                <w:rFonts w:ascii="Times New Roman" w:eastAsia="Times New Roman" w:hAnsi="Times New Roman" w:cs="Times New Roman"/>
                <w:b/>
                <w:bCs/>
                <w:color w:val="000000"/>
                <w:spacing w:val="-4"/>
                <w:w w:val="98"/>
                <w:sz w:val="18"/>
                <w:szCs w:val="18"/>
                <w:lang w:eastAsia="ru-RU"/>
              </w:rPr>
              <w:t>93 884,0</w:t>
            </w:r>
            <w:r w:rsidR="004841BF" w:rsidRPr="000F4171">
              <w:rPr>
                <w:rFonts w:ascii="Times New Roman" w:eastAsia="Times New Roman" w:hAnsi="Times New Roman" w:cs="Times New Roman"/>
                <w:b/>
                <w:bCs/>
                <w:color w:val="000000"/>
                <w:spacing w:val="-4"/>
                <w:w w:val="98"/>
                <w:sz w:val="18"/>
                <w:szCs w:val="18"/>
                <w:lang w:eastAsia="ru-RU"/>
              </w:rPr>
              <w:t> </w:t>
            </w:r>
          </w:p>
        </w:tc>
        <w:tc>
          <w:tcPr>
            <w:tcW w:w="638" w:type="dxa"/>
            <w:tcBorders>
              <w:top w:val="nil"/>
              <w:left w:val="nil"/>
              <w:bottom w:val="single" w:sz="4" w:space="0" w:color="auto"/>
              <w:right w:val="single" w:sz="4" w:space="0" w:color="auto"/>
            </w:tcBorders>
            <w:shd w:val="clear" w:color="auto" w:fill="auto"/>
            <w:vAlign w:val="center"/>
          </w:tcPr>
          <w:p w14:paraId="63955150" w14:textId="2BDFFDBF" w:rsidR="004841BF" w:rsidRPr="0044156F" w:rsidRDefault="00283B57"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91,6</w:t>
            </w:r>
          </w:p>
        </w:tc>
        <w:tc>
          <w:tcPr>
            <w:tcW w:w="706" w:type="dxa"/>
            <w:tcBorders>
              <w:top w:val="nil"/>
              <w:left w:val="nil"/>
              <w:bottom w:val="single" w:sz="4" w:space="0" w:color="auto"/>
              <w:right w:val="single" w:sz="4" w:space="0" w:color="auto"/>
            </w:tcBorders>
            <w:shd w:val="clear" w:color="auto" w:fill="auto"/>
            <w:vAlign w:val="center"/>
          </w:tcPr>
          <w:p w14:paraId="725D4985" w14:textId="4B165EEE" w:rsidR="004841BF" w:rsidRPr="0044156F" w:rsidRDefault="00283B57"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87,8</w:t>
            </w:r>
          </w:p>
        </w:tc>
        <w:tc>
          <w:tcPr>
            <w:tcW w:w="1032" w:type="dxa"/>
            <w:tcBorders>
              <w:top w:val="nil"/>
              <w:left w:val="nil"/>
              <w:bottom w:val="single" w:sz="4" w:space="0" w:color="auto"/>
              <w:right w:val="single" w:sz="4" w:space="0" w:color="auto"/>
            </w:tcBorders>
            <w:shd w:val="clear" w:color="auto" w:fill="auto"/>
            <w:vAlign w:val="center"/>
            <w:hideMark/>
          </w:tcPr>
          <w:p w14:paraId="7FDA5CE3" w14:textId="2F7B7D1C" w:rsidR="004841BF" w:rsidRPr="0044156F" w:rsidRDefault="005B4D68"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97 363,5</w:t>
            </w:r>
            <w:r w:rsidR="004841BF" w:rsidRPr="0044156F">
              <w:rPr>
                <w:rFonts w:ascii="Times New Roman" w:eastAsia="Times New Roman" w:hAnsi="Times New Roman" w:cs="Times New Roman"/>
                <w:b/>
                <w:bCs/>
                <w:color w:val="000000"/>
                <w:spacing w:val="-4"/>
                <w:w w:val="98"/>
                <w:sz w:val="18"/>
                <w:szCs w:val="18"/>
                <w:lang w:eastAsia="ru-RU"/>
              </w:rPr>
              <w:t> </w:t>
            </w:r>
          </w:p>
        </w:tc>
        <w:tc>
          <w:tcPr>
            <w:tcW w:w="486" w:type="dxa"/>
            <w:tcBorders>
              <w:top w:val="nil"/>
              <w:left w:val="nil"/>
              <w:bottom w:val="single" w:sz="4" w:space="0" w:color="auto"/>
              <w:right w:val="single" w:sz="4" w:space="0" w:color="auto"/>
            </w:tcBorders>
            <w:shd w:val="clear" w:color="auto" w:fill="auto"/>
            <w:vAlign w:val="center"/>
            <w:hideMark/>
          </w:tcPr>
          <w:p w14:paraId="772A6E1E" w14:textId="3444A26F" w:rsidR="004841BF" w:rsidRPr="0044156F" w:rsidRDefault="00283B57"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103,7</w:t>
            </w:r>
          </w:p>
        </w:tc>
        <w:tc>
          <w:tcPr>
            <w:tcW w:w="1024" w:type="dxa"/>
            <w:tcBorders>
              <w:top w:val="nil"/>
              <w:left w:val="nil"/>
              <w:bottom w:val="single" w:sz="4" w:space="0" w:color="auto"/>
              <w:right w:val="single" w:sz="4" w:space="0" w:color="auto"/>
            </w:tcBorders>
            <w:shd w:val="clear" w:color="auto" w:fill="auto"/>
            <w:vAlign w:val="center"/>
            <w:hideMark/>
          </w:tcPr>
          <w:p w14:paraId="31CF6644" w14:textId="58EED660" w:rsidR="004841BF" w:rsidRPr="0044156F" w:rsidRDefault="005B4D68"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101 883,4</w:t>
            </w:r>
          </w:p>
        </w:tc>
        <w:tc>
          <w:tcPr>
            <w:tcW w:w="636" w:type="dxa"/>
            <w:tcBorders>
              <w:top w:val="nil"/>
              <w:left w:val="nil"/>
              <w:bottom w:val="single" w:sz="4" w:space="0" w:color="auto"/>
              <w:right w:val="single" w:sz="4" w:space="0" w:color="auto"/>
            </w:tcBorders>
            <w:shd w:val="clear" w:color="auto" w:fill="auto"/>
            <w:vAlign w:val="center"/>
            <w:hideMark/>
          </w:tcPr>
          <w:p w14:paraId="7C9311CC" w14:textId="48184B39" w:rsidR="004841BF" w:rsidRPr="0044156F" w:rsidRDefault="00283B57" w:rsidP="00EB1281">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104,6</w:t>
            </w:r>
          </w:p>
        </w:tc>
      </w:tr>
      <w:tr w:rsidR="00283B57" w:rsidRPr="00B3668E" w14:paraId="4F45F998" w14:textId="77777777" w:rsidTr="00352D19">
        <w:trPr>
          <w:trHeight w:val="559"/>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19148F6D" w14:textId="77777777" w:rsidR="00283B57" w:rsidRPr="00B3668E" w:rsidRDefault="00283B57" w:rsidP="00283B5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налоговые и неналоговые</w:t>
            </w:r>
          </w:p>
        </w:tc>
        <w:tc>
          <w:tcPr>
            <w:tcW w:w="1014" w:type="dxa"/>
            <w:tcBorders>
              <w:top w:val="single" w:sz="4" w:space="0" w:color="auto"/>
              <w:left w:val="single" w:sz="4" w:space="0" w:color="AEAAAA"/>
              <w:bottom w:val="single" w:sz="4" w:space="0" w:color="auto"/>
              <w:right w:val="single" w:sz="4" w:space="0" w:color="auto"/>
            </w:tcBorders>
            <w:shd w:val="clear" w:color="000000" w:fill="FFFFFF"/>
            <w:noWrap/>
            <w:vAlign w:val="bottom"/>
            <w:hideMark/>
          </w:tcPr>
          <w:p w14:paraId="44CF140D" w14:textId="15563C39" w:rsidR="00283B57" w:rsidRPr="00836754"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836754">
              <w:rPr>
                <w:rFonts w:ascii="Times New Roman" w:eastAsia="Times New Roman" w:hAnsi="Times New Roman" w:cs="Times New Roman"/>
                <w:spacing w:val="-4"/>
                <w:w w:val="98"/>
                <w:sz w:val="18"/>
                <w:szCs w:val="18"/>
                <w:lang w:eastAsia="ru-RU"/>
              </w:rPr>
              <w:t>64 988,9 </w:t>
            </w:r>
          </w:p>
        </w:tc>
        <w:tc>
          <w:tcPr>
            <w:tcW w:w="10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10D30" w14:textId="4AC8E430" w:rsidR="00283B57" w:rsidRPr="00A21A6A"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A21A6A">
              <w:rPr>
                <w:rFonts w:ascii="Times New Roman" w:eastAsia="Times New Roman" w:hAnsi="Times New Roman" w:cs="Times New Roman"/>
                <w:spacing w:val="-4"/>
                <w:w w:val="98"/>
                <w:sz w:val="18"/>
                <w:szCs w:val="18"/>
                <w:lang w:eastAsia="ru-RU"/>
              </w:rPr>
              <w:t>70 432,2 </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3DBCD" w14:textId="68CCD3A8" w:rsidR="00283B57" w:rsidRPr="00A21A6A"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A21A6A">
              <w:rPr>
                <w:rFonts w:ascii="Times New Roman" w:eastAsia="Times New Roman" w:hAnsi="Times New Roman" w:cs="Times New Roman"/>
                <w:spacing w:val="-4"/>
                <w:w w:val="98"/>
                <w:sz w:val="18"/>
                <w:szCs w:val="18"/>
                <w:lang w:eastAsia="ru-RU"/>
              </w:rPr>
              <w:t>75 342,8 </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3440DC" w14:textId="78B17197" w:rsidR="00283B57" w:rsidRPr="000F4171" w:rsidRDefault="00283B57" w:rsidP="00283B57">
            <w:pPr>
              <w:spacing w:after="0" w:line="240" w:lineRule="auto"/>
              <w:ind w:left="-113" w:right="-68"/>
              <w:jc w:val="right"/>
              <w:rPr>
                <w:rFonts w:ascii="Times New Roman" w:eastAsia="Times New Roman" w:hAnsi="Times New Roman" w:cs="Times New Roman"/>
                <w:spacing w:val="-4"/>
                <w:w w:val="98"/>
                <w:sz w:val="18"/>
                <w:szCs w:val="18"/>
                <w:highlight w:val="yellow"/>
                <w:lang w:eastAsia="ru-RU"/>
              </w:rPr>
            </w:pPr>
            <w:r w:rsidRPr="005B4D68">
              <w:rPr>
                <w:rFonts w:ascii="Times New Roman" w:eastAsia="Times New Roman" w:hAnsi="Times New Roman" w:cs="Times New Roman"/>
                <w:spacing w:val="-4"/>
                <w:w w:val="98"/>
                <w:sz w:val="18"/>
                <w:szCs w:val="18"/>
                <w:lang w:eastAsia="ru-RU"/>
              </w:rPr>
              <w:t>79 537,3 </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8F54A" w14:textId="15898D43"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bCs/>
                <w:color w:val="000000"/>
                <w:spacing w:val="-4"/>
                <w:w w:val="98"/>
                <w:sz w:val="18"/>
                <w:szCs w:val="18"/>
                <w:lang w:eastAsia="ru-RU"/>
              </w:rPr>
              <w:t>112,9</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6E8A8" w14:textId="7BCC1F23"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bCs/>
                <w:color w:val="000000"/>
                <w:spacing w:val="-4"/>
                <w:w w:val="98"/>
                <w:sz w:val="18"/>
                <w:szCs w:val="18"/>
                <w:lang w:eastAsia="ru-RU"/>
              </w:rPr>
              <w:t>105,6</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84788" w14:textId="2165041C" w:rsidR="00283B57" w:rsidRPr="0044156F"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84 502,3 </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CDF5B" w14:textId="1E187987"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bCs/>
                <w:color w:val="000000"/>
                <w:spacing w:val="-4"/>
                <w:w w:val="98"/>
                <w:sz w:val="18"/>
                <w:szCs w:val="18"/>
                <w:lang w:eastAsia="ru-RU"/>
              </w:rPr>
              <w:t>106,2</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A193AE" w14:textId="532C7394" w:rsidR="00283B57" w:rsidRPr="0044156F"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89 783,3 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B4A16" w14:textId="35C938E4"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bCs/>
                <w:color w:val="000000"/>
                <w:spacing w:val="-4"/>
                <w:w w:val="98"/>
                <w:sz w:val="18"/>
                <w:szCs w:val="18"/>
                <w:lang w:eastAsia="ru-RU"/>
              </w:rPr>
              <w:t>106,2</w:t>
            </w:r>
          </w:p>
        </w:tc>
      </w:tr>
      <w:tr w:rsidR="00283B57" w:rsidRPr="00B3668E" w14:paraId="71538628" w14:textId="77777777" w:rsidTr="00352D19">
        <w:trPr>
          <w:trHeight w:val="559"/>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4A85209F" w14:textId="77777777" w:rsidR="00283B57" w:rsidRPr="00B3668E" w:rsidRDefault="00283B57" w:rsidP="00283B5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безвозмездные поступления</w:t>
            </w:r>
          </w:p>
        </w:tc>
        <w:tc>
          <w:tcPr>
            <w:tcW w:w="1014" w:type="dxa"/>
            <w:tcBorders>
              <w:top w:val="single" w:sz="4" w:space="0" w:color="auto"/>
              <w:left w:val="single" w:sz="4" w:space="0" w:color="AEAAAA"/>
              <w:bottom w:val="single" w:sz="4" w:space="0" w:color="auto"/>
              <w:right w:val="single" w:sz="4" w:space="0" w:color="auto"/>
            </w:tcBorders>
            <w:shd w:val="clear" w:color="000000" w:fill="FFFFFF"/>
            <w:noWrap/>
            <w:vAlign w:val="bottom"/>
            <w:hideMark/>
          </w:tcPr>
          <w:p w14:paraId="70415CE2" w14:textId="4063D615" w:rsidR="00283B57" w:rsidRPr="00836754"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836754">
              <w:rPr>
                <w:rFonts w:ascii="Times New Roman" w:eastAsia="Times New Roman" w:hAnsi="Times New Roman" w:cs="Times New Roman"/>
                <w:spacing w:val="-4"/>
                <w:w w:val="98"/>
                <w:sz w:val="18"/>
                <w:szCs w:val="18"/>
                <w:lang w:eastAsia="ru-RU"/>
              </w:rPr>
              <w:t>29 371,2 </w:t>
            </w:r>
          </w:p>
        </w:tc>
        <w:tc>
          <w:tcPr>
            <w:tcW w:w="10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95443D" w14:textId="25498EC6" w:rsidR="00283B57" w:rsidRPr="00A21A6A"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A21A6A">
              <w:rPr>
                <w:rFonts w:ascii="Times New Roman" w:eastAsia="Times New Roman" w:hAnsi="Times New Roman" w:cs="Times New Roman"/>
                <w:spacing w:val="-4"/>
                <w:w w:val="98"/>
                <w:sz w:val="18"/>
                <w:szCs w:val="18"/>
                <w:lang w:eastAsia="ru-RU"/>
              </w:rPr>
              <w:t>32 017,6 </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78EA1" w14:textId="6D361BA4" w:rsidR="00283B57" w:rsidRPr="00A21A6A"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A21A6A">
              <w:rPr>
                <w:rFonts w:ascii="Times New Roman" w:eastAsia="Times New Roman" w:hAnsi="Times New Roman" w:cs="Times New Roman"/>
                <w:spacing w:val="-4"/>
                <w:w w:val="98"/>
                <w:sz w:val="18"/>
                <w:szCs w:val="18"/>
                <w:lang w:eastAsia="ru-RU"/>
              </w:rPr>
              <w:t>31 547,9 </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D7B8B6" w14:textId="45BD507B" w:rsidR="00283B57" w:rsidRPr="000F4171" w:rsidRDefault="00283B57" w:rsidP="00283B57">
            <w:pPr>
              <w:spacing w:after="0" w:line="240" w:lineRule="auto"/>
              <w:ind w:left="-113" w:right="-68"/>
              <w:jc w:val="right"/>
              <w:rPr>
                <w:rFonts w:ascii="Times New Roman" w:eastAsia="Times New Roman" w:hAnsi="Times New Roman" w:cs="Times New Roman"/>
                <w:spacing w:val="-4"/>
                <w:w w:val="98"/>
                <w:sz w:val="18"/>
                <w:szCs w:val="18"/>
                <w:highlight w:val="yellow"/>
                <w:lang w:eastAsia="ru-RU"/>
              </w:rPr>
            </w:pPr>
            <w:r w:rsidRPr="005B4D68">
              <w:rPr>
                <w:rFonts w:ascii="Times New Roman" w:eastAsia="Times New Roman" w:hAnsi="Times New Roman" w:cs="Times New Roman"/>
                <w:spacing w:val="-4"/>
                <w:w w:val="98"/>
                <w:sz w:val="18"/>
                <w:szCs w:val="18"/>
                <w:lang w:eastAsia="ru-RU"/>
              </w:rPr>
              <w:t>14 346,7</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612A2" w14:textId="56B46BEC"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44,8</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595A3" w14:textId="40B6E8B8"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45,5</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A5E50" w14:textId="345C83AC" w:rsidR="00283B57" w:rsidRPr="0044156F"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12 861,2 </w:t>
            </w: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10393" w14:textId="6A214AFA"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89,6</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2D015" w14:textId="010C4751" w:rsidR="00283B57" w:rsidRPr="0044156F" w:rsidRDefault="00283B57" w:rsidP="00283B57">
            <w:pPr>
              <w:spacing w:after="0" w:line="240" w:lineRule="auto"/>
              <w:ind w:left="-113" w:right="-68"/>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12 100,1 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57983" w14:textId="149ED1B6" w:rsidR="00283B57" w:rsidRPr="0044156F" w:rsidRDefault="00283B57" w:rsidP="00283B5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94,1</w:t>
            </w:r>
          </w:p>
        </w:tc>
      </w:tr>
      <w:tr w:rsidR="00283B57" w:rsidRPr="00B3668E" w14:paraId="5BFB272E" w14:textId="77777777" w:rsidTr="00352D19">
        <w:trPr>
          <w:trHeight w:val="328"/>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C4E9821" w14:textId="77777777" w:rsidR="00283B57" w:rsidRPr="00B3668E" w:rsidRDefault="00283B57" w:rsidP="00283B57">
            <w:pPr>
              <w:spacing w:after="0" w:line="240" w:lineRule="auto"/>
              <w:ind w:left="-113" w:right="-113"/>
              <w:rPr>
                <w:rFonts w:ascii="Times New Roman" w:eastAsia="Times New Roman" w:hAnsi="Times New Roman" w:cs="Times New Roman"/>
                <w:b/>
                <w:bCs/>
                <w:color w:val="000000"/>
                <w:spacing w:val="-4"/>
                <w:w w:val="98"/>
                <w:sz w:val="18"/>
                <w:szCs w:val="18"/>
                <w:lang w:eastAsia="ru-RU"/>
              </w:rPr>
            </w:pPr>
            <w:r w:rsidRPr="00B3668E">
              <w:rPr>
                <w:rFonts w:ascii="Times New Roman" w:eastAsia="Times New Roman" w:hAnsi="Times New Roman" w:cs="Times New Roman"/>
                <w:b/>
                <w:bCs/>
                <w:color w:val="000000"/>
                <w:spacing w:val="-4"/>
                <w:w w:val="98"/>
                <w:sz w:val="18"/>
                <w:szCs w:val="18"/>
                <w:lang w:eastAsia="ru-RU"/>
              </w:rPr>
              <w:t>Расходы,</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E2EFD88" w14:textId="60DFBF8F" w:rsidR="00283B57" w:rsidRPr="00836754"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836754">
              <w:rPr>
                <w:rFonts w:ascii="Times New Roman" w:eastAsia="Times New Roman" w:hAnsi="Times New Roman" w:cs="Times New Roman"/>
                <w:b/>
                <w:bCs/>
                <w:color w:val="000000"/>
                <w:spacing w:val="-4"/>
                <w:w w:val="98"/>
                <w:sz w:val="18"/>
                <w:szCs w:val="18"/>
                <w:lang w:eastAsia="ru-RU"/>
              </w:rPr>
              <w:t>96 189,1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BC1388D" w14:textId="1A12DCB1" w:rsidR="00283B57" w:rsidRPr="00836754"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836754">
              <w:rPr>
                <w:rFonts w:ascii="Times New Roman" w:eastAsia="Times New Roman" w:hAnsi="Times New Roman" w:cs="Times New Roman"/>
                <w:b/>
                <w:bCs/>
                <w:color w:val="000000"/>
                <w:spacing w:val="-4"/>
                <w:w w:val="98"/>
                <w:sz w:val="18"/>
                <w:szCs w:val="18"/>
                <w:lang w:eastAsia="ru-RU"/>
              </w:rPr>
              <w:t>109 361,6</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4EA35383" w14:textId="3BFFDDDF" w:rsidR="00283B57" w:rsidRPr="00455350"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107 535,</w:t>
            </w:r>
            <w:r>
              <w:rPr>
                <w:rFonts w:ascii="Times New Roman" w:eastAsia="Times New Roman" w:hAnsi="Times New Roman" w:cs="Times New Roman"/>
                <w:b/>
                <w:bCs/>
                <w:color w:val="000000"/>
                <w:spacing w:val="-4"/>
                <w:w w:val="98"/>
                <w:sz w:val="18"/>
                <w:szCs w:val="18"/>
                <w:lang w:eastAsia="ru-RU"/>
              </w:rPr>
              <w:t>4</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6AC79DB5" w14:textId="4EC24F93" w:rsidR="00283B57" w:rsidRPr="000F4171"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highlight w:val="yellow"/>
                <w:lang w:eastAsia="ru-RU"/>
              </w:rPr>
            </w:pPr>
            <w:r w:rsidRPr="00EB1281">
              <w:rPr>
                <w:rFonts w:ascii="Times New Roman" w:eastAsia="Times New Roman" w:hAnsi="Times New Roman" w:cs="Times New Roman"/>
                <w:b/>
                <w:bCs/>
                <w:color w:val="000000"/>
                <w:spacing w:val="-4"/>
                <w:w w:val="98"/>
                <w:sz w:val="18"/>
                <w:szCs w:val="18"/>
                <w:lang w:eastAsia="ru-RU"/>
              </w:rPr>
              <w:t>97 344,4</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06FA0FC9" w14:textId="1FBAD1D1"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89,0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423C3C34" w14:textId="4962B91D"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90,5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1BDE7AD9" w14:textId="634D99C8"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97 708,0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14:paraId="411B9626" w14:textId="0631FBCD"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100,4</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5A5BF5F0" w14:textId="62684EC3"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102 124,1</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14F6D2A1" w14:textId="73AE3639" w:rsidR="00283B57" w:rsidRPr="0044156F" w:rsidRDefault="00283B57" w:rsidP="00283B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104,5</w:t>
            </w:r>
          </w:p>
        </w:tc>
      </w:tr>
      <w:tr w:rsidR="00283B57" w:rsidRPr="00B3668E" w14:paraId="31E9B818" w14:textId="77777777" w:rsidTr="00352D19">
        <w:trPr>
          <w:trHeight w:val="344"/>
          <w:jc w:val="center"/>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0EB56BA" w14:textId="77777777" w:rsidR="00283B57" w:rsidRDefault="00283B57" w:rsidP="00283B5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из них:</w:t>
            </w:r>
          </w:p>
          <w:p w14:paraId="0BC8DFBD" w14:textId="7F6AE5CC" w:rsidR="00283B57" w:rsidRPr="00B3668E" w:rsidRDefault="00283B57" w:rsidP="00283B5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B3668E">
              <w:rPr>
                <w:rFonts w:ascii="Times New Roman" w:eastAsia="Times New Roman" w:hAnsi="Times New Roman" w:cs="Times New Roman"/>
                <w:color w:val="000000"/>
                <w:spacing w:val="-4"/>
                <w:w w:val="98"/>
                <w:sz w:val="18"/>
                <w:szCs w:val="18"/>
                <w:lang w:eastAsia="ru-RU"/>
              </w:rPr>
              <w:t>условно утверждаемые</w:t>
            </w:r>
          </w:p>
        </w:tc>
        <w:tc>
          <w:tcPr>
            <w:tcW w:w="1014" w:type="dxa"/>
            <w:tcBorders>
              <w:top w:val="nil"/>
              <w:left w:val="nil"/>
              <w:bottom w:val="single" w:sz="4" w:space="0" w:color="auto"/>
              <w:right w:val="single" w:sz="4" w:space="0" w:color="auto"/>
            </w:tcBorders>
            <w:shd w:val="clear" w:color="auto" w:fill="auto"/>
            <w:vAlign w:val="bottom"/>
            <w:hideMark/>
          </w:tcPr>
          <w:p w14:paraId="343C156D" w14:textId="77777777" w:rsidR="00283B57" w:rsidRPr="00836754"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836754">
              <w:rPr>
                <w:rFonts w:ascii="Times New Roman" w:eastAsia="Times New Roman" w:hAnsi="Times New Roman" w:cs="Times New Roman"/>
                <w:color w:val="000000"/>
                <w:spacing w:val="-4"/>
                <w:w w:val="98"/>
                <w:sz w:val="18"/>
                <w:szCs w:val="18"/>
                <w:lang w:eastAsia="ru-RU"/>
              </w:rPr>
              <w:t>х</w:t>
            </w:r>
          </w:p>
        </w:tc>
        <w:tc>
          <w:tcPr>
            <w:tcW w:w="1013" w:type="dxa"/>
            <w:tcBorders>
              <w:top w:val="nil"/>
              <w:left w:val="nil"/>
              <w:bottom w:val="single" w:sz="4" w:space="0" w:color="auto"/>
              <w:right w:val="single" w:sz="4" w:space="0" w:color="auto"/>
            </w:tcBorders>
            <w:shd w:val="clear" w:color="auto" w:fill="auto"/>
            <w:vAlign w:val="bottom"/>
            <w:hideMark/>
          </w:tcPr>
          <w:p w14:paraId="000EC02E" w14:textId="77777777" w:rsidR="00283B57" w:rsidRPr="00455350"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55350">
              <w:rPr>
                <w:rFonts w:ascii="Times New Roman" w:eastAsia="Times New Roman" w:hAnsi="Times New Roman" w:cs="Times New Roman"/>
                <w:color w:val="000000"/>
                <w:spacing w:val="-4"/>
                <w:w w:val="98"/>
                <w:sz w:val="18"/>
                <w:szCs w:val="18"/>
                <w:lang w:eastAsia="ru-RU"/>
              </w:rPr>
              <w:t>х</w:t>
            </w:r>
          </w:p>
        </w:tc>
        <w:tc>
          <w:tcPr>
            <w:tcW w:w="1014" w:type="dxa"/>
            <w:tcBorders>
              <w:top w:val="nil"/>
              <w:left w:val="nil"/>
              <w:bottom w:val="single" w:sz="4" w:space="0" w:color="auto"/>
              <w:right w:val="single" w:sz="4" w:space="0" w:color="auto"/>
            </w:tcBorders>
            <w:shd w:val="clear" w:color="auto" w:fill="auto"/>
            <w:vAlign w:val="bottom"/>
            <w:hideMark/>
          </w:tcPr>
          <w:p w14:paraId="50EF666C" w14:textId="77777777" w:rsidR="00283B57" w:rsidRPr="00455350"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55350">
              <w:rPr>
                <w:rFonts w:ascii="Times New Roman" w:eastAsia="Times New Roman" w:hAnsi="Times New Roman" w:cs="Times New Roman"/>
                <w:color w:val="000000"/>
                <w:spacing w:val="-4"/>
                <w:w w:val="98"/>
                <w:sz w:val="18"/>
                <w:szCs w:val="18"/>
                <w:lang w:eastAsia="ru-RU"/>
              </w:rPr>
              <w:t>х</w:t>
            </w:r>
          </w:p>
        </w:tc>
        <w:tc>
          <w:tcPr>
            <w:tcW w:w="979" w:type="dxa"/>
            <w:tcBorders>
              <w:top w:val="nil"/>
              <w:left w:val="nil"/>
              <w:bottom w:val="single" w:sz="4" w:space="0" w:color="auto"/>
              <w:right w:val="single" w:sz="4" w:space="0" w:color="auto"/>
            </w:tcBorders>
            <w:shd w:val="clear" w:color="auto" w:fill="auto"/>
            <w:vAlign w:val="bottom"/>
            <w:hideMark/>
          </w:tcPr>
          <w:p w14:paraId="0B39228B" w14:textId="77777777" w:rsidR="00283B57" w:rsidRPr="00455350"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55350">
              <w:rPr>
                <w:rFonts w:ascii="Times New Roman" w:eastAsia="Times New Roman" w:hAnsi="Times New Roman" w:cs="Times New Roman"/>
                <w:color w:val="000000"/>
                <w:spacing w:val="-4"/>
                <w:w w:val="98"/>
                <w:sz w:val="18"/>
                <w:szCs w:val="18"/>
                <w:lang w:eastAsia="ru-RU"/>
              </w:rPr>
              <w:t>х</w:t>
            </w:r>
          </w:p>
        </w:tc>
        <w:tc>
          <w:tcPr>
            <w:tcW w:w="638" w:type="dxa"/>
            <w:tcBorders>
              <w:top w:val="nil"/>
              <w:left w:val="nil"/>
              <w:bottom w:val="single" w:sz="4" w:space="0" w:color="auto"/>
              <w:right w:val="single" w:sz="4" w:space="0" w:color="auto"/>
            </w:tcBorders>
            <w:shd w:val="clear" w:color="auto" w:fill="auto"/>
            <w:vAlign w:val="bottom"/>
            <w:hideMark/>
          </w:tcPr>
          <w:p w14:paraId="29EEDF6D" w14:textId="77777777" w:rsidR="00283B57" w:rsidRPr="0044156F"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х</w:t>
            </w:r>
          </w:p>
        </w:tc>
        <w:tc>
          <w:tcPr>
            <w:tcW w:w="706" w:type="dxa"/>
            <w:tcBorders>
              <w:top w:val="nil"/>
              <w:left w:val="nil"/>
              <w:bottom w:val="single" w:sz="4" w:space="0" w:color="auto"/>
              <w:right w:val="single" w:sz="4" w:space="0" w:color="auto"/>
            </w:tcBorders>
            <w:shd w:val="clear" w:color="auto" w:fill="auto"/>
            <w:vAlign w:val="bottom"/>
            <w:hideMark/>
          </w:tcPr>
          <w:p w14:paraId="4BFE2387" w14:textId="77777777" w:rsidR="00283B57" w:rsidRPr="0044156F"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х</w:t>
            </w:r>
          </w:p>
        </w:tc>
        <w:tc>
          <w:tcPr>
            <w:tcW w:w="1032" w:type="dxa"/>
            <w:tcBorders>
              <w:top w:val="single" w:sz="4" w:space="0" w:color="AEAAAA"/>
              <w:left w:val="single" w:sz="4" w:space="0" w:color="AEAAAA"/>
              <w:bottom w:val="single" w:sz="4" w:space="0" w:color="AEAAAA"/>
              <w:right w:val="single" w:sz="4" w:space="0" w:color="AEAAAA"/>
            </w:tcBorders>
            <w:shd w:val="clear" w:color="000000" w:fill="FFFFFF"/>
            <w:noWrap/>
            <w:vAlign w:val="bottom"/>
            <w:hideMark/>
          </w:tcPr>
          <w:p w14:paraId="6FA5BE18" w14:textId="1142CCF8" w:rsidR="00283B57" w:rsidRPr="0044156F" w:rsidRDefault="00283B57" w:rsidP="00283B57">
            <w:pPr>
              <w:spacing w:after="0" w:line="240" w:lineRule="auto"/>
              <w:ind w:left="-57" w:right="-57"/>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2 600,0</w:t>
            </w:r>
          </w:p>
        </w:tc>
        <w:tc>
          <w:tcPr>
            <w:tcW w:w="486" w:type="dxa"/>
            <w:tcBorders>
              <w:top w:val="nil"/>
              <w:left w:val="single" w:sz="4" w:space="0" w:color="auto"/>
              <w:bottom w:val="single" w:sz="4" w:space="0" w:color="auto"/>
              <w:right w:val="single" w:sz="4" w:space="0" w:color="auto"/>
            </w:tcBorders>
            <w:shd w:val="clear" w:color="auto" w:fill="auto"/>
            <w:vAlign w:val="bottom"/>
            <w:hideMark/>
          </w:tcPr>
          <w:p w14:paraId="447A8692" w14:textId="77777777" w:rsidR="00283B57" w:rsidRPr="0044156F"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х</w:t>
            </w:r>
          </w:p>
        </w:tc>
        <w:tc>
          <w:tcPr>
            <w:tcW w:w="1024" w:type="dxa"/>
            <w:tcBorders>
              <w:top w:val="single" w:sz="4" w:space="0" w:color="AEAAAA"/>
              <w:left w:val="single" w:sz="4" w:space="0" w:color="AEAAAA"/>
              <w:bottom w:val="single" w:sz="4" w:space="0" w:color="AEAAAA"/>
              <w:right w:val="single" w:sz="4" w:space="0" w:color="AEAAAA"/>
            </w:tcBorders>
            <w:shd w:val="clear" w:color="000000" w:fill="FFFFFF"/>
            <w:noWrap/>
            <w:vAlign w:val="bottom"/>
            <w:hideMark/>
          </w:tcPr>
          <w:p w14:paraId="2B895F97" w14:textId="759AA205" w:rsidR="00283B57" w:rsidRPr="0044156F" w:rsidRDefault="00283B57" w:rsidP="00283B57">
            <w:pPr>
              <w:spacing w:after="0" w:line="240" w:lineRule="auto"/>
              <w:ind w:left="-57" w:right="-57"/>
              <w:jc w:val="right"/>
              <w:rPr>
                <w:rFonts w:ascii="Times New Roman" w:eastAsia="Times New Roman" w:hAnsi="Times New Roman" w:cs="Times New Roman"/>
                <w:spacing w:val="-4"/>
                <w:w w:val="98"/>
                <w:sz w:val="18"/>
                <w:szCs w:val="18"/>
                <w:lang w:eastAsia="ru-RU"/>
              </w:rPr>
            </w:pPr>
            <w:r w:rsidRPr="0044156F">
              <w:rPr>
                <w:rFonts w:ascii="Times New Roman" w:eastAsia="Times New Roman" w:hAnsi="Times New Roman" w:cs="Times New Roman"/>
                <w:spacing w:val="-4"/>
                <w:w w:val="98"/>
                <w:sz w:val="18"/>
                <w:szCs w:val="18"/>
                <w:lang w:eastAsia="ru-RU"/>
              </w:rPr>
              <w:t>6 000,0 </w:t>
            </w:r>
          </w:p>
        </w:tc>
        <w:tc>
          <w:tcPr>
            <w:tcW w:w="636" w:type="dxa"/>
            <w:tcBorders>
              <w:top w:val="nil"/>
              <w:left w:val="single" w:sz="4" w:space="0" w:color="auto"/>
              <w:bottom w:val="single" w:sz="4" w:space="0" w:color="auto"/>
              <w:right w:val="single" w:sz="4" w:space="0" w:color="auto"/>
            </w:tcBorders>
            <w:shd w:val="clear" w:color="auto" w:fill="auto"/>
            <w:vAlign w:val="bottom"/>
            <w:hideMark/>
          </w:tcPr>
          <w:p w14:paraId="5024E172" w14:textId="77777777" w:rsidR="00283B57" w:rsidRPr="0044156F" w:rsidRDefault="00283B57" w:rsidP="00283B57">
            <w:pPr>
              <w:spacing w:after="0" w:line="240" w:lineRule="auto"/>
              <w:ind w:left="-57" w:right="-57"/>
              <w:jc w:val="right"/>
              <w:rPr>
                <w:rFonts w:ascii="Times New Roman" w:eastAsia="Times New Roman" w:hAnsi="Times New Roman" w:cs="Times New Roman"/>
                <w:color w:val="000000"/>
                <w:spacing w:val="-4"/>
                <w:w w:val="98"/>
                <w:sz w:val="18"/>
                <w:szCs w:val="18"/>
                <w:lang w:eastAsia="ru-RU"/>
              </w:rPr>
            </w:pPr>
            <w:r w:rsidRPr="0044156F">
              <w:rPr>
                <w:rFonts w:ascii="Times New Roman" w:eastAsia="Times New Roman" w:hAnsi="Times New Roman" w:cs="Times New Roman"/>
                <w:color w:val="000000"/>
                <w:spacing w:val="-4"/>
                <w:w w:val="98"/>
                <w:sz w:val="18"/>
                <w:szCs w:val="18"/>
                <w:lang w:eastAsia="ru-RU"/>
              </w:rPr>
              <w:t>207,7</w:t>
            </w:r>
          </w:p>
        </w:tc>
      </w:tr>
      <w:tr w:rsidR="00283B57" w:rsidRPr="00B3668E" w14:paraId="6C9622F9" w14:textId="77777777" w:rsidTr="00352D19">
        <w:trPr>
          <w:trHeight w:val="302"/>
          <w:jc w:val="center"/>
        </w:trPr>
        <w:tc>
          <w:tcPr>
            <w:tcW w:w="1152" w:type="dxa"/>
            <w:tcBorders>
              <w:top w:val="nil"/>
              <w:left w:val="single" w:sz="4" w:space="0" w:color="auto"/>
              <w:right w:val="single" w:sz="4" w:space="0" w:color="auto"/>
            </w:tcBorders>
            <w:shd w:val="clear" w:color="auto" w:fill="auto"/>
            <w:vAlign w:val="center"/>
            <w:hideMark/>
          </w:tcPr>
          <w:p w14:paraId="6E4836D9" w14:textId="221BD7CA" w:rsidR="00283B57" w:rsidRPr="00B3668E" w:rsidRDefault="00283B57" w:rsidP="00283B57">
            <w:pPr>
              <w:spacing w:after="0" w:line="240" w:lineRule="auto"/>
              <w:ind w:left="-57" w:right="-57"/>
              <w:rPr>
                <w:rFonts w:ascii="Times New Roman" w:eastAsia="Times New Roman" w:hAnsi="Times New Roman" w:cs="Times New Roman"/>
                <w:b/>
                <w:bCs/>
                <w:color w:val="000000"/>
                <w:spacing w:val="-4"/>
                <w:w w:val="98"/>
                <w:sz w:val="18"/>
                <w:szCs w:val="18"/>
                <w:lang w:eastAsia="ru-RU"/>
              </w:rPr>
            </w:pPr>
            <w:r w:rsidRPr="00B3668E">
              <w:rPr>
                <w:rFonts w:ascii="Times New Roman" w:eastAsia="Times New Roman" w:hAnsi="Times New Roman" w:cs="Times New Roman"/>
                <w:b/>
                <w:bCs/>
                <w:color w:val="000000"/>
                <w:spacing w:val="-4"/>
                <w:w w:val="98"/>
                <w:sz w:val="18"/>
                <w:szCs w:val="18"/>
                <w:lang w:eastAsia="ru-RU"/>
              </w:rPr>
              <w:t xml:space="preserve">Дефицит </w:t>
            </w:r>
            <w:r w:rsidR="007B0257">
              <w:rPr>
                <w:rFonts w:ascii="Times New Roman" w:eastAsia="Times New Roman" w:hAnsi="Times New Roman" w:cs="Times New Roman"/>
                <w:b/>
                <w:bCs/>
                <w:color w:val="000000"/>
                <w:spacing w:val="-4"/>
                <w:w w:val="98"/>
                <w:sz w:val="18"/>
                <w:szCs w:val="18"/>
                <w:lang w:eastAsia="ru-RU"/>
              </w:rPr>
              <w:t>/</w:t>
            </w:r>
          </w:p>
        </w:tc>
        <w:tc>
          <w:tcPr>
            <w:tcW w:w="1014" w:type="dxa"/>
            <w:tcBorders>
              <w:top w:val="nil"/>
              <w:left w:val="nil"/>
              <w:right w:val="single" w:sz="4" w:space="0" w:color="auto"/>
            </w:tcBorders>
            <w:shd w:val="clear" w:color="auto" w:fill="auto"/>
            <w:vAlign w:val="bottom"/>
          </w:tcPr>
          <w:p w14:paraId="636D23A2" w14:textId="6C189280" w:rsidR="00283B57" w:rsidRPr="00836754"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836754">
              <w:rPr>
                <w:rFonts w:ascii="Times New Roman" w:eastAsia="Times New Roman" w:hAnsi="Times New Roman" w:cs="Times New Roman"/>
                <w:b/>
                <w:bCs/>
                <w:color w:val="000000"/>
                <w:spacing w:val="-4"/>
                <w:w w:val="98"/>
                <w:sz w:val="18"/>
                <w:szCs w:val="18"/>
                <w:lang w:eastAsia="ru-RU"/>
              </w:rPr>
              <w:t>1 829,0</w:t>
            </w:r>
          </w:p>
        </w:tc>
        <w:tc>
          <w:tcPr>
            <w:tcW w:w="1013" w:type="dxa"/>
            <w:tcBorders>
              <w:top w:val="nil"/>
              <w:left w:val="nil"/>
              <w:right w:val="single" w:sz="4" w:space="0" w:color="auto"/>
            </w:tcBorders>
            <w:shd w:val="clear" w:color="auto" w:fill="auto"/>
            <w:vAlign w:val="bottom"/>
            <w:hideMark/>
          </w:tcPr>
          <w:p w14:paraId="6CFCE0FB" w14:textId="770BDF60" w:rsidR="00283B57" w:rsidRPr="00455350"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6 911,8</w:t>
            </w:r>
          </w:p>
        </w:tc>
        <w:tc>
          <w:tcPr>
            <w:tcW w:w="1014" w:type="dxa"/>
            <w:tcBorders>
              <w:top w:val="nil"/>
              <w:left w:val="nil"/>
              <w:right w:val="single" w:sz="4" w:space="0" w:color="auto"/>
            </w:tcBorders>
            <w:shd w:val="clear" w:color="auto" w:fill="auto"/>
            <w:vAlign w:val="bottom"/>
            <w:hideMark/>
          </w:tcPr>
          <w:p w14:paraId="3C4FE2F0" w14:textId="6C896BB7" w:rsidR="00283B57" w:rsidRPr="00455350"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644</w:t>
            </w:r>
            <w:r>
              <w:rPr>
                <w:rFonts w:ascii="Times New Roman" w:eastAsia="Times New Roman" w:hAnsi="Times New Roman" w:cs="Times New Roman"/>
                <w:b/>
                <w:bCs/>
                <w:color w:val="000000"/>
                <w:spacing w:val="-4"/>
                <w:w w:val="98"/>
                <w:sz w:val="18"/>
                <w:szCs w:val="18"/>
                <w:lang w:eastAsia="ru-RU"/>
              </w:rPr>
              <w:t>,</w:t>
            </w:r>
            <w:r w:rsidRPr="00455350">
              <w:rPr>
                <w:rFonts w:ascii="Times New Roman" w:eastAsia="Times New Roman" w:hAnsi="Times New Roman" w:cs="Times New Roman"/>
                <w:b/>
                <w:bCs/>
                <w:color w:val="000000"/>
                <w:spacing w:val="-4"/>
                <w:w w:val="98"/>
                <w:sz w:val="18"/>
                <w:szCs w:val="18"/>
                <w:lang w:eastAsia="ru-RU"/>
              </w:rPr>
              <w:t>7</w:t>
            </w:r>
          </w:p>
        </w:tc>
        <w:tc>
          <w:tcPr>
            <w:tcW w:w="979" w:type="dxa"/>
            <w:tcBorders>
              <w:top w:val="nil"/>
              <w:left w:val="nil"/>
              <w:right w:val="single" w:sz="4" w:space="0" w:color="auto"/>
            </w:tcBorders>
            <w:shd w:val="clear" w:color="auto" w:fill="auto"/>
            <w:vAlign w:val="bottom"/>
            <w:hideMark/>
          </w:tcPr>
          <w:p w14:paraId="5FC1DE70" w14:textId="2AC5335F" w:rsidR="00283B57" w:rsidRPr="000F4171"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highlight w:val="yellow"/>
                <w:lang w:eastAsia="ru-RU"/>
              </w:rPr>
            </w:pPr>
            <w:r w:rsidRPr="00EB1281">
              <w:rPr>
                <w:rFonts w:ascii="Times New Roman" w:eastAsia="Times New Roman" w:hAnsi="Times New Roman" w:cs="Times New Roman"/>
                <w:b/>
                <w:bCs/>
                <w:color w:val="000000"/>
                <w:spacing w:val="-4"/>
                <w:w w:val="98"/>
                <w:sz w:val="18"/>
                <w:szCs w:val="18"/>
                <w:lang w:eastAsia="ru-RU"/>
              </w:rPr>
              <w:t>3 460,4</w:t>
            </w:r>
          </w:p>
        </w:tc>
        <w:tc>
          <w:tcPr>
            <w:tcW w:w="638" w:type="dxa"/>
            <w:tcBorders>
              <w:top w:val="nil"/>
              <w:left w:val="nil"/>
              <w:right w:val="single" w:sz="4" w:space="0" w:color="auto"/>
            </w:tcBorders>
            <w:shd w:val="clear" w:color="auto" w:fill="auto"/>
            <w:vAlign w:val="bottom"/>
            <w:hideMark/>
          </w:tcPr>
          <w:p w14:paraId="2B7F52F1" w14:textId="5F5C0D71"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50,1</w:t>
            </w:r>
          </w:p>
        </w:tc>
        <w:tc>
          <w:tcPr>
            <w:tcW w:w="706" w:type="dxa"/>
            <w:tcBorders>
              <w:top w:val="nil"/>
              <w:left w:val="nil"/>
              <w:right w:val="single" w:sz="4" w:space="0" w:color="auto"/>
            </w:tcBorders>
            <w:shd w:val="clear" w:color="auto" w:fill="auto"/>
            <w:vAlign w:val="bottom"/>
            <w:hideMark/>
          </w:tcPr>
          <w:p w14:paraId="4E9DC2BD" w14:textId="7988CCE8"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536,7</w:t>
            </w:r>
          </w:p>
        </w:tc>
        <w:tc>
          <w:tcPr>
            <w:tcW w:w="1032" w:type="dxa"/>
            <w:tcBorders>
              <w:top w:val="single" w:sz="4" w:space="0" w:color="auto"/>
              <w:left w:val="nil"/>
              <w:right w:val="single" w:sz="4" w:space="0" w:color="auto"/>
            </w:tcBorders>
            <w:shd w:val="clear" w:color="auto" w:fill="auto"/>
            <w:vAlign w:val="bottom"/>
            <w:hideMark/>
          </w:tcPr>
          <w:p w14:paraId="1544A8AD" w14:textId="4187D919"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344,5</w:t>
            </w:r>
          </w:p>
        </w:tc>
        <w:tc>
          <w:tcPr>
            <w:tcW w:w="486" w:type="dxa"/>
            <w:tcBorders>
              <w:top w:val="nil"/>
              <w:left w:val="nil"/>
              <w:right w:val="single" w:sz="4" w:space="0" w:color="auto"/>
            </w:tcBorders>
            <w:shd w:val="clear" w:color="auto" w:fill="auto"/>
            <w:vAlign w:val="bottom"/>
            <w:hideMark/>
          </w:tcPr>
          <w:p w14:paraId="0607AA6D" w14:textId="2DAD73CD"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10,0</w:t>
            </w:r>
          </w:p>
        </w:tc>
        <w:tc>
          <w:tcPr>
            <w:tcW w:w="1024" w:type="dxa"/>
            <w:tcBorders>
              <w:top w:val="single" w:sz="4" w:space="0" w:color="auto"/>
              <w:left w:val="nil"/>
              <w:right w:val="single" w:sz="4" w:space="0" w:color="auto"/>
            </w:tcBorders>
            <w:shd w:val="clear" w:color="auto" w:fill="auto"/>
            <w:vAlign w:val="bottom"/>
            <w:hideMark/>
          </w:tcPr>
          <w:p w14:paraId="6F21C633" w14:textId="0F30E1F8"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240,7</w:t>
            </w:r>
          </w:p>
        </w:tc>
        <w:tc>
          <w:tcPr>
            <w:tcW w:w="636" w:type="dxa"/>
            <w:tcBorders>
              <w:top w:val="nil"/>
              <w:left w:val="nil"/>
              <w:right w:val="single" w:sz="4" w:space="0" w:color="auto"/>
            </w:tcBorders>
            <w:shd w:val="clear" w:color="auto" w:fill="auto"/>
            <w:vAlign w:val="bottom"/>
            <w:hideMark/>
          </w:tcPr>
          <w:p w14:paraId="7DBD91FA" w14:textId="36429A5B" w:rsidR="00283B57" w:rsidRPr="0044156F" w:rsidRDefault="0044156F"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69,9</w:t>
            </w:r>
          </w:p>
        </w:tc>
      </w:tr>
      <w:tr w:rsidR="00283B57" w:rsidRPr="00B3668E" w14:paraId="0BEDD713" w14:textId="77777777" w:rsidTr="00352D19">
        <w:trPr>
          <w:trHeight w:val="328"/>
          <w:jc w:val="center"/>
        </w:trPr>
        <w:tc>
          <w:tcPr>
            <w:tcW w:w="1152" w:type="dxa"/>
            <w:tcBorders>
              <w:left w:val="single" w:sz="4" w:space="0" w:color="auto"/>
              <w:bottom w:val="single" w:sz="4" w:space="0" w:color="auto"/>
              <w:right w:val="single" w:sz="4" w:space="0" w:color="auto"/>
            </w:tcBorders>
            <w:shd w:val="clear" w:color="auto" w:fill="auto"/>
            <w:vAlign w:val="center"/>
          </w:tcPr>
          <w:p w14:paraId="2B6789DB" w14:textId="21321AE7" w:rsidR="00283B57" w:rsidRPr="00B3668E" w:rsidRDefault="00283B57" w:rsidP="00283B57">
            <w:pPr>
              <w:spacing w:after="0" w:line="240" w:lineRule="auto"/>
              <w:ind w:left="-57" w:right="-57"/>
              <w:rPr>
                <w:rFonts w:ascii="Times New Roman" w:eastAsia="Times New Roman" w:hAnsi="Times New Roman" w:cs="Times New Roman"/>
                <w:b/>
                <w:bCs/>
                <w:color w:val="000000"/>
                <w:spacing w:val="-4"/>
                <w:w w:val="98"/>
                <w:sz w:val="18"/>
                <w:szCs w:val="18"/>
                <w:lang w:eastAsia="ru-RU"/>
              </w:rPr>
            </w:pPr>
            <w:r w:rsidRPr="00B3668E">
              <w:rPr>
                <w:rFonts w:ascii="Times New Roman" w:eastAsia="Times New Roman" w:hAnsi="Times New Roman" w:cs="Times New Roman"/>
                <w:b/>
                <w:bCs/>
                <w:color w:val="000000"/>
                <w:spacing w:val="-4"/>
                <w:w w:val="98"/>
                <w:sz w:val="18"/>
                <w:szCs w:val="18"/>
                <w:lang w:eastAsia="ru-RU"/>
              </w:rPr>
              <w:t>%</w:t>
            </w:r>
          </w:p>
        </w:tc>
        <w:tc>
          <w:tcPr>
            <w:tcW w:w="1014" w:type="dxa"/>
            <w:tcBorders>
              <w:left w:val="nil"/>
              <w:bottom w:val="single" w:sz="4" w:space="0" w:color="auto"/>
              <w:right w:val="single" w:sz="4" w:space="0" w:color="auto"/>
            </w:tcBorders>
            <w:shd w:val="clear" w:color="auto" w:fill="auto"/>
            <w:vAlign w:val="bottom"/>
          </w:tcPr>
          <w:p w14:paraId="3E205486" w14:textId="05B92B25" w:rsidR="00283B57" w:rsidRPr="00836754"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836754">
              <w:rPr>
                <w:rFonts w:ascii="Times New Roman" w:eastAsia="Times New Roman" w:hAnsi="Times New Roman" w:cs="Times New Roman"/>
                <w:b/>
                <w:bCs/>
                <w:color w:val="000000"/>
                <w:spacing w:val="-4"/>
                <w:w w:val="98"/>
                <w:sz w:val="18"/>
                <w:szCs w:val="18"/>
                <w:lang w:eastAsia="ru-RU"/>
              </w:rPr>
              <w:t>2,8%</w:t>
            </w:r>
          </w:p>
        </w:tc>
        <w:tc>
          <w:tcPr>
            <w:tcW w:w="1013" w:type="dxa"/>
            <w:tcBorders>
              <w:left w:val="nil"/>
              <w:bottom w:val="single" w:sz="4" w:space="0" w:color="auto"/>
              <w:right w:val="single" w:sz="4" w:space="0" w:color="auto"/>
            </w:tcBorders>
            <w:shd w:val="clear" w:color="auto" w:fill="auto"/>
            <w:vAlign w:val="bottom"/>
          </w:tcPr>
          <w:p w14:paraId="79577AD5" w14:textId="2A7E3027" w:rsidR="00283B57" w:rsidRPr="00455350"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9,8%</w:t>
            </w:r>
          </w:p>
        </w:tc>
        <w:tc>
          <w:tcPr>
            <w:tcW w:w="1014" w:type="dxa"/>
            <w:tcBorders>
              <w:left w:val="nil"/>
              <w:bottom w:val="single" w:sz="4" w:space="0" w:color="auto"/>
              <w:right w:val="single" w:sz="4" w:space="0" w:color="auto"/>
            </w:tcBorders>
            <w:shd w:val="clear" w:color="auto" w:fill="auto"/>
            <w:vAlign w:val="bottom"/>
          </w:tcPr>
          <w:p w14:paraId="2C103BA2" w14:textId="09CB0650" w:rsidR="00283B57" w:rsidRPr="00455350"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55350">
              <w:rPr>
                <w:rFonts w:ascii="Times New Roman" w:eastAsia="Times New Roman" w:hAnsi="Times New Roman" w:cs="Times New Roman"/>
                <w:b/>
                <w:bCs/>
                <w:color w:val="000000"/>
                <w:spacing w:val="-4"/>
                <w:w w:val="98"/>
                <w:sz w:val="18"/>
                <w:szCs w:val="18"/>
                <w:lang w:eastAsia="ru-RU"/>
              </w:rPr>
              <w:t>0,9%</w:t>
            </w:r>
          </w:p>
        </w:tc>
        <w:tc>
          <w:tcPr>
            <w:tcW w:w="979" w:type="dxa"/>
            <w:tcBorders>
              <w:left w:val="nil"/>
              <w:bottom w:val="single" w:sz="4" w:space="0" w:color="auto"/>
              <w:right w:val="single" w:sz="4" w:space="0" w:color="auto"/>
            </w:tcBorders>
            <w:shd w:val="clear" w:color="auto" w:fill="auto"/>
            <w:vAlign w:val="bottom"/>
          </w:tcPr>
          <w:p w14:paraId="05CC923E" w14:textId="2F7830FA" w:rsidR="00283B57" w:rsidRPr="000F4171"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highlight w:val="yellow"/>
                <w:lang w:eastAsia="ru-RU"/>
              </w:rPr>
            </w:pPr>
            <w:r w:rsidRPr="00EB1281">
              <w:rPr>
                <w:rFonts w:ascii="Times New Roman" w:eastAsia="Times New Roman" w:hAnsi="Times New Roman" w:cs="Times New Roman"/>
                <w:b/>
                <w:bCs/>
                <w:color w:val="000000"/>
                <w:spacing w:val="-4"/>
                <w:w w:val="98"/>
                <w:sz w:val="18"/>
                <w:szCs w:val="18"/>
                <w:lang w:eastAsia="ru-RU"/>
              </w:rPr>
              <w:t>4,4%</w:t>
            </w:r>
          </w:p>
        </w:tc>
        <w:tc>
          <w:tcPr>
            <w:tcW w:w="638" w:type="dxa"/>
            <w:tcBorders>
              <w:left w:val="nil"/>
              <w:bottom w:val="single" w:sz="4" w:space="0" w:color="auto"/>
              <w:right w:val="single" w:sz="4" w:space="0" w:color="auto"/>
            </w:tcBorders>
            <w:shd w:val="clear" w:color="auto" w:fill="auto"/>
            <w:vAlign w:val="bottom"/>
          </w:tcPr>
          <w:p w14:paraId="14130694" w14:textId="77777777"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х</w:t>
            </w:r>
          </w:p>
        </w:tc>
        <w:tc>
          <w:tcPr>
            <w:tcW w:w="706" w:type="dxa"/>
            <w:tcBorders>
              <w:left w:val="nil"/>
              <w:bottom w:val="single" w:sz="4" w:space="0" w:color="auto"/>
              <w:right w:val="single" w:sz="4" w:space="0" w:color="auto"/>
            </w:tcBorders>
            <w:shd w:val="clear" w:color="auto" w:fill="auto"/>
            <w:vAlign w:val="bottom"/>
          </w:tcPr>
          <w:p w14:paraId="38F01C21" w14:textId="77777777"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х</w:t>
            </w:r>
          </w:p>
        </w:tc>
        <w:tc>
          <w:tcPr>
            <w:tcW w:w="1032" w:type="dxa"/>
            <w:tcBorders>
              <w:left w:val="nil"/>
              <w:bottom w:val="single" w:sz="4" w:space="0" w:color="auto"/>
              <w:right w:val="single" w:sz="4" w:space="0" w:color="auto"/>
            </w:tcBorders>
            <w:shd w:val="clear" w:color="auto" w:fill="auto"/>
            <w:vAlign w:val="bottom"/>
          </w:tcPr>
          <w:p w14:paraId="6E73F8F3" w14:textId="0ACE5D9F"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0,4%</w:t>
            </w:r>
          </w:p>
        </w:tc>
        <w:tc>
          <w:tcPr>
            <w:tcW w:w="486" w:type="dxa"/>
            <w:tcBorders>
              <w:left w:val="nil"/>
              <w:bottom w:val="single" w:sz="4" w:space="0" w:color="auto"/>
              <w:right w:val="single" w:sz="4" w:space="0" w:color="auto"/>
            </w:tcBorders>
            <w:shd w:val="clear" w:color="auto" w:fill="auto"/>
            <w:vAlign w:val="bottom"/>
          </w:tcPr>
          <w:p w14:paraId="72226FBF" w14:textId="77777777"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х</w:t>
            </w:r>
          </w:p>
        </w:tc>
        <w:tc>
          <w:tcPr>
            <w:tcW w:w="1024" w:type="dxa"/>
            <w:tcBorders>
              <w:left w:val="nil"/>
              <w:bottom w:val="single" w:sz="4" w:space="0" w:color="auto"/>
              <w:right w:val="single" w:sz="4" w:space="0" w:color="auto"/>
            </w:tcBorders>
            <w:shd w:val="clear" w:color="auto" w:fill="auto"/>
            <w:vAlign w:val="bottom"/>
          </w:tcPr>
          <w:p w14:paraId="2E25DAC3" w14:textId="421E6AF6"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0,3%</w:t>
            </w:r>
          </w:p>
        </w:tc>
        <w:tc>
          <w:tcPr>
            <w:tcW w:w="636" w:type="dxa"/>
            <w:tcBorders>
              <w:left w:val="nil"/>
              <w:bottom w:val="single" w:sz="4" w:space="0" w:color="auto"/>
              <w:right w:val="single" w:sz="4" w:space="0" w:color="auto"/>
            </w:tcBorders>
            <w:shd w:val="clear" w:color="auto" w:fill="auto"/>
            <w:vAlign w:val="bottom"/>
          </w:tcPr>
          <w:p w14:paraId="7D4645B9" w14:textId="77777777" w:rsidR="00283B57" w:rsidRPr="0044156F" w:rsidRDefault="00283B57" w:rsidP="00283B5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44156F">
              <w:rPr>
                <w:rFonts w:ascii="Times New Roman" w:eastAsia="Times New Roman" w:hAnsi="Times New Roman" w:cs="Times New Roman"/>
                <w:b/>
                <w:bCs/>
                <w:color w:val="000000"/>
                <w:spacing w:val="-4"/>
                <w:w w:val="98"/>
                <w:sz w:val="18"/>
                <w:szCs w:val="18"/>
                <w:lang w:eastAsia="ru-RU"/>
              </w:rPr>
              <w:t>х</w:t>
            </w:r>
          </w:p>
        </w:tc>
      </w:tr>
    </w:tbl>
    <w:p w14:paraId="2C7523CA" w14:textId="77777777" w:rsidR="00352D19" w:rsidRDefault="00352D19" w:rsidP="00A02AC4">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4"/>
          <w:szCs w:val="24"/>
        </w:rPr>
      </w:pPr>
    </w:p>
    <w:p w14:paraId="557C7DA1" w14:textId="24EACF41" w:rsidR="00A02AC4" w:rsidRPr="00F364D9" w:rsidRDefault="00F364D9" w:rsidP="00A02AC4">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4"/>
          <w:szCs w:val="24"/>
        </w:rPr>
      </w:pPr>
      <w:proofErr w:type="spellStart"/>
      <w:r w:rsidRPr="00F364D9">
        <w:rPr>
          <w:rFonts w:ascii="Times New Roman" w:eastAsia="Calibri" w:hAnsi="Times New Roman" w:cs="Times New Roman"/>
          <w:kern w:val="28"/>
          <w:sz w:val="24"/>
          <w:szCs w:val="24"/>
        </w:rPr>
        <w:lastRenderedPageBreak/>
        <w:t>Справочно</w:t>
      </w:r>
      <w:proofErr w:type="spellEnd"/>
      <w:r w:rsidRPr="00F364D9">
        <w:rPr>
          <w:rFonts w:ascii="Times New Roman" w:eastAsia="Calibri" w:hAnsi="Times New Roman" w:cs="Times New Roman"/>
          <w:kern w:val="28"/>
          <w:sz w:val="24"/>
          <w:szCs w:val="24"/>
        </w:rPr>
        <w:t>:</w:t>
      </w:r>
      <w:r>
        <w:rPr>
          <w:rFonts w:ascii="Times New Roman" w:eastAsia="Calibri" w:hAnsi="Times New Roman" w:cs="Times New Roman"/>
          <w:kern w:val="28"/>
          <w:sz w:val="24"/>
          <w:szCs w:val="24"/>
        </w:rPr>
        <w:t xml:space="preserve"> н</w:t>
      </w:r>
      <w:r w:rsidR="00A02AC4" w:rsidRPr="00F364D9">
        <w:rPr>
          <w:rFonts w:ascii="Times New Roman" w:eastAsia="Calibri" w:hAnsi="Times New Roman" w:cs="Times New Roman"/>
          <w:kern w:val="28"/>
          <w:sz w:val="24"/>
          <w:szCs w:val="24"/>
        </w:rPr>
        <w:t xml:space="preserve">есмотря на сложную экономическую ситуацию в 2020–2021 годах, вызванную распространением </w:t>
      </w:r>
      <w:proofErr w:type="spellStart"/>
      <w:r w:rsidR="00A02AC4" w:rsidRPr="00F364D9">
        <w:rPr>
          <w:rFonts w:ascii="Times New Roman" w:eastAsia="Calibri" w:hAnsi="Times New Roman" w:cs="Times New Roman"/>
          <w:kern w:val="28"/>
          <w:sz w:val="24"/>
          <w:szCs w:val="24"/>
        </w:rPr>
        <w:t>коронавирусной</w:t>
      </w:r>
      <w:proofErr w:type="spellEnd"/>
      <w:r w:rsidR="00A02AC4" w:rsidRPr="00F364D9">
        <w:rPr>
          <w:rFonts w:ascii="Times New Roman" w:eastAsia="Calibri" w:hAnsi="Times New Roman" w:cs="Times New Roman"/>
          <w:kern w:val="28"/>
          <w:sz w:val="24"/>
          <w:szCs w:val="24"/>
        </w:rPr>
        <w:t xml:space="preserve"> инфекци</w:t>
      </w:r>
      <w:r w:rsidR="006131BB">
        <w:rPr>
          <w:rFonts w:ascii="Times New Roman" w:eastAsia="Calibri" w:hAnsi="Times New Roman" w:cs="Times New Roman"/>
          <w:kern w:val="28"/>
          <w:sz w:val="24"/>
          <w:szCs w:val="24"/>
        </w:rPr>
        <w:t>и</w:t>
      </w:r>
      <w:r w:rsidR="00A02AC4" w:rsidRPr="00F364D9">
        <w:rPr>
          <w:rFonts w:ascii="Times New Roman" w:eastAsia="Calibri" w:hAnsi="Times New Roman" w:cs="Times New Roman"/>
          <w:kern w:val="28"/>
          <w:sz w:val="24"/>
          <w:szCs w:val="24"/>
        </w:rPr>
        <w:t xml:space="preserve">, параметры бюджета </w:t>
      </w:r>
      <w:r w:rsidR="00DF15BE">
        <w:rPr>
          <w:rFonts w:ascii="Times New Roman" w:eastAsia="Calibri" w:hAnsi="Times New Roman" w:cs="Times New Roman"/>
          <w:kern w:val="28"/>
          <w:sz w:val="24"/>
          <w:szCs w:val="24"/>
        </w:rPr>
        <w:t xml:space="preserve">области на 2022 год </w:t>
      </w:r>
      <w:r w:rsidR="00A02AC4" w:rsidRPr="00F364D9">
        <w:rPr>
          <w:rFonts w:ascii="Times New Roman" w:eastAsia="Calibri" w:hAnsi="Times New Roman" w:cs="Times New Roman"/>
          <w:kern w:val="28"/>
          <w:sz w:val="24"/>
          <w:szCs w:val="24"/>
        </w:rPr>
        <w:t xml:space="preserve">значительно превышают </w:t>
      </w:r>
      <w:r w:rsidR="00A02AC4" w:rsidRPr="00C30763">
        <w:rPr>
          <w:rFonts w:ascii="Times New Roman" w:eastAsia="Calibri" w:hAnsi="Times New Roman" w:cs="Times New Roman"/>
          <w:kern w:val="28"/>
          <w:sz w:val="24"/>
          <w:szCs w:val="24"/>
        </w:rPr>
        <w:t>параметры «</w:t>
      </w:r>
      <w:proofErr w:type="spellStart"/>
      <w:r w:rsidR="00A02AC4" w:rsidRPr="00C30763">
        <w:rPr>
          <w:rFonts w:ascii="Times New Roman" w:eastAsia="Calibri" w:hAnsi="Times New Roman" w:cs="Times New Roman"/>
          <w:kern w:val="28"/>
          <w:sz w:val="24"/>
          <w:szCs w:val="24"/>
        </w:rPr>
        <w:t>док</w:t>
      </w:r>
      <w:r w:rsidR="007C5F98" w:rsidRPr="00C30763">
        <w:rPr>
          <w:rFonts w:ascii="Times New Roman" w:eastAsia="Calibri" w:hAnsi="Times New Roman" w:cs="Times New Roman"/>
          <w:kern w:val="28"/>
          <w:sz w:val="24"/>
          <w:szCs w:val="24"/>
        </w:rPr>
        <w:t>о</w:t>
      </w:r>
      <w:r w:rsidR="00A02AC4" w:rsidRPr="00C30763">
        <w:rPr>
          <w:rFonts w:ascii="Times New Roman" w:eastAsia="Calibri" w:hAnsi="Times New Roman" w:cs="Times New Roman"/>
          <w:kern w:val="28"/>
          <w:sz w:val="24"/>
          <w:szCs w:val="24"/>
        </w:rPr>
        <w:t>видного</w:t>
      </w:r>
      <w:proofErr w:type="spellEnd"/>
      <w:r w:rsidR="00A02AC4" w:rsidRPr="00C30763">
        <w:rPr>
          <w:rFonts w:ascii="Times New Roman" w:eastAsia="Calibri" w:hAnsi="Times New Roman" w:cs="Times New Roman"/>
          <w:kern w:val="28"/>
          <w:sz w:val="24"/>
          <w:szCs w:val="24"/>
        </w:rPr>
        <w:t>» 2019 года</w:t>
      </w:r>
      <w:r w:rsidR="00A02AC4" w:rsidRPr="00F364D9">
        <w:rPr>
          <w:rFonts w:ascii="Times New Roman" w:eastAsia="Calibri" w:hAnsi="Times New Roman" w:cs="Times New Roman"/>
          <w:kern w:val="28"/>
          <w:sz w:val="24"/>
          <w:szCs w:val="24"/>
        </w:rPr>
        <w:t>: по доходам на 14,1%, в том числе по налоговым и неналоговым доходам на 21,8%; по расходам – на 18,6%. Размер дефицита значительно ниже ограничений, установленных пункт</w:t>
      </w:r>
      <w:r w:rsidR="00AA0FC4">
        <w:rPr>
          <w:rFonts w:ascii="Times New Roman" w:eastAsia="Calibri" w:hAnsi="Times New Roman" w:cs="Times New Roman"/>
          <w:kern w:val="28"/>
          <w:sz w:val="24"/>
          <w:szCs w:val="24"/>
        </w:rPr>
        <w:t>ом</w:t>
      </w:r>
      <w:r w:rsidR="00A02AC4" w:rsidRPr="00F364D9">
        <w:rPr>
          <w:rFonts w:ascii="Times New Roman" w:eastAsia="Calibri" w:hAnsi="Times New Roman" w:cs="Times New Roman"/>
          <w:kern w:val="28"/>
          <w:sz w:val="24"/>
          <w:szCs w:val="24"/>
        </w:rPr>
        <w:t xml:space="preserve"> 2 статьи 92.1 БК </w:t>
      </w:r>
      <w:r w:rsidR="00A02AC4" w:rsidRPr="004B1339">
        <w:rPr>
          <w:rFonts w:ascii="Times New Roman" w:eastAsia="Calibri" w:hAnsi="Times New Roman" w:cs="Times New Roman"/>
          <w:kern w:val="28"/>
          <w:sz w:val="24"/>
          <w:szCs w:val="24"/>
        </w:rPr>
        <w:t>РФ и соглашени</w:t>
      </w:r>
      <w:r w:rsidR="00AA0FC4" w:rsidRPr="004B1339">
        <w:rPr>
          <w:rFonts w:ascii="Times New Roman" w:eastAsia="Calibri" w:hAnsi="Times New Roman" w:cs="Times New Roman"/>
          <w:kern w:val="28"/>
          <w:sz w:val="24"/>
          <w:szCs w:val="24"/>
        </w:rPr>
        <w:t>ем</w:t>
      </w:r>
      <w:r w:rsidR="00A02AC4" w:rsidRPr="004B1339">
        <w:rPr>
          <w:rFonts w:ascii="Times New Roman" w:eastAsia="Calibri" w:hAnsi="Times New Roman" w:cs="Times New Roman"/>
          <w:kern w:val="28"/>
          <w:sz w:val="24"/>
          <w:szCs w:val="24"/>
        </w:rPr>
        <w:t xml:space="preserve"> с Минфином России (не выше 10%)</w:t>
      </w:r>
      <w:r w:rsidRPr="004B1339">
        <w:rPr>
          <w:rFonts w:ascii="Times New Roman" w:eastAsia="Calibri" w:hAnsi="Times New Roman" w:cs="Times New Roman"/>
          <w:kern w:val="28"/>
          <w:sz w:val="24"/>
          <w:szCs w:val="24"/>
        </w:rPr>
        <w:t xml:space="preserve"> (</w:t>
      </w:r>
      <w:proofErr w:type="spellStart"/>
      <w:r w:rsidRPr="004B1339">
        <w:rPr>
          <w:rFonts w:ascii="Times New Roman" w:eastAsia="Calibri" w:hAnsi="Times New Roman" w:cs="Times New Roman"/>
          <w:kern w:val="28"/>
          <w:sz w:val="24"/>
          <w:szCs w:val="24"/>
        </w:rPr>
        <w:t>см.таблицу</w:t>
      </w:r>
      <w:proofErr w:type="spellEnd"/>
      <w:r w:rsidR="00352D19">
        <w:rPr>
          <w:rFonts w:ascii="Times New Roman" w:eastAsia="Calibri" w:hAnsi="Times New Roman" w:cs="Times New Roman"/>
          <w:kern w:val="28"/>
          <w:sz w:val="24"/>
          <w:szCs w:val="24"/>
        </w:rPr>
        <w:t xml:space="preserve"> ниже</w:t>
      </w:r>
      <w:r w:rsidRPr="004B1339">
        <w:rPr>
          <w:rFonts w:ascii="Times New Roman" w:eastAsia="Calibri" w:hAnsi="Times New Roman" w:cs="Times New Roman"/>
          <w:kern w:val="28"/>
          <w:sz w:val="24"/>
          <w:szCs w:val="24"/>
        </w:rPr>
        <w:t>)</w:t>
      </w:r>
      <w:r w:rsidR="00A02AC4" w:rsidRPr="004B1339">
        <w:rPr>
          <w:rFonts w:ascii="Times New Roman" w:eastAsia="Calibri" w:hAnsi="Times New Roman" w:cs="Times New Roman"/>
          <w:kern w:val="28"/>
          <w:sz w:val="24"/>
          <w:szCs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850"/>
        <w:gridCol w:w="1350"/>
        <w:gridCol w:w="1226"/>
        <w:gridCol w:w="1215"/>
        <w:gridCol w:w="11"/>
        <w:gridCol w:w="613"/>
        <w:gridCol w:w="766"/>
        <w:gridCol w:w="26"/>
        <w:gridCol w:w="741"/>
      </w:tblGrid>
      <w:tr w:rsidR="002C7F3C" w:rsidRPr="005F3B3C" w14:paraId="25BB38BE" w14:textId="77777777" w:rsidTr="00A02AC4">
        <w:trPr>
          <w:trHeight w:val="200"/>
          <w:tblHeader/>
          <w:jc w:val="right"/>
        </w:trPr>
        <w:tc>
          <w:tcPr>
            <w:tcW w:w="1555" w:type="dxa"/>
            <w:vMerge w:val="restart"/>
            <w:shd w:val="clear" w:color="auto" w:fill="auto"/>
            <w:vAlign w:val="center"/>
            <w:hideMark/>
          </w:tcPr>
          <w:p w14:paraId="0148D2C4" w14:textId="77777777" w:rsidR="002C7F3C" w:rsidRPr="005F3B3C" w:rsidRDefault="002C7F3C" w:rsidP="002C7F3C">
            <w:pPr>
              <w:spacing w:after="0" w:line="240" w:lineRule="auto"/>
              <w:ind w:left="-680" w:right="-57" w:firstLine="623"/>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Показатель</w:t>
            </w:r>
          </w:p>
        </w:tc>
        <w:tc>
          <w:tcPr>
            <w:tcW w:w="992" w:type="dxa"/>
            <w:vMerge w:val="restart"/>
            <w:shd w:val="clear" w:color="auto" w:fill="F2F2F2" w:themeFill="background1" w:themeFillShade="F2"/>
            <w:vAlign w:val="center"/>
          </w:tcPr>
          <w:p w14:paraId="43DAB120" w14:textId="77777777" w:rsidR="002C7F3C" w:rsidRPr="005F3B3C" w:rsidRDefault="002C7F3C" w:rsidP="002C7F3C">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Факт</w:t>
            </w:r>
          </w:p>
          <w:p w14:paraId="399810E6" w14:textId="77777777" w:rsidR="002C7F3C" w:rsidRPr="005F3B3C" w:rsidRDefault="002C7F3C" w:rsidP="002C7F3C">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2019 года,</w:t>
            </w:r>
          </w:p>
          <w:p w14:paraId="00D9C66F" w14:textId="19CD28E4" w:rsidR="002C7F3C" w:rsidRPr="005F3B3C" w:rsidRDefault="002C7F3C" w:rsidP="002C7F3C">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85"/>
                <w:sz w:val="18"/>
                <w:szCs w:val="18"/>
                <w:lang w:eastAsia="ru-RU"/>
              </w:rPr>
              <w:t>млн. рублей</w:t>
            </w:r>
          </w:p>
        </w:tc>
        <w:tc>
          <w:tcPr>
            <w:tcW w:w="850" w:type="dxa"/>
            <w:vMerge w:val="restart"/>
            <w:shd w:val="clear" w:color="auto" w:fill="auto"/>
            <w:vAlign w:val="center"/>
            <w:hideMark/>
          </w:tcPr>
          <w:p w14:paraId="42E4D79C" w14:textId="16DD6FAC" w:rsidR="002C7F3C" w:rsidRPr="005F3B3C" w:rsidRDefault="002C7F3C" w:rsidP="00A02AC4">
            <w:pPr>
              <w:spacing w:after="0" w:line="240" w:lineRule="auto"/>
              <w:ind w:left="-57" w:right="-57"/>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98"/>
                <w:sz w:val="18"/>
                <w:szCs w:val="18"/>
                <w:lang w:eastAsia="ru-RU"/>
              </w:rPr>
              <w:t>Факт</w:t>
            </w:r>
            <w:r w:rsidR="00A02AC4">
              <w:rPr>
                <w:rFonts w:ascii="Times New Roman" w:eastAsia="Times New Roman" w:hAnsi="Times New Roman" w:cs="Times New Roman"/>
                <w:color w:val="000000"/>
                <w:spacing w:val="-4"/>
                <w:w w:val="98"/>
                <w:sz w:val="18"/>
                <w:szCs w:val="18"/>
                <w:lang w:eastAsia="ru-RU"/>
              </w:rPr>
              <w:t xml:space="preserve"> </w:t>
            </w:r>
            <w:r w:rsidRPr="005F3B3C">
              <w:rPr>
                <w:rFonts w:ascii="Times New Roman" w:eastAsia="Times New Roman" w:hAnsi="Times New Roman" w:cs="Times New Roman"/>
                <w:color w:val="000000"/>
                <w:spacing w:val="-4"/>
                <w:w w:val="98"/>
                <w:sz w:val="18"/>
                <w:szCs w:val="18"/>
                <w:lang w:eastAsia="ru-RU"/>
              </w:rPr>
              <w:t>2020 года</w:t>
            </w:r>
            <w:r w:rsidRPr="005F3B3C">
              <w:rPr>
                <w:rFonts w:ascii="Times New Roman" w:eastAsia="Times New Roman" w:hAnsi="Times New Roman" w:cs="Times New Roman"/>
                <w:color w:val="000000"/>
                <w:spacing w:val="-4"/>
                <w:w w:val="85"/>
                <w:sz w:val="18"/>
                <w:szCs w:val="18"/>
                <w:lang w:eastAsia="ru-RU"/>
              </w:rPr>
              <w:t xml:space="preserve">, </w:t>
            </w:r>
          </w:p>
          <w:p w14:paraId="61CA6B83" w14:textId="60305775" w:rsidR="002C7F3C" w:rsidRPr="005F3B3C" w:rsidRDefault="002C7F3C" w:rsidP="002C7F3C">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85"/>
                <w:sz w:val="18"/>
                <w:szCs w:val="18"/>
                <w:lang w:eastAsia="ru-RU"/>
              </w:rPr>
              <w:t>млн. рублей</w:t>
            </w:r>
          </w:p>
        </w:tc>
        <w:tc>
          <w:tcPr>
            <w:tcW w:w="2576" w:type="dxa"/>
            <w:gridSpan w:val="2"/>
            <w:shd w:val="clear" w:color="auto" w:fill="auto"/>
            <w:vAlign w:val="center"/>
            <w:hideMark/>
          </w:tcPr>
          <w:p w14:paraId="2D8B7747" w14:textId="77777777" w:rsidR="002C7F3C" w:rsidRPr="005F3B3C" w:rsidRDefault="002C7F3C" w:rsidP="00FF4267">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2021 год</w:t>
            </w:r>
          </w:p>
        </w:tc>
        <w:tc>
          <w:tcPr>
            <w:tcW w:w="3372" w:type="dxa"/>
            <w:gridSpan w:val="6"/>
            <w:shd w:val="clear" w:color="auto" w:fill="auto"/>
            <w:vAlign w:val="center"/>
            <w:hideMark/>
          </w:tcPr>
          <w:p w14:paraId="5A6BB94E" w14:textId="3777E4C1" w:rsidR="002C7F3C" w:rsidRPr="005F3B3C" w:rsidRDefault="002C7F3C" w:rsidP="00FF4267">
            <w:pPr>
              <w:spacing w:after="0" w:line="240" w:lineRule="auto"/>
              <w:ind w:left="-57" w:right="-57"/>
              <w:jc w:val="center"/>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2022 год*</w:t>
            </w:r>
          </w:p>
        </w:tc>
      </w:tr>
      <w:tr w:rsidR="005F3B3C" w:rsidRPr="005F3B3C" w14:paraId="5206D937" w14:textId="77777777" w:rsidTr="00A02AC4">
        <w:trPr>
          <w:trHeight w:val="456"/>
          <w:tblHeader/>
          <w:jc w:val="right"/>
        </w:trPr>
        <w:tc>
          <w:tcPr>
            <w:tcW w:w="1555" w:type="dxa"/>
            <w:vMerge/>
            <w:vAlign w:val="center"/>
            <w:hideMark/>
          </w:tcPr>
          <w:p w14:paraId="1A7C8B05" w14:textId="6BCD4281" w:rsidR="002C7F3C" w:rsidRPr="005F3B3C" w:rsidRDefault="002C7F3C" w:rsidP="00FF4267">
            <w:pPr>
              <w:spacing w:after="0" w:line="240" w:lineRule="auto"/>
              <w:ind w:left="-57" w:right="-57"/>
              <w:rPr>
                <w:rFonts w:ascii="Times New Roman" w:eastAsia="Times New Roman" w:hAnsi="Times New Roman" w:cs="Times New Roman"/>
                <w:color w:val="000000"/>
                <w:spacing w:val="-4"/>
                <w:w w:val="98"/>
                <w:sz w:val="18"/>
                <w:szCs w:val="18"/>
                <w:lang w:eastAsia="ru-RU"/>
              </w:rPr>
            </w:pPr>
          </w:p>
        </w:tc>
        <w:tc>
          <w:tcPr>
            <w:tcW w:w="992" w:type="dxa"/>
            <w:vMerge/>
            <w:shd w:val="clear" w:color="auto" w:fill="F2F2F2" w:themeFill="background1" w:themeFillShade="F2"/>
            <w:vAlign w:val="center"/>
          </w:tcPr>
          <w:p w14:paraId="7DD7E768" w14:textId="62BB3B31" w:rsidR="002C7F3C" w:rsidRPr="005F3B3C" w:rsidRDefault="002C7F3C" w:rsidP="002C7F3C">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p>
        </w:tc>
        <w:tc>
          <w:tcPr>
            <w:tcW w:w="850" w:type="dxa"/>
            <w:vMerge/>
            <w:shd w:val="clear" w:color="auto" w:fill="auto"/>
            <w:vAlign w:val="center"/>
            <w:hideMark/>
          </w:tcPr>
          <w:p w14:paraId="36EE08EC" w14:textId="5CC87DD3" w:rsidR="002C7F3C" w:rsidRPr="005F3B3C" w:rsidRDefault="002C7F3C" w:rsidP="002C7F3C">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p>
        </w:tc>
        <w:tc>
          <w:tcPr>
            <w:tcW w:w="1350" w:type="dxa"/>
            <w:shd w:val="clear" w:color="auto" w:fill="auto"/>
            <w:vAlign w:val="center"/>
            <w:hideMark/>
          </w:tcPr>
          <w:p w14:paraId="1612A2ED" w14:textId="667ABC31"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ЗТО на</w:t>
            </w:r>
            <w:r w:rsidR="00A02AC4">
              <w:rPr>
                <w:rFonts w:ascii="Times New Roman" w:eastAsia="Times New Roman" w:hAnsi="Times New Roman" w:cs="Times New Roman"/>
                <w:color w:val="000000"/>
                <w:spacing w:val="-4"/>
                <w:w w:val="85"/>
                <w:sz w:val="18"/>
                <w:szCs w:val="18"/>
                <w:lang w:eastAsia="ru-RU"/>
              </w:rPr>
              <w:t xml:space="preserve"> </w:t>
            </w:r>
            <w:r w:rsidRPr="005F3B3C">
              <w:rPr>
                <w:rFonts w:ascii="Times New Roman" w:eastAsia="Times New Roman" w:hAnsi="Times New Roman" w:cs="Times New Roman"/>
                <w:color w:val="000000"/>
                <w:spacing w:val="-4"/>
                <w:w w:val="85"/>
                <w:sz w:val="18"/>
                <w:szCs w:val="18"/>
                <w:lang w:eastAsia="ru-RU"/>
              </w:rPr>
              <w:t xml:space="preserve">2021 год, </w:t>
            </w:r>
          </w:p>
          <w:p w14:paraId="64D911DC" w14:textId="64011039"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млн. рублей</w:t>
            </w:r>
          </w:p>
        </w:tc>
        <w:tc>
          <w:tcPr>
            <w:tcW w:w="1226" w:type="dxa"/>
            <w:shd w:val="clear" w:color="auto" w:fill="auto"/>
            <w:vAlign w:val="center"/>
            <w:hideMark/>
          </w:tcPr>
          <w:p w14:paraId="7329CC57" w14:textId="77777777" w:rsidR="0064356F" w:rsidRDefault="002C7F3C" w:rsidP="00A02AC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 xml:space="preserve">Оценка </w:t>
            </w:r>
            <w:r w:rsidR="0064356F">
              <w:rPr>
                <w:rFonts w:ascii="Times New Roman" w:eastAsia="Times New Roman" w:hAnsi="Times New Roman" w:cs="Times New Roman"/>
                <w:color w:val="000000"/>
                <w:spacing w:val="-4"/>
                <w:w w:val="85"/>
                <w:sz w:val="18"/>
                <w:szCs w:val="18"/>
                <w:lang w:eastAsia="ru-RU"/>
              </w:rPr>
              <w:t>и</w:t>
            </w:r>
            <w:r w:rsidRPr="005F3B3C">
              <w:rPr>
                <w:rFonts w:ascii="Times New Roman" w:eastAsia="Times New Roman" w:hAnsi="Times New Roman" w:cs="Times New Roman"/>
                <w:color w:val="000000"/>
                <w:spacing w:val="-4"/>
                <w:w w:val="85"/>
                <w:sz w:val="18"/>
                <w:szCs w:val="18"/>
                <w:lang w:eastAsia="ru-RU"/>
              </w:rPr>
              <w:t xml:space="preserve">сполнения, </w:t>
            </w:r>
          </w:p>
          <w:p w14:paraId="768F13BD" w14:textId="25911540" w:rsidR="002C7F3C" w:rsidRPr="005F3B3C" w:rsidRDefault="002C7F3C" w:rsidP="00A02AC4">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млн. рублей</w:t>
            </w:r>
          </w:p>
        </w:tc>
        <w:tc>
          <w:tcPr>
            <w:tcW w:w="1226" w:type="dxa"/>
            <w:gridSpan w:val="2"/>
            <w:shd w:val="clear" w:color="auto" w:fill="auto"/>
            <w:vAlign w:val="center"/>
            <w:hideMark/>
          </w:tcPr>
          <w:p w14:paraId="7DB15C83" w14:textId="33AC9BE2" w:rsidR="002C7F3C" w:rsidRPr="005F3B3C" w:rsidRDefault="00A02AC4"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Pr>
                <w:rFonts w:ascii="Times New Roman" w:eastAsia="Times New Roman" w:hAnsi="Times New Roman" w:cs="Times New Roman"/>
                <w:color w:val="000000"/>
                <w:spacing w:val="-4"/>
                <w:w w:val="85"/>
                <w:sz w:val="18"/>
                <w:szCs w:val="18"/>
                <w:lang w:eastAsia="ru-RU"/>
              </w:rPr>
              <w:t>З</w:t>
            </w:r>
            <w:r w:rsidR="002C7F3C" w:rsidRPr="005F3B3C">
              <w:rPr>
                <w:rFonts w:ascii="Times New Roman" w:eastAsia="Times New Roman" w:hAnsi="Times New Roman" w:cs="Times New Roman"/>
                <w:color w:val="000000"/>
                <w:spacing w:val="-4"/>
                <w:w w:val="85"/>
                <w:sz w:val="18"/>
                <w:szCs w:val="18"/>
                <w:lang w:eastAsia="ru-RU"/>
              </w:rPr>
              <w:t>акон</w:t>
            </w:r>
            <w:r>
              <w:rPr>
                <w:rFonts w:ascii="Times New Roman" w:eastAsia="Times New Roman" w:hAnsi="Times New Roman" w:cs="Times New Roman"/>
                <w:color w:val="000000"/>
                <w:spacing w:val="-4"/>
                <w:w w:val="85"/>
                <w:sz w:val="18"/>
                <w:szCs w:val="18"/>
                <w:lang w:eastAsia="ru-RU"/>
              </w:rPr>
              <w:t>опроект</w:t>
            </w:r>
            <w:r w:rsidR="002C7F3C" w:rsidRPr="005F3B3C">
              <w:rPr>
                <w:rFonts w:ascii="Times New Roman" w:eastAsia="Times New Roman" w:hAnsi="Times New Roman" w:cs="Times New Roman"/>
                <w:color w:val="000000"/>
                <w:spacing w:val="-4"/>
                <w:w w:val="85"/>
                <w:sz w:val="18"/>
                <w:szCs w:val="18"/>
                <w:lang w:eastAsia="ru-RU"/>
              </w:rPr>
              <w:t>,</w:t>
            </w:r>
          </w:p>
          <w:p w14:paraId="183705ED" w14:textId="77777777"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 xml:space="preserve"> млн. рублей</w:t>
            </w:r>
          </w:p>
        </w:tc>
        <w:tc>
          <w:tcPr>
            <w:tcW w:w="613" w:type="dxa"/>
            <w:shd w:val="clear" w:color="auto" w:fill="F2F2F2" w:themeFill="background1" w:themeFillShade="F2"/>
          </w:tcPr>
          <w:p w14:paraId="6CA17E1C" w14:textId="3EAF095E"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к 2019 году</w:t>
            </w:r>
          </w:p>
        </w:tc>
        <w:tc>
          <w:tcPr>
            <w:tcW w:w="766" w:type="dxa"/>
            <w:shd w:val="clear" w:color="auto" w:fill="auto"/>
            <w:vAlign w:val="center"/>
            <w:hideMark/>
          </w:tcPr>
          <w:p w14:paraId="11EB2426" w14:textId="702F962F"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к 2021 году (Закон), %</w:t>
            </w:r>
          </w:p>
        </w:tc>
        <w:tc>
          <w:tcPr>
            <w:tcW w:w="767" w:type="dxa"/>
            <w:gridSpan w:val="2"/>
            <w:shd w:val="clear" w:color="auto" w:fill="auto"/>
            <w:vAlign w:val="center"/>
            <w:hideMark/>
          </w:tcPr>
          <w:p w14:paraId="04D6917C" w14:textId="77777777" w:rsidR="002C7F3C" w:rsidRPr="005F3B3C" w:rsidRDefault="002C7F3C" w:rsidP="00FF4267">
            <w:pPr>
              <w:spacing w:after="0" w:line="240" w:lineRule="auto"/>
              <w:ind w:left="-113" w:right="-113"/>
              <w:jc w:val="center"/>
              <w:rPr>
                <w:rFonts w:ascii="Times New Roman" w:eastAsia="Times New Roman" w:hAnsi="Times New Roman" w:cs="Times New Roman"/>
                <w:color w:val="000000"/>
                <w:spacing w:val="-4"/>
                <w:w w:val="85"/>
                <w:sz w:val="18"/>
                <w:szCs w:val="18"/>
                <w:lang w:eastAsia="ru-RU"/>
              </w:rPr>
            </w:pPr>
            <w:r w:rsidRPr="005F3B3C">
              <w:rPr>
                <w:rFonts w:ascii="Times New Roman" w:eastAsia="Times New Roman" w:hAnsi="Times New Roman" w:cs="Times New Roman"/>
                <w:color w:val="000000"/>
                <w:spacing w:val="-4"/>
                <w:w w:val="85"/>
                <w:sz w:val="18"/>
                <w:szCs w:val="18"/>
                <w:lang w:eastAsia="ru-RU"/>
              </w:rPr>
              <w:t>к 2021 году (оценка), %</w:t>
            </w:r>
          </w:p>
        </w:tc>
      </w:tr>
      <w:tr w:rsidR="002C7F3C" w:rsidRPr="005F3B3C" w14:paraId="53D4C239" w14:textId="77777777" w:rsidTr="00A02AC4">
        <w:trPr>
          <w:trHeight w:val="279"/>
          <w:jc w:val="right"/>
        </w:trPr>
        <w:tc>
          <w:tcPr>
            <w:tcW w:w="1555" w:type="dxa"/>
            <w:shd w:val="clear" w:color="auto" w:fill="auto"/>
            <w:vAlign w:val="center"/>
            <w:hideMark/>
          </w:tcPr>
          <w:p w14:paraId="6BC7EDF1" w14:textId="77777777" w:rsidR="002C7F3C" w:rsidRPr="005F3B3C" w:rsidRDefault="002C7F3C" w:rsidP="00FF4267">
            <w:pPr>
              <w:spacing w:after="0" w:line="240" w:lineRule="auto"/>
              <w:ind w:left="-57" w:right="-57"/>
              <w:rPr>
                <w:rFonts w:ascii="Times New Roman" w:eastAsia="Times New Roman" w:hAnsi="Times New Roman" w:cs="Times New Roman"/>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Доходы,</w:t>
            </w:r>
            <w:r w:rsidRPr="005F3B3C">
              <w:rPr>
                <w:rFonts w:ascii="Times New Roman" w:eastAsia="Times New Roman" w:hAnsi="Times New Roman" w:cs="Times New Roman"/>
                <w:color w:val="000000"/>
                <w:spacing w:val="-4"/>
                <w:w w:val="98"/>
                <w:sz w:val="18"/>
                <w:szCs w:val="18"/>
                <w:lang w:eastAsia="ru-RU"/>
              </w:rPr>
              <w:t xml:space="preserve"> </w:t>
            </w:r>
          </w:p>
          <w:p w14:paraId="70002405" w14:textId="77777777" w:rsidR="002C7F3C" w:rsidRPr="005F3B3C" w:rsidRDefault="002C7F3C" w:rsidP="00FF4267">
            <w:pPr>
              <w:widowControl w:val="0"/>
              <w:spacing w:after="0" w:line="240" w:lineRule="auto"/>
              <w:ind w:left="-170" w:right="-57" w:firstLine="57"/>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color w:val="000000"/>
                <w:spacing w:val="-4"/>
                <w:w w:val="98"/>
                <w:sz w:val="18"/>
                <w:szCs w:val="18"/>
                <w:lang w:eastAsia="ru-RU"/>
              </w:rPr>
              <w:t>в том числе:</w:t>
            </w:r>
          </w:p>
        </w:tc>
        <w:tc>
          <w:tcPr>
            <w:tcW w:w="992" w:type="dxa"/>
            <w:shd w:val="clear" w:color="auto" w:fill="F2F2F2" w:themeFill="background1" w:themeFillShade="F2"/>
            <w:vAlign w:val="center"/>
          </w:tcPr>
          <w:p w14:paraId="3F3DDB3E" w14:textId="7596B954" w:rsidR="002C7F3C" w:rsidRPr="005F3B3C" w:rsidRDefault="002C7F3C" w:rsidP="007B025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82 314,4</w:t>
            </w:r>
          </w:p>
        </w:tc>
        <w:tc>
          <w:tcPr>
            <w:tcW w:w="850" w:type="dxa"/>
            <w:shd w:val="clear" w:color="auto" w:fill="auto"/>
            <w:vAlign w:val="center"/>
            <w:hideMark/>
          </w:tcPr>
          <w:p w14:paraId="5072BC31" w14:textId="5ED57D89"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94 360,1</w:t>
            </w:r>
          </w:p>
        </w:tc>
        <w:tc>
          <w:tcPr>
            <w:tcW w:w="1350" w:type="dxa"/>
            <w:shd w:val="clear" w:color="auto" w:fill="auto"/>
            <w:vAlign w:val="center"/>
            <w:hideMark/>
          </w:tcPr>
          <w:p w14:paraId="5CAA7EB0" w14:textId="77777777"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102 449,8 </w:t>
            </w:r>
          </w:p>
        </w:tc>
        <w:tc>
          <w:tcPr>
            <w:tcW w:w="1226" w:type="dxa"/>
            <w:shd w:val="clear" w:color="auto" w:fill="auto"/>
            <w:vAlign w:val="center"/>
            <w:hideMark/>
          </w:tcPr>
          <w:p w14:paraId="13CB0C71" w14:textId="77777777"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106 890,7 </w:t>
            </w:r>
          </w:p>
        </w:tc>
        <w:tc>
          <w:tcPr>
            <w:tcW w:w="1215" w:type="dxa"/>
            <w:shd w:val="clear" w:color="auto" w:fill="auto"/>
            <w:vAlign w:val="center"/>
            <w:hideMark/>
          </w:tcPr>
          <w:p w14:paraId="6FA9111B" w14:textId="77777777"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highlight w:val="yellow"/>
                <w:lang w:eastAsia="ru-RU"/>
              </w:rPr>
            </w:pPr>
            <w:r w:rsidRPr="005F3B3C">
              <w:rPr>
                <w:rFonts w:ascii="Times New Roman" w:eastAsia="Times New Roman" w:hAnsi="Times New Roman" w:cs="Times New Roman"/>
                <w:b/>
                <w:bCs/>
                <w:color w:val="000000"/>
                <w:spacing w:val="-4"/>
                <w:w w:val="98"/>
                <w:sz w:val="18"/>
                <w:szCs w:val="18"/>
                <w:lang w:eastAsia="ru-RU"/>
              </w:rPr>
              <w:t>93 884,0 </w:t>
            </w:r>
          </w:p>
        </w:tc>
        <w:tc>
          <w:tcPr>
            <w:tcW w:w="624" w:type="dxa"/>
            <w:gridSpan w:val="2"/>
            <w:shd w:val="clear" w:color="auto" w:fill="F2F2F2" w:themeFill="background1" w:themeFillShade="F2"/>
            <w:vAlign w:val="center"/>
          </w:tcPr>
          <w:p w14:paraId="0305DEBB" w14:textId="5C073AD5"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114,1</w:t>
            </w:r>
          </w:p>
        </w:tc>
        <w:tc>
          <w:tcPr>
            <w:tcW w:w="792" w:type="dxa"/>
            <w:gridSpan w:val="2"/>
            <w:shd w:val="clear" w:color="auto" w:fill="auto"/>
            <w:vAlign w:val="center"/>
          </w:tcPr>
          <w:p w14:paraId="440232A4" w14:textId="0A6FEDE3"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91,6</w:t>
            </w:r>
          </w:p>
        </w:tc>
        <w:tc>
          <w:tcPr>
            <w:tcW w:w="741" w:type="dxa"/>
            <w:shd w:val="clear" w:color="auto" w:fill="auto"/>
            <w:vAlign w:val="center"/>
          </w:tcPr>
          <w:p w14:paraId="235DA4E8" w14:textId="77777777" w:rsidR="002C7F3C" w:rsidRPr="005F3B3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5F3B3C">
              <w:rPr>
                <w:rFonts w:ascii="Times New Roman" w:eastAsia="Times New Roman" w:hAnsi="Times New Roman" w:cs="Times New Roman"/>
                <w:b/>
                <w:bCs/>
                <w:color w:val="000000"/>
                <w:spacing w:val="-4"/>
                <w:w w:val="98"/>
                <w:sz w:val="18"/>
                <w:szCs w:val="18"/>
                <w:lang w:eastAsia="ru-RU"/>
              </w:rPr>
              <w:t>87,8</w:t>
            </w:r>
          </w:p>
        </w:tc>
      </w:tr>
      <w:tr w:rsidR="005F3B3C" w:rsidRPr="00232B7C" w14:paraId="6F03A925" w14:textId="77777777" w:rsidTr="00A02AC4">
        <w:trPr>
          <w:trHeight w:val="475"/>
          <w:jc w:val="right"/>
        </w:trPr>
        <w:tc>
          <w:tcPr>
            <w:tcW w:w="1555" w:type="dxa"/>
            <w:shd w:val="clear" w:color="auto" w:fill="F2F2F2" w:themeFill="background1" w:themeFillShade="F2"/>
            <w:vAlign w:val="center"/>
            <w:hideMark/>
          </w:tcPr>
          <w:p w14:paraId="242BDDA6" w14:textId="77777777" w:rsidR="002C7F3C" w:rsidRPr="00232B7C" w:rsidRDefault="002C7F3C" w:rsidP="00FF426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color w:val="000000"/>
                <w:spacing w:val="-4"/>
                <w:w w:val="98"/>
                <w:sz w:val="18"/>
                <w:szCs w:val="18"/>
                <w:lang w:eastAsia="ru-RU"/>
              </w:rPr>
              <w:t>налоговые и неналоговые</w:t>
            </w:r>
          </w:p>
        </w:tc>
        <w:tc>
          <w:tcPr>
            <w:tcW w:w="992" w:type="dxa"/>
            <w:shd w:val="clear" w:color="auto" w:fill="F2F2F2" w:themeFill="background1" w:themeFillShade="F2"/>
            <w:vAlign w:val="bottom"/>
          </w:tcPr>
          <w:p w14:paraId="7361A115" w14:textId="062F652E" w:rsidR="002C7F3C" w:rsidRPr="00232B7C" w:rsidRDefault="002C7F3C" w:rsidP="00797108">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65</w:t>
            </w:r>
            <w:r w:rsidR="00797108" w:rsidRPr="00232B7C">
              <w:rPr>
                <w:rFonts w:ascii="Times New Roman" w:eastAsia="Times New Roman" w:hAnsi="Times New Roman" w:cs="Times New Roman"/>
                <w:spacing w:val="-4"/>
                <w:w w:val="98"/>
                <w:sz w:val="18"/>
                <w:szCs w:val="18"/>
                <w:lang w:eastAsia="ru-RU"/>
              </w:rPr>
              <w:t> 292,1</w:t>
            </w:r>
          </w:p>
        </w:tc>
        <w:tc>
          <w:tcPr>
            <w:tcW w:w="850" w:type="dxa"/>
            <w:shd w:val="clear" w:color="auto" w:fill="F2F2F2" w:themeFill="background1" w:themeFillShade="F2"/>
            <w:noWrap/>
            <w:vAlign w:val="bottom"/>
            <w:hideMark/>
          </w:tcPr>
          <w:p w14:paraId="41E2F415" w14:textId="4310B7A2"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64 988,9 </w:t>
            </w:r>
          </w:p>
        </w:tc>
        <w:tc>
          <w:tcPr>
            <w:tcW w:w="1350" w:type="dxa"/>
            <w:shd w:val="clear" w:color="auto" w:fill="F2F2F2" w:themeFill="background1" w:themeFillShade="F2"/>
            <w:noWrap/>
            <w:vAlign w:val="bottom"/>
            <w:hideMark/>
          </w:tcPr>
          <w:p w14:paraId="3ABAAE1C"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70 432,2 </w:t>
            </w:r>
          </w:p>
        </w:tc>
        <w:tc>
          <w:tcPr>
            <w:tcW w:w="1226" w:type="dxa"/>
            <w:shd w:val="clear" w:color="auto" w:fill="F2F2F2" w:themeFill="background1" w:themeFillShade="F2"/>
            <w:noWrap/>
            <w:vAlign w:val="bottom"/>
            <w:hideMark/>
          </w:tcPr>
          <w:p w14:paraId="26B631E7"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75 342,8 </w:t>
            </w:r>
          </w:p>
        </w:tc>
        <w:tc>
          <w:tcPr>
            <w:tcW w:w="1215" w:type="dxa"/>
            <w:shd w:val="clear" w:color="auto" w:fill="F2F2F2" w:themeFill="background1" w:themeFillShade="F2"/>
            <w:noWrap/>
            <w:vAlign w:val="bottom"/>
            <w:hideMark/>
          </w:tcPr>
          <w:p w14:paraId="36A53A91"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79 537,3 </w:t>
            </w:r>
          </w:p>
        </w:tc>
        <w:tc>
          <w:tcPr>
            <w:tcW w:w="624" w:type="dxa"/>
            <w:gridSpan w:val="2"/>
            <w:shd w:val="clear" w:color="auto" w:fill="F2F2F2" w:themeFill="background1" w:themeFillShade="F2"/>
            <w:vAlign w:val="bottom"/>
          </w:tcPr>
          <w:p w14:paraId="5C12A2FB" w14:textId="1C68D57F" w:rsidR="002C7F3C" w:rsidRPr="00232B7C" w:rsidRDefault="002C7F3C" w:rsidP="00FF4267">
            <w:pPr>
              <w:spacing w:after="0" w:line="240" w:lineRule="auto"/>
              <w:ind w:left="-113" w:right="-68"/>
              <w:jc w:val="right"/>
              <w:rPr>
                <w:rFonts w:ascii="Times New Roman" w:eastAsia="Times New Roman" w:hAnsi="Times New Roman" w:cs="Times New Roman"/>
                <w:bCs/>
                <w:color w:val="000000"/>
                <w:spacing w:val="-4"/>
                <w:w w:val="98"/>
                <w:sz w:val="18"/>
                <w:szCs w:val="18"/>
                <w:lang w:eastAsia="ru-RU"/>
              </w:rPr>
            </w:pPr>
            <w:r w:rsidRPr="00232B7C">
              <w:rPr>
                <w:rFonts w:ascii="Times New Roman" w:eastAsia="Times New Roman" w:hAnsi="Times New Roman" w:cs="Times New Roman"/>
                <w:bCs/>
                <w:color w:val="000000"/>
                <w:spacing w:val="-4"/>
                <w:w w:val="98"/>
                <w:sz w:val="18"/>
                <w:szCs w:val="18"/>
                <w:lang w:eastAsia="ru-RU"/>
              </w:rPr>
              <w:t>121,8</w:t>
            </w:r>
          </w:p>
        </w:tc>
        <w:tc>
          <w:tcPr>
            <w:tcW w:w="792" w:type="dxa"/>
            <w:gridSpan w:val="2"/>
            <w:shd w:val="clear" w:color="auto" w:fill="F2F2F2" w:themeFill="background1" w:themeFillShade="F2"/>
            <w:vAlign w:val="bottom"/>
            <w:hideMark/>
          </w:tcPr>
          <w:p w14:paraId="7BC4A9BC" w14:textId="133E676E" w:rsidR="002C7F3C" w:rsidRPr="00232B7C" w:rsidRDefault="002C7F3C" w:rsidP="00FF426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bCs/>
                <w:color w:val="000000"/>
                <w:spacing w:val="-4"/>
                <w:w w:val="98"/>
                <w:sz w:val="18"/>
                <w:szCs w:val="18"/>
                <w:lang w:eastAsia="ru-RU"/>
              </w:rPr>
              <w:t>112,9</w:t>
            </w:r>
          </w:p>
        </w:tc>
        <w:tc>
          <w:tcPr>
            <w:tcW w:w="741" w:type="dxa"/>
            <w:shd w:val="clear" w:color="auto" w:fill="F2F2F2" w:themeFill="background1" w:themeFillShade="F2"/>
            <w:vAlign w:val="bottom"/>
            <w:hideMark/>
          </w:tcPr>
          <w:p w14:paraId="42B08210" w14:textId="77777777" w:rsidR="002C7F3C" w:rsidRPr="00232B7C" w:rsidRDefault="002C7F3C" w:rsidP="00FF426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bCs/>
                <w:color w:val="000000"/>
                <w:spacing w:val="-4"/>
                <w:w w:val="98"/>
                <w:sz w:val="18"/>
                <w:szCs w:val="18"/>
                <w:lang w:eastAsia="ru-RU"/>
              </w:rPr>
              <w:t>105,6</w:t>
            </w:r>
          </w:p>
        </w:tc>
      </w:tr>
      <w:tr w:rsidR="002C7F3C" w:rsidRPr="00232B7C" w14:paraId="545290CE" w14:textId="77777777" w:rsidTr="00A02AC4">
        <w:trPr>
          <w:trHeight w:val="475"/>
          <w:jc w:val="right"/>
        </w:trPr>
        <w:tc>
          <w:tcPr>
            <w:tcW w:w="1555" w:type="dxa"/>
            <w:shd w:val="clear" w:color="auto" w:fill="auto"/>
            <w:vAlign w:val="center"/>
            <w:hideMark/>
          </w:tcPr>
          <w:p w14:paraId="7A7CE0D5" w14:textId="77777777" w:rsidR="002C7F3C" w:rsidRPr="00232B7C" w:rsidRDefault="002C7F3C" w:rsidP="00FF4267">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color w:val="000000"/>
                <w:spacing w:val="-4"/>
                <w:w w:val="98"/>
                <w:sz w:val="18"/>
                <w:szCs w:val="18"/>
                <w:lang w:eastAsia="ru-RU"/>
              </w:rPr>
              <w:t>безвозмездные поступления</w:t>
            </w:r>
          </w:p>
        </w:tc>
        <w:tc>
          <w:tcPr>
            <w:tcW w:w="992" w:type="dxa"/>
            <w:shd w:val="clear" w:color="auto" w:fill="F2F2F2" w:themeFill="background1" w:themeFillShade="F2"/>
            <w:vAlign w:val="bottom"/>
          </w:tcPr>
          <w:p w14:paraId="1F464020" w14:textId="0CB4E8AD" w:rsidR="002C7F3C" w:rsidRPr="00232B7C" w:rsidRDefault="002C7F3C" w:rsidP="00797108">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17 022,</w:t>
            </w:r>
            <w:r w:rsidR="00797108" w:rsidRPr="00232B7C">
              <w:rPr>
                <w:rFonts w:ascii="Times New Roman" w:eastAsia="Times New Roman" w:hAnsi="Times New Roman" w:cs="Times New Roman"/>
                <w:spacing w:val="-4"/>
                <w:w w:val="98"/>
                <w:sz w:val="18"/>
                <w:szCs w:val="18"/>
                <w:lang w:eastAsia="ru-RU"/>
              </w:rPr>
              <w:t>3</w:t>
            </w:r>
          </w:p>
        </w:tc>
        <w:tc>
          <w:tcPr>
            <w:tcW w:w="850" w:type="dxa"/>
            <w:shd w:val="clear" w:color="000000" w:fill="FFFFFF"/>
            <w:noWrap/>
            <w:vAlign w:val="bottom"/>
            <w:hideMark/>
          </w:tcPr>
          <w:p w14:paraId="23CA36E7" w14:textId="036D9DAA"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29 371,2 </w:t>
            </w:r>
          </w:p>
        </w:tc>
        <w:tc>
          <w:tcPr>
            <w:tcW w:w="1350" w:type="dxa"/>
            <w:shd w:val="clear" w:color="000000" w:fill="FFFFFF"/>
            <w:noWrap/>
            <w:vAlign w:val="bottom"/>
            <w:hideMark/>
          </w:tcPr>
          <w:p w14:paraId="1FA90892"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32 017,6 </w:t>
            </w:r>
          </w:p>
        </w:tc>
        <w:tc>
          <w:tcPr>
            <w:tcW w:w="1226" w:type="dxa"/>
            <w:shd w:val="clear" w:color="000000" w:fill="FFFFFF"/>
            <w:noWrap/>
            <w:vAlign w:val="bottom"/>
            <w:hideMark/>
          </w:tcPr>
          <w:p w14:paraId="32BA9BE9"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31 547,9 </w:t>
            </w:r>
          </w:p>
        </w:tc>
        <w:tc>
          <w:tcPr>
            <w:tcW w:w="1215" w:type="dxa"/>
            <w:shd w:val="clear" w:color="000000" w:fill="FFFFFF"/>
            <w:noWrap/>
            <w:vAlign w:val="bottom"/>
            <w:hideMark/>
          </w:tcPr>
          <w:p w14:paraId="3BFC0F70" w14:textId="77777777" w:rsidR="002C7F3C" w:rsidRPr="00232B7C" w:rsidRDefault="002C7F3C" w:rsidP="00FF4267">
            <w:pPr>
              <w:spacing w:after="0" w:line="240" w:lineRule="auto"/>
              <w:ind w:left="-113" w:right="-68"/>
              <w:jc w:val="right"/>
              <w:rPr>
                <w:rFonts w:ascii="Times New Roman" w:eastAsia="Times New Roman" w:hAnsi="Times New Roman" w:cs="Times New Roman"/>
                <w:spacing w:val="-4"/>
                <w:w w:val="98"/>
                <w:sz w:val="18"/>
                <w:szCs w:val="18"/>
                <w:lang w:eastAsia="ru-RU"/>
              </w:rPr>
            </w:pPr>
            <w:r w:rsidRPr="00232B7C">
              <w:rPr>
                <w:rFonts w:ascii="Times New Roman" w:eastAsia="Times New Roman" w:hAnsi="Times New Roman" w:cs="Times New Roman"/>
                <w:spacing w:val="-4"/>
                <w:w w:val="98"/>
                <w:sz w:val="18"/>
                <w:szCs w:val="18"/>
                <w:lang w:eastAsia="ru-RU"/>
              </w:rPr>
              <w:t>14 346,7</w:t>
            </w:r>
          </w:p>
        </w:tc>
        <w:tc>
          <w:tcPr>
            <w:tcW w:w="624" w:type="dxa"/>
            <w:gridSpan w:val="2"/>
            <w:shd w:val="clear" w:color="auto" w:fill="F2F2F2" w:themeFill="background1" w:themeFillShade="F2"/>
            <w:vAlign w:val="bottom"/>
          </w:tcPr>
          <w:p w14:paraId="64D21EA4" w14:textId="7CD333FD" w:rsidR="002C7F3C" w:rsidRPr="00232B7C" w:rsidRDefault="002C7F3C" w:rsidP="00FF426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color w:val="000000"/>
                <w:spacing w:val="-4"/>
                <w:w w:val="98"/>
                <w:sz w:val="18"/>
                <w:szCs w:val="18"/>
                <w:lang w:eastAsia="ru-RU"/>
              </w:rPr>
              <w:t>84,3</w:t>
            </w:r>
          </w:p>
        </w:tc>
        <w:tc>
          <w:tcPr>
            <w:tcW w:w="792" w:type="dxa"/>
            <w:gridSpan w:val="2"/>
            <w:shd w:val="clear" w:color="auto" w:fill="auto"/>
            <w:vAlign w:val="bottom"/>
            <w:hideMark/>
          </w:tcPr>
          <w:p w14:paraId="4FE914B4" w14:textId="5203549E" w:rsidR="002C7F3C" w:rsidRPr="00232B7C" w:rsidRDefault="002C7F3C" w:rsidP="00FF426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color w:val="000000"/>
                <w:spacing w:val="-4"/>
                <w:w w:val="98"/>
                <w:sz w:val="18"/>
                <w:szCs w:val="18"/>
                <w:lang w:eastAsia="ru-RU"/>
              </w:rPr>
              <w:t>44,8</w:t>
            </w:r>
          </w:p>
        </w:tc>
        <w:tc>
          <w:tcPr>
            <w:tcW w:w="741" w:type="dxa"/>
            <w:shd w:val="clear" w:color="auto" w:fill="auto"/>
            <w:vAlign w:val="bottom"/>
            <w:hideMark/>
          </w:tcPr>
          <w:p w14:paraId="3BCC0F23" w14:textId="77777777" w:rsidR="002C7F3C" w:rsidRPr="00232B7C" w:rsidRDefault="002C7F3C" w:rsidP="00FF4267">
            <w:pPr>
              <w:spacing w:after="0" w:line="240" w:lineRule="auto"/>
              <w:ind w:left="-113" w:right="-68"/>
              <w:jc w:val="right"/>
              <w:rPr>
                <w:rFonts w:ascii="Times New Roman" w:eastAsia="Times New Roman" w:hAnsi="Times New Roman" w:cs="Times New Roman"/>
                <w:color w:val="000000"/>
                <w:spacing w:val="-4"/>
                <w:w w:val="98"/>
                <w:sz w:val="18"/>
                <w:szCs w:val="18"/>
                <w:lang w:eastAsia="ru-RU"/>
              </w:rPr>
            </w:pPr>
            <w:r w:rsidRPr="00232B7C">
              <w:rPr>
                <w:rFonts w:ascii="Times New Roman" w:eastAsia="Times New Roman" w:hAnsi="Times New Roman" w:cs="Times New Roman"/>
                <w:color w:val="000000"/>
                <w:spacing w:val="-4"/>
                <w:w w:val="98"/>
                <w:sz w:val="18"/>
                <w:szCs w:val="18"/>
                <w:lang w:eastAsia="ru-RU"/>
              </w:rPr>
              <w:t>45,5</w:t>
            </w:r>
          </w:p>
        </w:tc>
      </w:tr>
      <w:tr w:rsidR="002C7F3C" w:rsidRPr="00232B7C" w14:paraId="43C86A29" w14:textId="77777777" w:rsidTr="007C5F98">
        <w:trPr>
          <w:trHeight w:val="279"/>
          <w:jc w:val="right"/>
        </w:trPr>
        <w:tc>
          <w:tcPr>
            <w:tcW w:w="1555" w:type="dxa"/>
            <w:shd w:val="clear" w:color="auto" w:fill="auto"/>
            <w:vAlign w:val="center"/>
            <w:hideMark/>
          </w:tcPr>
          <w:p w14:paraId="7E8A0C31" w14:textId="77777777" w:rsidR="002C7F3C" w:rsidRPr="00232B7C" w:rsidRDefault="002C7F3C" w:rsidP="00FF4267">
            <w:pPr>
              <w:spacing w:after="0" w:line="240" w:lineRule="auto"/>
              <w:ind w:left="-113" w:right="-113"/>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Расходы,</w:t>
            </w:r>
          </w:p>
        </w:tc>
        <w:tc>
          <w:tcPr>
            <w:tcW w:w="992" w:type="dxa"/>
            <w:shd w:val="clear" w:color="auto" w:fill="F2F2F2" w:themeFill="background1" w:themeFillShade="F2"/>
            <w:vAlign w:val="bottom"/>
          </w:tcPr>
          <w:p w14:paraId="3912078D" w14:textId="4C0935FC"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82 087,5</w:t>
            </w:r>
          </w:p>
        </w:tc>
        <w:tc>
          <w:tcPr>
            <w:tcW w:w="850" w:type="dxa"/>
            <w:shd w:val="clear" w:color="auto" w:fill="auto"/>
            <w:vAlign w:val="bottom"/>
            <w:hideMark/>
          </w:tcPr>
          <w:p w14:paraId="1102C072" w14:textId="6516DC65"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96 189,1</w:t>
            </w:r>
          </w:p>
        </w:tc>
        <w:tc>
          <w:tcPr>
            <w:tcW w:w="1350" w:type="dxa"/>
            <w:shd w:val="clear" w:color="auto" w:fill="auto"/>
            <w:vAlign w:val="bottom"/>
            <w:hideMark/>
          </w:tcPr>
          <w:p w14:paraId="319D86A5" w14:textId="77777777"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109 361,6</w:t>
            </w:r>
          </w:p>
        </w:tc>
        <w:tc>
          <w:tcPr>
            <w:tcW w:w="1226" w:type="dxa"/>
            <w:shd w:val="clear" w:color="auto" w:fill="auto"/>
            <w:vAlign w:val="bottom"/>
            <w:hideMark/>
          </w:tcPr>
          <w:p w14:paraId="03432862" w14:textId="77777777"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107 535,4</w:t>
            </w:r>
          </w:p>
        </w:tc>
        <w:tc>
          <w:tcPr>
            <w:tcW w:w="1215" w:type="dxa"/>
            <w:shd w:val="clear" w:color="auto" w:fill="auto"/>
            <w:vAlign w:val="bottom"/>
            <w:hideMark/>
          </w:tcPr>
          <w:p w14:paraId="4270F32B" w14:textId="77777777"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97 344,4</w:t>
            </w:r>
          </w:p>
        </w:tc>
        <w:tc>
          <w:tcPr>
            <w:tcW w:w="624" w:type="dxa"/>
            <w:gridSpan w:val="2"/>
            <w:shd w:val="clear" w:color="auto" w:fill="F2F2F2" w:themeFill="background1" w:themeFillShade="F2"/>
            <w:vAlign w:val="bottom"/>
          </w:tcPr>
          <w:p w14:paraId="35CB8A73" w14:textId="4D7E5C5B"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118,6</w:t>
            </w:r>
          </w:p>
        </w:tc>
        <w:tc>
          <w:tcPr>
            <w:tcW w:w="792" w:type="dxa"/>
            <w:gridSpan w:val="2"/>
            <w:shd w:val="clear" w:color="auto" w:fill="auto"/>
            <w:vAlign w:val="bottom"/>
            <w:hideMark/>
          </w:tcPr>
          <w:p w14:paraId="022DA1FA" w14:textId="6BEE7356"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89,0</w:t>
            </w:r>
          </w:p>
        </w:tc>
        <w:tc>
          <w:tcPr>
            <w:tcW w:w="741" w:type="dxa"/>
            <w:shd w:val="clear" w:color="auto" w:fill="auto"/>
            <w:vAlign w:val="bottom"/>
            <w:hideMark/>
          </w:tcPr>
          <w:p w14:paraId="2BABA6C6" w14:textId="77777777" w:rsidR="002C7F3C" w:rsidRPr="00232B7C" w:rsidRDefault="002C7F3C" w:rsidP="00FF4267">
            <w:pPr>
              <w:spacing w:after="0" w:line="240" w:lineRule="auto"/>
              <w:ind w:left="-113" w:right="-68"/>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90,5</w:t>
            </w:r>
          </w:p>
        </w:tc>
      </w:tr>
      <w:tr w:rsidR="002C7F3C" w:rsidRPr="00232B7C" w14:paraId="037C3CA2" w14:textId="77777777" w:rsidTr="007C5F98">
        <w:trPr>
          <w:trHeight w:val="257"/>
          <w:jc w:val="right"/>
        </w:trPr>
        <w:tc>
          <w:tcPr>
            <w:tcW w:w="1555" w:type="dxa"/>
            <w:shd w:val="clear" w:color="auto" w:fill="auto"/>
            <w:vAlign w:val="center"/>
            <w:hideMark/>
          </w:tcPr>
          <w:p w14:paraId="177D7C32" w14:textId="3C87001B" w:rsidR="002C7F3C" w:rsidRPr="00232B7C" w:rsidRDefault="002C7F3C" w:rsidP="00FF4267">
            <w:pPr>
              <w:spacing w:after="0" w:line="240" w:lineRule="auto"/>
              <w:ind w:left="-57" w:right="-57"/>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 xml:space="preserve">Дефицит / </w:t>
            </w:r>
          </w:p>
        </w:tc>
        <w:tc>
          <w:tcPr>
            <w:tcW w:w="992" w:type="dxa"/>
            <w:shd w:val="clear" w:color="auto" w:fill="F2F2F2" w:themeFill="background1" w:themeFillShade="F2"/>
            <w:vAlign w:val="bottom"/>
          </w:tcPr>
          <w:p w14:paraId="399E287E" w14:textId="1868D3F9"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-226,9</w:t>
            </w:r>
          </w:p>
        </w:tc>
        <w:tc>
          <w:tcPr>
            <w:tcW w:w="850" w:type="dxa"/>
            <w:shd w:val="clear" w:color="auto" w:fill="auto"/>
            <w:vAlign w:val="bottom"/>
          </w:tcPr>
          <w:p w14:paraId="44125671" w14:textId="4EB2BA33"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1 829,0</w:t>
            </w:r>
          </w:p>
        </w:tc>
        <w:tc>
          <w:tcPr>
            <w:tcW w:w="1350" w:type="dxa"/>
            <w:shd w:val="clear" w:color="auto" w:fill="auto"/>
            <w:vAlign w:val="bottom"/>
            <w:hideMark/>
          </w:tcPr>
          <w:p w14:paraId="0E8B0372"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6 911,8</w:t>
            </w:r>
          </w:p>
        </w:tc>
        <w:tc>
          <w:tcPr>
            <w:tcW w:w="1226" w:type="dxa"/>
            <w:shd w:val="clear" w:color="auto" w:fill="auto"/>
            <w:vAlign w:val="bottom"/>
            <w:hideMark/>
          </w:tcPr>
          <w:p w14:paraId="060FF074"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644,7</w:t>
            </w:r>
          </w:p>
        </w:tc>
        <w:tc>
          <w:tcPr>
            <w:tcW w:w="1215" w:type="dxa"/>
            <w:shd w:val="clear" w:color="auto" w:fill="auto"/>
            <w:vAlign w:val="bottom"/>
            <w:hideMark/>
          </w:tcPr>
          <w:p w14:paraId="2C8842EC"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3 460,4</w:t>
            </w:r>
          </w:p>
        </w:tc>
        <w:tc>
          <w:tcPr>
            <w:tcW w:w="624" w:type="dxa"/>
            <w:gridSpan w:val="2"/>
            <w:shd w:val="clear" w:color="auto" w:fill="F2F2F2" w:themeFill="background1" w:themeFillShade="F2"/>
            <w:vAlign w:val="bottom"/>
          </w:tcPr>
          <w:p w14:paraId="26271935"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p>
        </w:tc>
        <w:tc>
          <w:tcPr>
            <w:tcW w:w="792" w:type="dxa"/>
            <w:gridSpan w:val="2"/>
            <w:shd w:val="clear" w:color="auto" w:fill="auto"/>
            <w:vAlign w:val="bottom"/>
            <w:hideMark/>
          </w:tcPr>
          <w:p w14:paraId="027C14BB" w14:textId="53FCD93F"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50,1</w:t>
            </w:r>
          </w:p>
        </w:tc>
        <w:tc>
          <w:tcPr>
            <w:tcW w:w="741" w:type="dxa"/>
            <w:shd w:val="clear" w:color="auto" w:fill="auto"/>
            <w:vAlign w:val="bottom"/>
            <w:hideMark/>
          </w:tcPr>
          <w:p w14:paraId="6D33F7DD"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536,7</w:t>
            </w:r>
          </w:p>
        </w:tc>
      </w:tr>
      <w:tr w:rsidR="002C7F3C" w:rsidRPr="00232B7C" w14:paraId="0F405EA8" w14:textId="77777777" w:rsidTr="007C5F98">
        <w:trPr>
          <w:trHeight w:val="279"/>
          <w:jc w:val="right"/>
        </w:trPr>
        <w:tc>
          <w:tcPr>
            <w:tcW w:w="1555" w:type="dxa"/>
            <w:shd w:val="clear" w:color="auto" w:fill="auto"/>
            <w:vAlign w:val="center"/>
          </w:tcPr>
          <w:p w14:paraId="502EB9AA" w14:textId="3A3FCC22" w:rsidR="002C7F3C" w:rsidRPr="00232B7C" w:rsidRDefault="002C7F3C" w:rsidP="00FF4267">
            <w:pPr>
              <w:spacing w:after="0" w:line="240" w:lineRule="auto"/>
              <w:ind w:left="-57" w:right="-57"/>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w:t>
            </w:r>
          </w:p>
        </w:tc>
        <w:tc>
          <w:tcPr>
            <w:tcW w:w="992" w:type="dxa"/>
            <w:vAlign w:val="bottom"/>
          </w:tcPr>
          <w:p w14:paraId="05B7FD7A"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p>
        </w:tc>
        <w:tc>
          <w:tcPr>
            <w:tcW w:w="850" w:type="dxa"/>
            <w:shd w:val="clear" w:color="auto" w:fill="auto"/>
            <w:vAlign w:val="bottom"/>
          </w:tcPr>
          <w:p w14:paraId="2B958C0C" w14:textId="03844E2E"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2,8%</w:t>
            </w:r>
          </w:p>
        </w:tc>
        <w:tc>
          <w:tcPr>
            <w:tcW w:w="1350" w:type="dxa"/>
            <w:shd w:val="clear" w:color="auto" w:fill="auto"/>
            <w:vAlign w:val="bottom"/>
          </w:tcPr>
          <w:p w14:paraId="232A614F"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9,8%</w:t>
            </w:r>
          </w:p>
        </w:tc>
        <w:tc>
          <w:tcPr>
            <w:tcW w:w="1226" w:type="dxa"/>
            <w:shd w:val="clear" w:color="auto" w:fill="auto"/>
            <w:vAlign w:val="bottom"/>
          </w:tcPr>
          <w:p w14:paraId="2BE3C8FA"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0,9%</w:t>
            </w:r>
          </w:p>
        </w:tc>
        <w:tc>
          <w:tcPr>
            <w:tcW w:w="1215" w:type="dxa"/>
            <w:shd w:val="clear" w:color="auto" w:fill="auto"/>
            <w:vAlign w:val="bottom"/>
          </w:tcPr>
          <w:p w14:paraId="5CA1D7EA"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4,4%</w:t>
            </w:r>
          </w:p>
        </w:tc>
        <w:tc>
          <w:tcPr>
            <w:tcW w:w="624" w:type="dxa"/>
            <w:gridSpan w:val="2"/>
            <w:shd w:val="clear" w:color="auto" w:fill="F2F2F2" w:themeFill="background1" w:themeFillShade="F2"/>
            <w:vAlign w:val="bottom"/>
          </w:tcPr>
          <w:p w14:paraId="00D0CB6E"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p>
        </w:tc>
        <w:tc>
          <w:tcPr>
            <w:tcW w:w="792" w:type="dxa"/>
            <w:gridSpan w:val="2"/>
            <w:shd w:val="clear" w:color="auto" w:fill="auto"/>
            <w:vAlign w:val="bottom"/>
          </w:tcPr>
          <w:p w14:paraId="47E51595" w14:textId="44FEDF7E"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х</w:t>
            </w:r>
          </w:p>
        </w:tc>
        <w:tc>
          <w:tcPr>
            <w:tcW w:w="741" w:type="dxa"/>
            <w:shd w:val="clear" w:color="auto" w:fill="auto"/>
            <w:vAlign w:val="bottom"/>
          </w:tcPr>
          <w:p w14:paraId="3A79CC59" w14:textId="77777777" w:rsidR="002C7F3C" w:rsidRPr="00232B7C" w:rsidRDefault="002C7F3C" w:rsidP="00FF4267">
            <w:pPr>
              <w:spacing w:after="0" w:line="240" w:lineRule="auto"/>
              <w:ind w:left="-57" w:right="-57"/>
              <w:jc w:val="right"/>
              <w:rPr>
                <w:rFonts w:ascii="Times New Roman" w:eastAsia="Times New Roman" w:hAnsi="Times New Roman" w:cs="Times New Roman"/>
                <w:b/>
                <w:bCs/>
                <w:color w:val="000000"/>
                <w:spacing w:val="-4"/>
                <w:w w:val="98"/>
                <w:sz w:val="18"/>
                <w:szCs w:val="18"/>
                <w:lang w:eastAsia="ru-RU"/>
              </w:rPr>
            </w:pPr>
            <w:r w:rsidRPr="00232B7C">
              <w:rPr>
                <w:rFonts w:ascii="Times New Roman" w:eastAsia="Times New Roman" w:hAnsi="Times New Roman" w:cs="Times New Roman"/>
                <w:b/>
                <w:bCs/>
                <w:color w:val="000000"/>
                <w:spacing w:val="-4"/>
                <w:w w:val="98"/>
                <w:sz w:val="18"/>
                <w:szCs w:val="18"/>
                <w:lang w:eastAsia="ru-RU"/>
              </w:rPr>
              <w:t>х</w:t>
            </w:r>
          </w:p>
        </w:tc>
      </w:tr>
    </w:tbl>
    <w:p w14:paraId="62C41862" w14:textId="63B4AC92" w:rsidR="00A81B7C" w:rsidRPr="005F3B3C" w:rsidRDefault="004841BF" w:rsidP="004841BF">
      <w:pPr>
        <w:tabs>
          <w:tab w:val="left" w:pos="993"/>
          <w:tab w:val="left" w:pos="1134"/>
          <w:tab w:val="left" w:pos="1276"/>
        </w:tabs>
        <w:spacing w:before="240" w:after="0" w:line="240" w:lineRule="auto"/>
        <w:ind w:firstLine="709"/>
        <w:jc w:val="both"/>
        <w:rPr>
          <w:rFonts w:ascii="Times New Roman" w:eastAsia="Calibri" w:hAnsi="Times New Roman" w:cs="Times New Roman"/>
          <w:kern w:val="28"/>
          <w:sz w:val="28"/>
          <w:szCs w:val="28"/>
        </w:rPr>
      </w:pPr>
      <w:r w:rsidRPr="00232B7C">
        <w:rPr>
          <w:rFonts w:ascii="Times New Roman" w:eastAsia="Calibri" w:hAnsi="Times New Roman" w:cs="Times New Roman"/>
          <w:kern w:val="28"/>
          <w:sz w:val="28"/>
          <w:szCs w:val="28"/>
        </w:rPr>
        <w:t>Доходы бюджета области на 202</w:t>
      </w:r>
      <w:r w:rsidR="00A81B7C" w:rsidRPr="00232B7C">
        <w:rPr>
          <w:rFonts w:ascii="Times New Roman" w:eastAsia="Calibri" w:hAnsi="Times New Roman" w:cs="Times New Roman"/>
          <w:kern w:val="28"/>
          <w:sz w:val="28"/>
          <w:szCs w:val="28"/>
        </w:rPr>
        <w:t>2</w:t>
      </w:r>
      <w:r w:rsidRPr="00232B7C">
        <w:rPr>
          <w:rFonts w:ascii="Times New Roman" w:eastAsia="Calibri" w:hAnsi="Times New Roman" w:cs="Times New Roman"/>
          <w:kern w:val="28"/>
          <w:sz w:val="28"/>
          <w:szCs w:val="28"/>
        </w:rPr>
        <w:t xml:space="preserve"> год </w:t>
      </w:r>
      <w:r w:rsidR="00A81B7C" w:rsidRPr="00232B7C">
        <w:rPr>
          <w:rFonts w:ascii="Times New Roman" w:eastAsia="Calibri" w:hAnsi="Times New Roman" w:cs="Times New Roman"/>
          <w:kern w:val="28"/>
          <w:sz w:val="28"/>
          <w:szCs w:val="28"/>
        </w:rPr>
        <w:t xml:space="preserve">в целом </w:t>
      </w:r>
      <w:r w:rsidRPr="00232B7C">
        <w:rPr>
          <w:rFonts w:ascii="Times New Roman" w:eastAsia="Calibri" w:hAnsi="Times New Roman" w:cs="Times New Roman"/>
          <w:kern w:val="28"/>
          <w:sz w:val="28"/>
          <w:szCs w:val="28"/>
        </w:rPr>
        <w:t>планируются ниже уровня оценки исполнения доходов бюджета области за 20</w:t>
      </w:r>
      <w:r w:rsidR="00A81B7C" w:rsidRPr="00232B7C">
        <w:rPr>
          <w:rFonts w:ascii="Times New Roman" w:eastAsia="Calibri" w:hAnsi="Times New Roman" w:cs="Times New Roman"/>
          <w:kern w:val="28"/>
          <w:sz w:val="28"/>
          <w:szCs w:val="28"/>
        </w:rPr>
        <w:t>21</w:t>
      </w:r>
      <w:r w:rsidRPr="00232B7C">
        <w:rPr>
          <w:rFonts w:ascii="Times New Roman" w:eastAsia="Calibri" w:hAnsi="Times New Roman" w:cs="Times New Roman"/>
          <w:kern w:val="28"/>
          <w:sz w:val="28"/>
          <w:szCs w:val="28"/>
        </w:rPr>
        <w:t xml:space="preserve"> год (на </w:t>
      </w:r>
      <w:r w:rsidR="00A81B7C" w:rsidRPr="00232B7C">
        <w:rPr>
          <w:rFonts w:ascii="Times New Roman" w:eastAsia="Calibri" w:hAnsi="Times New Roman" w:cs="Times New Roman"/>
          <w:kern w:val="28"/>
          <w:sz w:val="28"/>
          <w:szCs w:val="28"/>
        </w:rPr>
        <w:t>12,2</w:t>
      </w:r>
      <w:r w:rsidRPr="00232B7C">
        <w:rPr>
          <w:rFonts w:ascii="Times New Roman" w:eastAsia="Calibri" w:hAnsi="Times New Roman" w:cs="Times New Roman"/>
          <w:kern w:val="28"/>
          <w:sz w:val="28"/>
          <w:szCs w:val="28"/>
        </w:rPr>
        <w:t xml:space="preserve">%), что обусловлено отсутствием распределения между бюджетами субъектов </w:t>
      </w:r>
      <w:r w:rsidR="00795EF0" w:rsidRPr="00232B7C">
        <w:rPr>
          <w:rFonts w:ascii="Times New Roman" w:eastAsia="Calibri" w:hAnsi="Times New Roman" w:cs="Times New Roman"/>
          <w:kern w:val="28"/>
          <w:sz w:val="28"/>
          <w:szCs w:val="28"/>
        </w:rPr>
        <w:t xml:space="preserve">Российской Федерации (далее – </w:t>
      </w:r>
      <w:r w:rsidRPr="00232B7C">
        <w:rPr>
          <w:rFonts w:ascii="Times New Roman" w:eastAsia="Calibri" w:hAnsi="Times New Roman" w:cs="Times New Roman"/>
          <w:kern w:val="28"/>
          <w:sz w:val="28"/>
          <w:szCs w:val="28"/>
        </w:rPr>
        <w:t>РФ</w:t>
      </w:r>
      <w:r w:rsidR="00795EF0" w:rsidRPr="00232B7C">
        <w:rPr>
          <w:rFonts w:ascii="Times New Roman" w:eastAsia="Calibri" w:hAnsi="Times New Roman" w:cs="Times New Roman"/>
          <w:kern w:val="28"/>
          <w:sz w:val="28"/>
          <w:szCs w:val="28"/>
        </w:rPr>
        <w:t>)</w:t>
      </w:r>
      <w:r w:rsidRPr="00232B7C">
        <w:rPr>
          <w:rFonts w:ascii="Times New Roman" w:eastAsia="Calibri" w:hAnsi="Times New Roman" w:cs="Times New Roman"/>
          <w:kern w:val="28"/>
          <w:sz w:val="28"/>
          <w:szCs w:val="28"/>
        </w:rPr>
        <w:t xml:space="preserve"> отдельных межбюдж</w:t>
      </w:r>
      <w:r w:rsidRPr="007C5F98">
        <w:rPr>
          <w:rFonts w:ascii="Times New Roman" w:eastAsia="Calibri" w:hAnsi="Times New Roman" w:cs="Times New Roman"/>
          <w:kern w:val="28"/>
          <w:sz w:val="28"/>
          <w:szCs w:val="28"/>
        </w:rPr>
        <w:t>етных трансфертов из федерального бюджета</w:t>
      </w:r>
      <w:r w:rsidR="00A81B7C" w:rsidRPr="007C5F98">
        <w:rPr>
          <w:rFonts w:ascii="Times New Roman" w:eastAsia="Calibri" w:hAnsi="Times New Roman" w:cs="Times New Roman"/>
          <w:kern w:val="28"/>
          <w:sz w:val="28"/>
          <w:szCs w:val="28"/>
        </w:rPr>
        <w:t>, при</w:t>
      </w:r>
      <w:r w:rsidR="00A81B7C" w:rsidRPr="005F3B3C">
        <w:rPr>
          <w:rFonts w:ascii="Times New Roman" w:eastAsia="Calibri" w:hAnsi="Times New Roman" w:cs="Times New Roman"/>
          <w:kern w:val="28"/>
          <w:sz w:val="28"/>
          <w:szCs w:val="28"/>
        </w:rPr>
        <w:t xml:space="preserve"> этом </w:t>
      </w:r>
      <w:r w:rsidR="00F04753">
        <w:rPr>
          <w:rFonts w:ascii="Times New Roman" w:eastAsia="Calibri" w:hAnsi="Times New Roman" w:cs="Times New Roman"/>
          <w:kern w:val="28"/>
          <w:sz w:val="28"/>
          <w:szCs w:val="28"/>
        </w:rPr>
        <w:t xml:space="preserve">объем </w:t>
      </w:r>
      <w:r w:rsidR="00A81B7C" w:rsidRPr="005F3B3C">
        <w:rPr>
          <w:rFonts w:ascii="Times New Roman" w:eastAsia="Calibri" w:hAnsi="Times New Roman" w:cs="Times New Roman"/>
          <w:kern w:val="28"/>
          <w:sz w:val="28"/>
          <w:szCs w:val="28"/>
        </w:rPr>
        <w:t xml:space="preserve">налоговых и неналоговых доходов </w:t>
      </w:r>
      <w:r w:rsidR="00F04753" w:rsidRPr="005F3B3C">
        <w:rPr>
          <w:rFonts w:ascii="Times New Roman" w:eastAsia="Calibri" w:hAnsi="Times New Roman" w:cs="Times New Roman"/>
          <w:kern w:val="28"/>
          <w:sz w:val="28"/>
          <w:szCs w:val="28"/>
        </w:rPr>
        <w:t>прогнозируется</w:t>
      </w:r>
      <w:r w:rsidR="00F04753">
        <w:rPr>
          <w:rFonts w:ascii="Times New Roman" w:eastAsia="Calibri" w:hAnsi="Times New Roman" w:cs="Times New Roman"/>
          <w:kern w:val="28"/>
          <w:sz w:val="28"/>
          <w:szCs w:val="28"/>
        </w:rPr>
        <w:t xml:space="preserve"> с </w:t>
      </w:r>
      <w:r w:rsidR="00F04753" w:rsidRPr="005F3B3C">
        <w:rPr>
          <w:rFonts w:ascii="Times New Roman" w:eastAsia="Calibri" w:hAnsi="Times New Roman" w:cs="Times New Roman"/>
          <w:kern w:val="28"/>
          <w:sz w:val="28"/>
          <w:szCs w:val="28"/>
        </w:rPr>
        <w:t>рост</w:t>
      </w:r>
      <w:r w:rsidR="00F04753">
        <w:rPr>
          <w:rFonts w:ascii="Times New Roman" w:eastAsia="Calibri" w:hAnsi="Times New Roman" w:cs="Times New Roman"/>
          <w:kern w:val="28"/>
          <w:sz w:val="28"/>
          <w:szCs w:val="28"/>
        </w:rPr>
        <w:t xml:space="preserve">ом </w:t>
      </w:r>
      <w:r w:rsidR="00F04753" w:rsidRPr="005F3B3C">
        <w:rPr>
          <w:rFonts w:ascii="Times New Roman" w:eastAsia="Calibri" w:hAnsi="Times New Roman" w:cs="Times New Roman"/>
          <w:kern w:val="28"/>
          <w:sz w:val="28"/>
          <w:szCs w:val="28"/>
        </w:rPr>
        <w:t xml:space="preserve">от </w:t>
      </w:r>
      <w:r w:rsidR="00F04753" w:rsidRPr="00C30763">
        <w:rPr>
          <w:rFonts w:ascii="Times New Roman" w:eastAsia="Calibri" w:hAnsi="Times New Roman" w:cs="Times New Roman"/>
          <w:kern w:val="28"/>
          <w:sz w:val="28"/>
          <w:szCs w:val="28"/>
        </w:rPr>
        <w:t xml:space="preserve">ожидаемой оценки исполнения за 2021 год </w:t>
      </w:r>
      <w:r w:rsidR="00A81B7C" w:rsidRPr="00C30763">
        <w:rPr>
          <w:rFonts w:ascii="Times New Roman" w:eastAsia="Calibri" w:hAnsi="Times New Roman" w:cs="Times New Roman"/>
          <w:kern w:val="28"/>
          <w:sz w:val="28"/>
          <w:szCs w:val="28"/>
        </w:rPr>
        <w:t xml:space="preserve">на 5,6%, объем безвозмездных поступлений </w:t>
      </w:r>
      <w:r w:rsidR="007C5F98" w:rsidRPr="00C30763">
        <w:rPr>
          <w:rFonts w:ascii="Times New Roman" w:eastAsia="Calibri" w:hAnsi="Times New Roman" w:cs="Times New Roman"/>
          <w:kern w:val="28"/>
          <w:sz w:val="28"/>
          <w:szCs w:val="28"/>
        </w:rPr>
        <w:t>составляет</w:t>
      </w:r>
      <w:r w:rsidR="00A81B7C" w:rsidRPr="00C30763">
        <w:rPr>
          <w:rFonts w:ascii="Times New Roman" w:eastAsia="Calibri" w:hAnsi="Times New Roman" w:cs="Times New Roman"/>
          <w:kern w:val="28"/>
          <w:sz w:val="28"/>
          <w:szCs w:val="28"/>
        </w:rPr>
        <w:t xml:space="preserve"> 45</w:t>
      </w:r>
      <w:r w:rsidR="00A81B7C" w:rsidRPr="005F3B3C">
        <w:rPr>
          <w:rFonts w:ascii="Times New Roman" w:eastAsia="Calibri" w:hAnsi="Times New Roman" w:cs="Times New Roman"/>
          <w:kern w:val="28"/>
          <w:sz w:val="28"/>
          <w:szCs w:val="28"/>
        </w:rPr>
        <w:t>,5% от ожидаемой оценки исполнения за 2021 год.</w:t>
      </w:r>
    </w:p>
    <w:p w14:paraId="3E60B9F6" w14:textId="7D6C6889" w:rsidR="004841BF" w:rsidRDefault="004841BF" w:rsidP="005F3B3C">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F04753">
        <w:rPr>
          <w:rFonts w:ascii="Times New Roman" w:eastAsia="Calibri" w:hAnsi="Times New Roman" w:cs="Times New Roman"/>
          <w:kern w:val="28"/>
          <w:sz w:val="28"/>
          <w:szCs w:val="28"/>
        </w:rPr>
        <w:t>На 202</w:t>
      </w:r>
      <w:r w:rsidR="0047604B">
        <w:rPr>
          <w:rFonts w:ascii="Times New Roman" w:eastAsia="Calibri" w:hAnsi="Times New Roman" w:cs="Times New Roman"/>
          <w:kern w:val="28"/>
          <w:sz w:val="28"/>
          <w:szCs w:val="28"/>
        </w:rPr>
        <w:t>3</w:t>
      </w:r>
      <w:r w:rsidRPr="00F04753">
        <w:rPr>
          <w:rFonts w:ascii="Times New Roman" w:eastAsia="Calibri" w:hAnsi="Times New Roman" w:cs="Times New Roman"/>
          <w:kern w:val="28"/>
          <w:sz w:val="28"/>
          <w:szCs w:val="28"/>
        </w:rPr>
        <w:t xml:space="preserve"> и 202</w:t>
      </w:r>
      <w:r w:rsidR="0047604B">
        <w:rPr>
          <w:rFonts w:ascii="Times New Roman" w:eastAsia="Calibri" w:hAnsi="Times New Roman" w:cs="Times New Roman"/>
          <w:kern w:val="28"/>
          <w:sz w:val="28"/>
          <w:szCs w:val="28"/>
        </w:rPr>
        <w:t>4</w:t>
      </w:r>
      <w:r w:rsidRPr="00F04753">
        <w:rPr>
          <w:rFonts w:ascii="Times New Roman" w:eastAsia="Calibri" w:hAnsi="Times New Roman" w:cs="Times New Roman"/>
          <w:kern w:val="28"/>
          <w:sz w:val="28"/>
          <w:szCs w:val="28"/>
        </w:rPr>
        <w:t xml:space="preserve"> годы доходы </w:t>
      </w:r>
      <w:r w:rsidR="00F04753" w:rsidRPr="00F04753">
        <w:rPr>
          <w:rFonts w:ascii="Times New Roman" w:eastAsia="Calibri" w:hAnsi="Times New Roman" w:cs="Times New Roman"/>
          <w:kern w:val="28"/>
          <w:sz w:val="28"/>
          <w:szCs w:val="28"/>
        </w:rPr>
        <w:t xml:space="preserve">в целом </w:t>
      </w:r>
      <w:r w:rsidRPr="00F04753">
        <w:rPr>
          <w:rFonts w:ascii="Times New Roman" w:eastAsia="Calibri" w:hAnsi="Times New Roman" w:cs="Times New Roman"/>
          <w:kern w:val="28"/>
          <w:sz w:val="28"/>
          <w:szCs w:val="28"/>
        </w:rPr>
        <w:t xml:space="preserve">прогнозируются с ростом к предыдущему году на </w:t>
      </w:r>
      <w:r w:rsidR="00A81B7C" w:rsidRPr="00F04753">
        <w:rPr>
          <w:rFonts w:ascii="Times New Roman" w:eastAsia="Calibri" w:hAnsi="Times New Roman" w:cs="Times New Roman"/>
          <w:kern w:val="28"/>
          <w:sz w:val="28"/>
          <w:szCs w:val="28"/>
        </w:rPr>
        <w:t>3</w:t>
      </w:r>
      <w:r w:rsidRPr="00F04753">
        <w:rPr>
          <w:rFonts w:ascii="Times New Roman" w:eastAsia="Calibri" w:hAnsi="Times New Roman" w:cs="Times New Roman"/>
          <w:kern w:val="28"/>
          <w:sz w:val="28"/>
          <w:szCs w:val="28"/>
        </w:rPr>
        <w:t xml:space="preserve">,7% и на </w:t>
      </w:r>
      <w:r w:rsidR="00A81B7C" w:rsidRPr="00F04753">
        <w:rPr>
          <w:rFonts w:ascii="Times New Roman" w:eastAsia="Calibri" w:hAnsi="Times New Roman" w:cs="Times New Roman"/>
          <w:kern w:val="28"/>
          <w:sz w:val="28"/>
          <w:szCs w:val="28"/>
        </w:rPr>
        <w:t>4,6</w:t>
      </w:r>
      <w:r w:rsidRPr="00F04753">
        <w:rPr>
          <w:rFonts w:ascii="Times New Roman" w:eastAsia="Calibri" w:hAnsi="Times New Roman" w:cs="Times New Roman"/>
          <w:kern w:val="28"/>
          <w:sz w:val="28"/>
          <w:szCs w:val="28"/>
        </w:rPr>
        <w:t xml:space="preserve">% соответственно за счет предполагаемого ежегодного </w:t>
      </w:r>
      <w:r w:rsidR="00F04753" w:rsidRPr="00F04753">
        <w:rPr>
          <w:rFonts w:ascii="Times New Roman" w:eastAsia="Calibri" w:hAnsi="Times New Roman" w:cs="Times New Roman"/>
          <w:kern w:val="28"/>
          <w:sz w:val="28"/>
          <w:szCs w:val="28"/>
        </w:rPr>
        <w:t>увеличения</w:t>
      </w:r>
      <w:r w:rsidRPr="00F04753">
        <w:rPr>
          <w:rFonts w:ascii="Times New Roman" w:eastAsia="Calibri" w:hAnsi="Times New Roman" w:cs="Times New Roman"/>
          <w:kern w:val="28"/>
          <w:sz w:val="28"/>
          <w:szCs w:val="28"/>
        </w:rPr>
        <w:t xml:space="preserve"> налоговых и неналоговых доходов бюджета области.</w:t>
      </w:r>
    </w:p>
    <w:p w14:paraId="2C4A8D09" w14:textId="5F278742" w:rsidR="0047604B" w:rsidRPr="00244E4A" w:rsidRDefault="0047604B" w:rsidP="0047604B">
      <w:pPr>
        <w:spacing w:before="120" w:after="0" w:line="240" w:lineRule="auto"/>
        <w:ind w:firstLine="709"/>
        <w:jc w:val="both"/>
        <w:rPr>
          <w:rFonts w:ascii="Times New Roman" w:eastAsia="Calibri" w:hAnsi="Times New Roman" w:cs="Times New Roman"/>
          <w:sz w:val="28"/>
          <w:szCs w:val="28"/>
          <w:highlight w:val="yellow"/>
        </w:rPr>
      </w:pPr>
      <w:r w:rsidRPr="0047604B">
        <w:rPr>
          <w:rFonts w:ascii="Times New Roman" w:eastAsia="Calibri" w:hAnsi="Times New Roman" w:cs="Times New Roman"/>
          <w:sz w:val="28"/>
          <w:szCs w:val="28"/>
        </w:rPr>
        <w:t>Расходы бюджета области на 2</w:t>
      </w:r>
      <w:r w:rsidR="00DF15BE">
        <w:rPr>
          <w:rFonts w:ascii="Times New Roman" w:eastAsia="Calibri" w:hAnsi="Times New Roman" w:cs="Times New Roman"/>
          <w:sz w:val="28"/>
          <w:szCs w:val="28"/>
        </w:rPr>
        <w:t>022 год предусматриваются также</w:t>
      </w:r>
      <w:r w:rsidR="004B1339">
        <w:rPr>
          <w:rFonts w:ascii="Times New Roman" w:eastAsia="Calibri" w:hAnsi="Times New Roman" w:cs="Times New Roman"/>
          <w:sz w:val="28"/>
          <w:szCs w:val="28"/>
        </w:rPr>
        <w:t>,</w:t>
      </w:r>
      <w:r w:rsidR="00DF15BE">
        <w:rPr>
          <w:rFonts w:ascii="Times New Roman" w:eastAsia="Calibri" w:hAnsi="Times New Roman" w:cs="Times New Roman"/>
          <w:sz w:val="28"/>
          <w:szCs w:val="28"/>
        </w:rPr>
        <w:t xml:space="preserve"> как и доходы</w:t>
      </w:r>
      <w:r w:rsidRPr="0047604B">
        <w:rPr>
          <w:rFonts w:ascii="Times New Roman" w:eastAsia="Calibri" w:hAnsi="Times New Roman" w:cs="Times New Roman"/>
          <w:sz w:val="28"/>
          <w:szCs w:val="28"/>
        </w:rPr>
        <w:t xml:space="preserve"> со снижением к ожидаемой оценке исполнения бюджета за 2021 год (на 9,5%). Расходы бюджета области на </w:t>
      </w:r>
      <w:r w:rsidRPr="0047604B">
        <w:rPr>
          <w:rFonts w:ascii="Times New Roman" w:eastAsia="Calibri" w:hAnsi="Times New Roman" w:cs="Times New Roman"/>
          <w:kern w:val="28"/>
          <w:sz w:val="28"/>
          <w:szCs w:val="28"/>
        </w:rPr>
        <w:t>2023 и 2024 годы</w:t>
      </w:r>
      <w:r w:rsidRPr="0047604B">
        <w:rPr>
          <w:rFonts w:ascii="Times New Roman" w:eastAsia="Calibri" w:hAnsi="Times New Roman" w:cs="Times New Roman"/>
          <w:sz w:val="28"/>
          <w:szCs w:val="28"/>
        </w:rPr>
        <w:t xml:space="preserve"> </w:t>
      </w:r>
      <w:r w:rsidRPr="0047604B">
        <w:rPr>
          <w:rFonts w:ascii="Times New Roman" w:eastAsia="Calibri" w:hAnsi="Times New Roman" w:cs="Times New Roman"/>
          <w:kern w:val="28"/>
          <w:sz w:val="28"/>
          <w:szCs w:val="28"/>
        </w:rPr>
        <w:t>прогнозируются</w:t>
      </w:r>
      <w:r w:rsidRPr="00F04753">
        <w:rPr>
          <w:rFonts w:ascii="Times New Roman" w:eastAsia="Calibri" w:hAnsi="Times New Roman" w:cs="Times New Roman"/>
          <w:kern w:val="28"/>
          <w:sz w:val="28"/>
          <w:szCs w:val="28"/>
        </w:rPr>
        <w:t xml:space="preserve"> с ростом к предыдущему году на </w:t>
      </w:r>
      <w:r>
        <w:rPr>
          <w:rFonts w:ascii="Times New Roman" w:eastAsia="Calibri" w:hAnsi="Times New Roman" w:cs="Times New Roman"/>
          <w:kern w:val="28"/>
          <w:sz w:val="28"/>
          <w:szCs w:val="28"/>
        </w:rPr>
        <w:t>0,4</w:t>
      </w:r>
      <w:r w:rsidRPr="00F04753">
        <w:rPr>
          <w:rFonts w:ascii="Times New Roman" w:eastAsia="Calibri" w:hAnsi="Times New Roman" w:cs="Times New Roman"/>
          <w:kern w:val="28"/>
          <w:sz w:val="28"/>
          <w:szCs w:val="28"/>
        </w:rPr>
        <w:t>% и на 4,</w:t>
      </w:r>
      <w:r>
        <w:rPr>
          <w:rFonts w:ascii="Times New Roman" w:eastAsia="Calibri" w:hAnsi="Times New Roman" w:cs="Times New Roman"/>
          <w:kern w:val="28"/>
          <w:sz w:val="28"/>
          <w:szCs w:val="28"/>
        </w:rPr>
        <w:t>5</w:t>
      </w:r>
      <w:r w:rsidRPr="00F04753">
        <w:rPr>
          <w:rFonts w:ascii="Times New Roman" w:eastAsia="Calibri" w:hAnsi="Times New Roman" w:cs="Times New Roman"/>
          <w:kern w:val="28"/>
          <w:sz w:val="28"/>
          <w:szCs w:val="28"/>
        </w:rPr>
        <w:t>% соответственно</w:t>
      </w:r>
      <w:r>
        <w:rPr>
          <w:rFonts w:ascii="Times New Roman" w:eastAsia="Calibri" w:hAnsi="Times New Roman" w:cs="Times New Roman"/>
          <w:kern w:val="28"/>
          <w:sz w:val="28"/>
          <w:szCs w:val="28"/>
        </w:rPr>
        <w:t>.</w:t>
      </w:r>
      <w:r w:rsidRPr="00F04753">
        <w:rPr>
          <w:rFonts w:ascii="Times New Roman" w:eastAsia="Calibri" w:hAnsi="Times New Roman" w:cs="Times New Roman"/>
          <w:kern w:val="28"/>
          <w:sz w:val="28"/>
          <w:szCs w:val="28"/>
        </w:rPr>
        <w:t xml:space="preserve"> </w:t>
      </w:r>
    </w:p>
    <w:p w14:paraId="5EB8B0EF" w14:textId="10DC5AE7" w:rsidR="0047604B" w:rsidRDefault="0047604B" w:rsidP="0047604B">
      <w:pPr>
        <w:pStyle w:val="af8"/>
        <w:spacing w:before="120"/>
        <w:rPr>
          <w:spacing w:val="-4"/>
        </w:rPr>
      </w:pPr>
      <w:r w:rsidRPr="008F45F5">
        <w:rPr>
          <w:spacing w:val="-4"/>
        </w:rPr>
        <w:t xml:space="preserve">Условно утверждаемые расходы бюджета области (не распределенные в плановом периоде </w:t>
      </w:r>
      <w:r w:rsidRPr="008F45F5">
        <w:t>в соответствии с классификацией расходов бюджетов бюджетные ассигнования</w:t>
      </w:r>
      <w:r w:rsidRPr="008F45F5">
        <w:rPr>
          <w:spacing w:val="-4"/>
        </w:rPr>
        <w:t>) предусматриваются на 2023 год в сумме 2 600,0 млн. рублей, что составляет 3,1% от общего объема расходов бюджета</w:t>
      </w:r>
      <w:r w:rsidR="00116BB9" w:rsidRPr="00116BB9">
        <w:t xml:space="preserve"> </w:t>
      </w:r>
      <w:r w:rsidR="00116BB9">
        <w:rPr>
          <w:spacing w:val="-4"/>
        </w:rPr>
        <w:t>б</w:t>
      </w:r>
      <w:r w:rsidR="00116BB9" w:rsidRPr="00116BB9">
        <w:rPr>
          <w:spacing w:val="-4"/>
        </w:rPr>
        <w:t>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Pr="008F45F5">
        <w:rPr>
          <w:spacing w:val="-4"/>
        </w:rPr>
        <w:t xml:space="preserve">, на 2024 год в сумме 6 000,0 млн. </w:t>
      </w:r>
      <w:r w:rsidRPr="00C247A2">
        <w:rPr>
          <w:spacing w:val="-4"/>
        </w:rPr>
        <w:t>рублей, или 6,7% от общего</w:t>
      </w:r>
      <w:r w:rsidRPr="008F45F5">
        <w:rPr>
          <w:spacing w:val="-4"/>
        </w:rPr>
        <w:t xml:space="preserve"> объема расходов бюджета, что соответствует норме, определенной частью третьей статьи 184.1 БК РФ</w:t>
      </w:r>
      <w:r>
        <w:rPr>
          <w:rStyle w:val="a5"/>
          <w:spacing w:val="-4"/>
        </w:rPr>
        <w:footnoteReference w:id="2"/>
      </w:r>
      <w:r w:rsidRPr="008F45F5">
        <w:rPr>
          <w:spacing w:val="-4"/>
        </w:rPr>
        <w:t>.</w:t>
      </w:r>
    </w:p>
    <w:p w14:paraId="1BDFFB9A" w14:textId="7C5DE532" w:rsidR="00770E19" w:rsidRDefault="00770E19" w:rsidP="0047604B">
      <w:pPr>
        <w:pStyle w:val="af8"/>
        <w:spacing w:before="120"/>
        <w:rPr>
          <w:spacing w:val="-4"/>
        </w:rPr>
      </w:pPr>
      <w:r>
        <w:rPr>
          <w:spacing w:val="-4"/>
        </w:rPr>
        <w:lastRenderedPageBreak/>
        <w:t>Параметры бюджета</w:t>
      </w:r>
      <w:r w:rsidR="00DF15BE">
        <w:rPr>
          <w:spacing w:val="-4"/>
        </w:rPr>
        <w:t xml:space="preserve"> области </w:t>
      </w:r>
      <w:r>
        <w:rPr>
          <w:spacing w:val="-4"/>
        </w:rPr>
        <w:t>согласно представленного Законопроекта и действующего Закона о бюджете области на 2021 год в части планового периода 2022 и 2023 годов представлены в таблице.</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88"/>
        <w:gridCol w:w="1147"/>
        <w:gridCol w:w="1288"/>
        <w:gridCol w:w="1144"/>
        <w:gridCol w:w="1143"/>
        <w:gridCol w:w="1145"/>
      </w:tblGrid>
      <w:tr w:rsidR="004B1339" w:rsidRPr="00770E19" w14:paraId="527FD99B" w14:textId="77777777" w:rsidTr="00770E19">
        <w:trPr>
          <w:trHeight w:val="387"/>
          <w:tblHeader/>
          <w:jc w:val="center"/>
        </w:trPr>
        <w:tc>
          <w:tcPr>
            <w:tcW w:w="2283" w:type="dxa"/>
            <w:vMerge w:val="restart"/>
            <w:shd w:val="clear" w:color="auto" w:fill="auto"/>
            <w:vAlign w:val="center"/>
          </w:tcPr>
          <w:p w14:paraId="2BAC2F02" w14:textId="74DF34F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Показатель</w:t>
            </w:r>
          </w:p>
        </w:tc>
        <w:tc>
          <w:tcPr>
            <w:tcW w:w="2435" w:type="dxa"/>
            <w:gridSpan w:val="2"/>
            <w:shd w:val="clear" w:color="auto" w:fill="auto"/>
            <w:vAlign w:val="center"/>
          </w:tcPr>
          <w:p w14:paraId="07941860"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Предыдущий бюджетный цикл 2021-2023 согласно Закону о бюджете области на 2021 год</w:t>
            </w:r>
          </w:p>
        </w:tc>
        <w:tc>
          <w:tcPr>
            <w:tcW w:w="2432" w:type="dxa"/>
            <w:gridSpan w:val="2"/>
            <w:shd w:val="clear" w:color="auto" w:fill="auto"/>
            <w:vAlign w:val="center"/>
          </w:tcPr>
          <w:p w14:paraId="5777DAA3"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Законопроект</w:t>
            </w:r>
          </w:p>
        </w:tc>
        <w:tc>
          <w:tcPr>
            <w:tcW w:w="2288" w:type="dxa"/>
            <w:gridSpan w:val="2"/>
          </w:tcPr>
          <w:p w14:paraId="2C0B8F29"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Изменение законопроекта по отношению к Закону о бюджете на 2021 год</w:t>
            </w:r>
          </w:p>
        </w:tc>
      </w:tr>
      <w:tr w:rsidR="004B1339" w:rsidRPr="00770E19" w14:paraId="6DFB60C1" w14:textId="77777777" w:rsidTr="00770E19">
        <w:trPr>
          <w:trHeight w:val="387"/>
          <w:tblHeader/>
          <w:jc w:val="center"/>
        </w:trPr>
        <w:tc>
          <w:tcPr>
            <w:tcW w:w="2283" w:type="dxa"/>
            <w:vMerge/>
            <w:shd w:val="clear" w:color="auto" w:fill="auto"/>
            <w:vAlign w:val="center"/>
            <w:hideMark/>
          </w:tcPr>
          <w:p w14:paraId="0DCBF49D" w14:textId="7D565A9D"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p>
        </w:tc>
        <w:tc>
          <w:tcPr>
            <w:tcW w:w="1288" w:type="dxa"/>
            <w:shd w:val="clear" w:color="auto" w:fill="auto"/>
            <w:vAlign w:val="center"/>
            <w:hideMark/>
          </w:tcPr>
          <w:p w14:paraId="6473F4B0"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2022 год</w:t>
            </w:r>
          </w:p>
        </w:tc>
        <w:tc>
          <w:tcPr>
            <w:tcW w:w="1147" w:type="dxa"/>
            <w:shd w:val="clear" w:color="auto" w:fill="auto"/>
            <w:vAlign w:val="center"/>
            <w:hideMark/>
          </w:tcPr>
          <w:p w14:paraId="4F7EF2FB"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2023 год</w:t>
            </w:r>
          </w:p>
        </w:tc>
        <w:tc>
          <w:tcPr>
            <w:tcW w:w="1288" w:type="dxa"/>
            <w:shd w:val="clear" w:color="auto" w:fill="auto"/>
            <w:vAlign w:val="center"/>
            <w:hideMark/>
          </w:tcPr>
          <w:p w14:paraId="543C685D"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2022 год</w:t>
            </w:r>
          </w:p>
        </w:tc>
        <w:tc>
          <w:tcPr>
            <w:tcW w:w="1144" w:type="dxa"/>
            <w:shd w:val="clear" w:color="auto" w:fill="auto"/>
            <w:vAlign w:val="center"/>
            <w:hideMark/>
          </w:tcPr>
          <w:p w14:paraId="2C7CA82E"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2023 год</w:t>
            </w:r>
          </w:p>
        </w:tc>
        <w:tc>
          <w:tcPr>
            <w:tcW w:w="1143" w:type="dxa"/>
            <w:shd w:val="clear" w:color="auto" w:fill="auto"/>
            <w:vAlign w:val="center"/>
          </w:tcPr>
          <w:p w14:paraId="454CB1DF"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2022 год</w:t>
            </w:r>
          </w:p>
        </w:tc>
        <w:tc>
          <w:tcPr>
            <w:tcW w:w="1145" w:type="dxa"/>
            <w:shd w:val="clear" w:color="auto" w:fill="auto"/>
            <w:vAlign w:val="center"/>
          </w:tcPr>
          <w:p w14:paraId="2A508497" w14:textId="77777777" w:rsidR="004B1339" w:rsidRPr="00770E19"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2023 год</w:t>
            </w:r>
          </w:p>
        </w:tc>
      </w:tr>
      <w:tr w:rsidR="004B1339" w:rsidRPr="00770E19" w14:paraId="14F49BFA" w14:textId="77777777" w:rsidTr="00770E19">
        <w:trPr>
          <w:trHeight w:val="500"/>
          <w:tblHeader/>
          <w:jc w:val="center"/>
        </w:trPr>
        <w:tc>
          <w:tcPr>
            <w:tcW w:w="2283" w:type="dxa"/>
            <w:vMerge/>
            <w:vAlign w:val="center"/>
            <w:hideMark/>
          </w:tcPr>
          <w:p w14:paraId="5FBBCC64" w14:textId="77777777" w:rsidR="004B1339" w:rsidRPr="00770E19" w:rsidRDefault="004B1339" w:rsidP="00770E19">
            <w:pPr>
              <w:spacing w:after="0" w:line="240" w:lineRule="auto"/>
              <w:ind w:left="-57" w:right="-57"/>
              <w:rPr>
                <w:rFonts w:ascii="Times New Roman" w:eastAsia="Times New Roman" w:hAnsi="Times New Roman" w:cs="Times New Roman"/>
                <w:color w:val="000000"/>
                <w:spacing w:val="-4"/>
                <w:sz w:val="18"/>
                <w:szCs w:val="18"/>
                <w:lang w:eastAsia="ru-RU"/>
              </w:rPr>
            </w:pPr>
          </w:p>
        </w:tc>
        <w:tc>
          <w:tcPr>
            <w:tcW w:w="1288" w:type="dxa"/>
            <w:shd w:val="clear" w:color="auto" w:fill="auto"/>
            <w:vAlign w:val="center"/>
          </w:tcPr>
          <w:p w14:paraId="429CF0F8"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c>
          <w:tcPr>
            <w:tcW w:w="1147" w:type="dxa"/>
            <w:shd w:val="clear" w:color="auto" w:fill="auto"/>
            <w:vAlign w:val="center"/>
          </w:tcPr>
          <w:p w14:paraId="19D52F5D"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c>
          <w:tcPr>
            <w:tcW w:w="1288" w:type="dxa"/>
            <w:shd w:val="clear" w:color="auto" w:fill="auto"/>
            <w:vAlign w:val="center"/>
            <w:hideMark/>
          </w:tcPr>
          <w:p w14:paraId="2286D163"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c>
          <w:tcPr>
            <w:tcW w:w="1144" w:type="dxa"/>
            <w:shd w:val="clear" w:color="auto" w:fill="auto"/>
            <w:vAlign w:val="center"/>
            <w:hideMark/>
          </w:tcPr>
          <w:p w14:paraId="291B8B33"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c>
          <w:tcPr>
            <w:tcW w:w="1143" w:type="dxa"/>
            <w:shd w:val="clear" w:color="auto" w:fill="auto"/>
            <w:vAlign w:val="center"/>
          </w:tcPr>
          <w:p w14:paraId="20B7DAE7"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c>
          <w:tcPr>
            <w:tcW w:w="1145" w:type="dxa"/>
            <w:shd w:val="clear" w:color="auto" w:fill="auto"/>
            <w:vAlign w:val="center"/>
          </w:tcPr>
          <w:p w14:paraId="48558C4F" w14:textId="77777777" w:rsidR="004B1339" w:rsidRPr="00770E19"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млн. рублей/%</w:t>
            </w:r>
          </w:p>
        </w:tc>
      </w:tr>
      <w:tr w:rsidR="00770E19" w:rsidRPr="00770E19" w14:paraId="5950510F" w14:textId="77777777" w:rsidTr="00770E19">
        <w:trPr>
          <w:trHeight w:val="387"/>
          <w:jc w:val="center"/>
        </w:trPr>
        <w:tc>
          <w:tcPr>
            <w:tcW w:w="2283" w:type="dxa"/>
            <w:shd w:val="clear" w:color="auto" w:fill="auto"/>
            <w:vAlign w:val="center"/>
            <w:hideMark/>
          </w:tcPr>
          <w:p w14:paraId="0710812B" w14:textId="77777777" w:rsidR="00770E19" w:rsidRPr="00770E19" w:rsidRDefault="00770E19" w:rsidP="00770E19">
            <w:pPr>
              <w:spacing w:after="0" w:line="240" w:lineRule="auto"/>
              <w:ind w:left="-57" w:right="-57"/>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Доходы,</w:t>
            </w:r>
            <w:r w:rsidRPr="00770E19">
              <w:rPr>
                <w:rFonts w:ascii="Times New Roman" w:eastAsia="Times New Roman" w:hAnsi="Times New Roman" w:cs="Times New Roman"/>
                <w:color w:val="000000"/>
                <w:spacing w:val="-4"/>
                <w:sz w:val="18"/>
                <w:szCs w:val="18"/>
                <w:lang w:eastAsia="ru-RU"/>
              </w:rPr>
              <w:t xml:space="preserve"> </w:t>
            </w:r>
          </w:p>
          <w:p w14:paraId="1F37FCB4" w14:textId="77777777" w:rsidR="00770E19" w:rsidRPr="00770E19" w:rsidRDefault="00770E19" w:rsidP="00770E19">
            <w:pPr>
              <w:widowControl w:val="0"/>
              <w:spacing w:after="0" w:line="240" w:lineRule="auto"/>
              <w:ind w:left="-170" w:right="-57" w:firstLine="57"/>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в том числе:</w:t>
            </w:r>
          </w:p>
        </w:tc>
        <w:tc>
          <w:tcPr>
            <w:tcW w:w="1288" w:type="dxa"/>
            <w:shd w:val="clear" w:color="auto" w:fill="auto"/>
            <w:vAlign w:val="center"/>
          </w:tcPr>
          <w:p w14:paraId="41E65411"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92 777,9</w:t>
            </w:r>
          </w:p>
        </w:tc>
        <w:tc>
          <w:tcPr>
            <w:tcW w:w="1147" w:type="dxa"/>
            <w:shd w:val="clear" w:color="auto" w:fill="auto"/>
            <w:vAlign w:val="center"/>
          </w:tcPr>
          <w:p w14:paraId="3C33DF60"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98 187,7</w:t>
            </w:r>
          </w:p>
        </w:tc>
        <w:tc>
          <w:tcPr>
            <w:tcW w:w="1288" w:type="dxa"/>
            <w:shd w:val="clear" w:color="auto" w:fill="auto"/>
            <w:vAlign w:val="center"/>
            <w:hideMark/>
          </w:tcPr>
          <w:p w14:paraId="2D0D3F7E"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highlight w:val="yellow"/>
                <w:lang w:eastAsia="ru-RU"/>
              </w:rPr>
            </w:pPr>
            <w:r w:rsidRPr="00770E19">
              <w:rPr>
                <w:rFonts w:ascii="Times New Roman" w:eastAsia="Times New Roman" w:hAnsi="Times New Roman" w:cs="Times New Roman"/>
                <w:b/>
                <w:bCs/>
                <w:color w:val="000000"/>
                <w:spacing w:val="-4"/>
                <w:sz w:val="18"/>
                <w:szCs w:val="18"/>
                <w:lang w:eastAsia="ru-RU"/>
              </w:rPr>
              <w:t>93 884,0 </w:t>
            </w:r>
          </w:p>
        </w:tc>
        <w:tc>
          <w:tcPr>
            <w:tcW w:w="1144" w:type="dxa"/>
            <w:shd w:val="clear" w:color="auto" w:fill="auto"/>
            <w:vAlign w:val="center"/>
            <w:hideMark/>
          </w:tcPr>
          <w:p w14:paraId="7049818A"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97 363,5 </w:t>
            </w:r>
          </w:p>
        </w:tc>
        <w:tc>
          <w:tcPr>
            <w:tcW w:w="1143" w:type="dxa"/>
          </w:tcPr>
          <w:p w14:paraId="4EFB70E3" w14:textId="620BF8B6"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Pr>
                <w:rFonts w:ascii="Times New Roman" w:eastAsia="Times New Roman" w:hAnsi="Times New Roman" w:cs="Times New Roman"/>
                <w:b/>
                <w:bCs/>
                <w:color w:val="000000"/>
                <w:spacing w:val="-4"/>
                <w:sz w:val="18"/>
                <w:szCs w:val="18"/>
                <w:lang w:eastAsia="ru-RU"/>
              </w:rPr>
              <w:t>1 106,1</w:t>
            </w:r>
            <w:r w:rsidRPr="00770E19">
              <w:rPr>
                <w:rFonts w:ascii="Times New Roman" w:eastAsia="Times New Roman" w:hAnsi="Times New Roman" w:cs="Times New Roman"/>
                <w:b/>
                <w:bCs/>
                <w:color w:val="000000"/>
                <w:spacing w:val="-4"/>
                <w:sz w:val="18"/>
                <w:szCs w:val="18"/>
                <w:lang w:eastAsia="ru-RU"/>
              </w:rPr>
              <w:t>/</w:t>
            </w:r>
          </w:p>
          <w:p w14:paraId="1F2681B8" w14:textId="4B3211C1"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Pr>
                <w:rFonts w:ascii="Times New Roman" w:eastAsia="Times New Roman" w:hAnsi="Times New Roman" w:cs="Times New Roman"/>
                <w:b/>
                <w:bCs/>
                <w:color w:val="000000"/>
                <w:spacing w:val="-4"/>
                <w:sz w:val="18"/>
                <w:szCs w:val="18"/>
                <w:lang w:eastAsia="ru-RU"/>
              </w:rPr>
              <w:t>1,2</w:t>
            </w:r>
            <w:r w:rsidRPr="00770E19">
              <w:rPr>
                <w:rFonts w:ascii="Times New Roman" w:eastAsia="Times New Roman" w:hAnsi="Times New Roman" w:cs="Times New Roman"/>
                <w:b/>
                <w:bCs/>
                <w:color w:val="000000"/>
                <w:spacing w:val="-4"/>
                <w:sz w:val="18"/>
                <w:szCs w:val="18"/>
                <w:lang w:eastAsia="ru-RU"/>
              </w:rPr>
              <w:t>%</w:t>
            </w:r>
          </w:p>
        </w:tc>
        <w:tc>
          <w:tcPr>
            <w:tcW w:w="1145" w:type="dxa"/>
          </w:tcPr>
          <w:p w14:paraId="234B2DBD"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-824,2/</w:t>
            </w:r>
          </w:p>
          <w:p w14:paraId="1626607D"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-0,8%</w:t>
            </w:r>
          </w:p>
        </w:tc>
      </w:tr>
      <w:tr w:rsidR="00770E19" w:rsidRPr="00770E19" w14:paraId="4A73F7DB" w14:textId="77777777" w:rsidTr="00770E19">
        <w:trPr>
          <w:trHeight w:val="525"/>
          <w:jc w:val="center"/>
        </w:trPr>
        <w:tc>
          <w:tcPr>
            <w:tcW w:w="2283" w:type="dxa"/>
            <w:shd w:val="clear" w:color="auto" w:fill="auto"/>
            <w:vAlign w:val="center"/>
            <w:hideMark/>
          </w:tcPr>
          <w:p w14:paraId="79428862" w14:textId="77777777" w:rsidR="00770E19" w:rsidRPr="00770E19" w:rsidRDefault="00770E19" w:rsidP="00770E19">
            <w:pPr>
              <w:spacing w:after="0" w:line="240" w:lineRule="auto"/>
              <w:ind w:left="-113" w:right="-113"/>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налоговые и неналоговые</w:t>
            </w:r>
          </w:p>
        </w:tc>
        <w:tc>
          <w:tcPr>
            <w:tcW w:w="1288" w:type="dxa"/>
            <w:shd w:val="clear" w:color="000000" w:fill="FFFFFF"/>
            <w:noWrap/>
            <w:vAlign w:val="center"/>
          </w:tcPr>
          <w:p w14:paraId="087712F0"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75 197,7</w:t>
            </w:r>
          </w:p>
        </w:tc>
        <w:tc>
          <w:tcPr>
            <w:tcW w:w="1147" w:type="dxa"/>
            <w:shd w:val="clear" w:color="000000" w:fill="FFFFFF"/>
            <w:noWrap/>
            <w:vAlign w:val="center"/>
          </w:tcPr>
          <w:p w14:paraId="5B1E3410"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80 158,8</w:t>
            </w:r>
          </w:p>
        </w:tc>
        <w:tc>
          <w:tcPr>
            <w:tcW w:w="1288" w:type="dxa"/>
            <w:shd w:val="clear" w:color="000000" w:fill="FFFFFF"/>
            <w:noWrap/>
            <w:vAlign w:val="center"/>
            <w:hideMark/>
          </w:tcPr>
          <w:p w14:paraId="30C03077"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highlight w:val="yellow"/>
                <w:lang w:eastAsia="ru-RU"/>
              </w:rPr>
            </w:pPr>
            <w:r w:rsidRPr="00770E19">
              <w:rPr>
                <w:rFonts w:ascii="Times New Roman" w:eastAsia="Times New Roman" w:hAnsi="Times New Roman" w:cs="Times New Roman"/>
                <w:spacing w:val="-4"/>
                <w:sz w:val="18"/>
                <w:szCs w:val="18"/>
                <w:lang w:eastAsia="ru-RU"/>
              </w:rPr>
              <w:t>79 537,3 </w:t>
            </w:r>
          </w:p>
        </w:tc>
        <w:tc>
          <w:tcPr>
            <w:tcW w:w="1144" w:type="dxa"/>
            <w:shd w:val="clear" w:color="000000" w:fill="FFFFFF"/>
            <w:noWrap/>
            <w:vAlign w:val="center"/>
            <w:hideMark/>
          </w:tcPr>
          <w:p w14:paraId="58101939"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84 502,3 </w:t>
            </w:r>
          </w:p>
        </w:tc>
        <w:tc>
          <w:tcPr>
            <w:tcW w:w="1143" w:type="dxa"/>
            <w:shd w:val="clear" w:color="000000" w:fill="FFFFFF"/>
          </w:tcPr>
          <w:p w14:paraId="7CA4914C"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4 339,6/</w:t>
            </w:r>
          </w:p>
          <w:p w14:paraId="5066F889"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5,8%</w:t>
            </w:r>
          </w:p>
        </w:tc>
        <w:tc>
          <w:tcPr>
            <w:tcW w:w="1145" w:type="dxa"/>
            <w:shd w:val="clear" w:color="000000" w:fill="FFFFFF"/>
          </w:tcPr>
          <w:p w14:paraId="19597737"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4 343,5/</w:t>
            </w:r>
          </w:p>
          <w:p w14:paraId="183F2B7C"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5,4%</w:t>
            </w:r>
          </w:p>
        </w:tc>
      </w:tr>
      <w:tr w:rsidR="00770E19" w:rsidRPr="00770E19" w14:paraId="7FCDF83B" w14:textId="77777777" w:rsidTr="00770E19">
        <w:trPr>
          <w:trHeight w:val="351"/>
          <w:jc w:val="center"/>
        </w:trPr>
        <w:tc>
          <w:tcPr>
            <w:tcW w:w="2283" w:type="dxa"/>
            <w:shd w:val="clear" w:color="auto" w:fill="auto"/>
            <w:vAlign w:val="center"/>
            <w:hideMark/>
          </w:tcPr>
          <w:p w14:paraId="5DF87528" w14:textId="77777777" w:rsidR="00770E19" w:rsidRPr="00770E19" w:rsidRDefault="00770E19" w:rsidP="00770E19">
            <w:pPr>
              <w:spacing w:after="0" w:line="240" w:lineRule="auto"/>
              <w:ind w:left="-113" w:right="-113"/>
              <w:rPr>
                <w:rFonts w:ascii="Times New Roman" w:eastAsia="Times New Roman" w:hAnsi="Times New Roman" w:cs="Times New Roman"/>
                <w:color w:val="000000"/>
                <w:spacing w:val="-4"/>
                <w:sz w:val="18"/>
                <w:szCs w:val="18"/>
                <w:lang w:eastAsia="ru-RU"/>
              </w:rPr>
            </w:pPr>
            <w:r w:rsidRPr="00770E19">
              <w:rPr>
                <w:rFonts w:ascii="Times New Roman" w:eastAsia="Times New Roman" w:hAnsi="Times New Roman" w:cs="Times New Roman"/>
                <w:color w:val="000000"/>
                <w:spacing w:val="-4"/>
                <w:sz w:val="18"/>
                <w:szCs w:val="18"/>
                <w:lang w:eastAsia="ru-RU"/>
              </w:rPr>
              <w:t>безвозмездные поступления</w:t>
            </w:r>
          </w:p>
        </w:tc>
        <w:tc>
          <w:tcPr>
            <w:tcW w:w="1288" w:type="dxa"/>
            <w:shd w:val="clear" w:color="000000" w:fill="FFFFFF"/>
            <w:noWrap/>
            <w:vAlign w:val="center"/>
          </w:tcPr>
          <w:p w14:paraId="1FB36F40"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17 580,2</w:t>
            </w:r>
          </w:p>
        </w:tc>
        <w:tc>
          <w:tcPr>
            <w:tcW w:w="1147" w:type="dxa"/>
            <w:shd w:val="clear" w:color="000000" w:fill="FFFFFF"/>
            <w:noWrap/>
            <w:vAlign w:val="center"/>
          </w:tcPr>
          <w:p w14:paraId="41BFBD6C"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18 028,9</w:t>
            </w:r>
          </w:p>
        </w:tc>
        <w:tc>
          <w:tcPr>
            <w:tcW w:w="1288" w:type="dxa"/>
            <w:shd w:val="clear" w:color="000000" w:fill="FFFFFF"/>
            <w:noWrap/>
            <w:vAlign w:val="center"/>
            <w:hideMark/>
          </w:tcPr>
          <w:p w14:paraId="73D2A389"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highlight w:val="yellow"/>
                <w:lang w:eastAsia="ru-RU"/>
              </w:rPr>
            </w:pPr>
            <w:r w:rsidRPr="00770E19">
              <w:rPr>
                <w:rFonts w:ascii="Times New Roman" w:eastAsia="Times New Roman" w:hAnsi="Times New Roman" w:cs="Times New Roman"/>
                <w:spacing w:val="-4"/>
                <w:sz w:val="18"/>
                <w:szCs w:val="18"/>
                <w:lang w:eastAsia="ru-RU"/>
              </w:rPr>
              <w:t>14 346,7</w:t>
            </w:r>
          </w:p>
        </w:tc>
        <w:tc>
          <w:tcPr>
            <w:tcW w:w="1144" w:type="dxa"/>
            <w:shd w:val="clear" w:color="000000" w:fill="FFFFFF"/>
            <w:noWrap/>
            <w:vAlign w:val="center"/>
            <w:hideMark/>
          </w:tcPr>
          <w:p w14:paraId="72D8ADA9"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12 861,2 </w:t>
            </w:r>
          </w:p>
        </w:tc>
        <w:tc>
          <w:tcPr>
            <w:tcW w:w="1143" w:type="dxa"/>
            <w:shd w:val="clear" w:color="000000" w:fill="FFFFFF"/>
          </w:tcPr>
          <w:p w14:paraId="7D8B2600"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-3 233,5/</w:t>
            </w:r>
          </w:p>
          <w:p w14:paraId="5E3DC6B5"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-18,4%</w:t>
            </w:r>
          </w:p>
        </w:tc>
        <w:tc>
          <w:tcPr>
            <w:tcW w:w="1145" w:type="dxa"/>
            <w:shd w:val="clear" w:color="000000" w:fill="FFFFFF"/>
          </w:tcPr>
          <w:p w14:paraId="02FCFF93"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-5 167,7/</w:t>
            </w:r>
          </w:p>
          <w:p w14:paraId="3EE55A82" w14:textId="77777777" w:rsidR="00770E19" w:rsidRPr="00770E19" w:rsidRDefault="00770E19" w:rsidP="00770E19">
            <w:pPr>
              <w:spacing w:after="0" w:line="240" w:lineRule="auto"/>
              <w:ind w:left="-113" w:right="-68"/>
              <w:jc w:val="right"/>
              <w:rPr>
                <w:rFonts w:ascii="Times New Roman" w:eastAsia="Times New Roman" w:hAnsi="Times New Roman" w:cs="Times New Roman"/>
                <w:spacing w:val="-4"/>
                <w:sz w:val="18"/>
                <w:szCs w:val="18"/>
                <w:lang w:eastAsia="ru-RU"/>
              </w:rPr>
            </w:pPr>
            <w:r w:rsidRPr="00770E19">
              <w:rPr>
                <w:rFonts w:ascii="Times New Roman" w:eastAsia="Times New Roman" w:hAnsi="Times New Roman" w:cs="Times New Roman"/>
                <w:spacing w:val="-4"/>
                <w:sz w:val="18"/>
                <w:szCs w:val="18"/>
                <w:lang w:eastAsia="ru-RU"/>
              </w:rPr>
              <w:t>-28,7%</w:t>
            </w:r>
          </w:p>
        </w:tc>
      </w:tr>
      <w:tr w:rsidR="00770E19" w:rsidRPr="00770E19" w14:paraId="55BD4BFE" w14:textId="77777777" w:rsidTr="00770E19">
        <w:trPr>
          <w:trHeight w:val="387"/>
          <w:jc w:val="center"/>
        </w:trPr>
        <w:tc>
          <w:tcPr>
            <w:tcW w:w="2283" w:type="dxa"/>
            <w:shd w:val="clear" w:color="auto" w:fill="auto"/>
            <w:vAlign w:val="center"/>
            <w:hideMark/>
          </w:tcPr>
          <w:p w14:paraId="1BB8D976" w14:textId="77777777" w:rsidR="00770E19" w:rsidRPr="00770E19" w:rsidRDefault="00770E19" w:rsidP="00770E19">
            <w:pPr>
              <w:spacing w:after="0" w:line="240" w:lineRule="auto"/>
              <w:ind w:left="-113" w:right="-113"/>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Расходы,</w:t>
            </w:r>
          </w:p>
        </w:tc>
        <w:tc>
          <w:tcPr>
            <w:tcW w:w="1288" w:type="dxa"/>
            <w:shd w:val="clear" w:color="auto" w:fill="auto"/>
            <w:vAlign w:val="center"/>
          </w:tcPr>
          <w:p w14:paraId="1D7B383F" w14:textId="77777777" w:rsidR="00770E19" w:rsidRPr="00770E19" w:rsidRDefault="00770E19" w:rsidP="00770E19">
            <w:pPr>
              <w:spacing w:after="0" w:line="240" w:lineRule="auto"/>
              <w:ind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96 362,8</w:t>
            </w:r>
          </w:p>
        </w:tc>
        <w:tc>
          <w:tcPr>
            <w:tcW w:w="1147" w:type="dxa"/>
            <w:shd w:val="clear" w:color="auto" w:fill="auto"/>
            <w:vAlign w:val="center"/>
          </w:tcPr>
          <w:p w14:paraId="1B297B17"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98 413,6</w:t>
            </w:r>
          </w:p>
        </w:tc>
        <w:tc>
          <w:tcPr>
            <w:tcW w:w="1288" w:type="dxa"/>
            <w:shd w:val="clear" w:color="auto" w:fill="auto"/>
            <w:vAlign w:val="center"/>
            <w:hideMark/>
          </w:tcPr>
          <w:p w14:paraId="2163EFA8"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highlight w:val="yellow"/>
                <w:lang w:eastAsia="ru-RU"/>
              </w:rPr>
            </w:pPr>
            <w:r w:rsidRPr="00770E19">
              <w:rPr>
                <w:rFonts w:ascii="Times New Roman" w:eastAsia="Times New Roman" w:hAnsi="Times New Roman" w:cs="Times New Roman"/>
                <w:b/>
                <w:bCs/>
                <w:color w:val="000000"/>
                <w:spacing w:val="-4"/>
                <w:sz w:val="18"/>
                <w:szCs w:val="18"/>
                <w:lang w:eastAsia="ru-RU"/>
              </w:rPr>
              <w:t>97 344,4</w:t>
            </w:r>
          </w:p>
        </w:tc>
        <w:tc>
          <w:tcPr>
            <w:tcW w:w="1144" w:type="dxa"/>
            <w:shd w:val="clear" w:color="auto" w:fill="auto"/>
            <w:vAlign w:val="center"/>
            <w:hideMark/>
          </w:tcPr>
          <w:p w14:paraId="11EDD2C1"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97 708,0</w:t>
            </w:r>
          </w:p>
        </w:tc>
        <w:tc>
          <w:tcPr>
            <w:tcW w:w="1143" w:type="dxa"/>
          </w:tcPr>
          <w:p w14:paraId="6BBAFDF8"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981,6/</w:t>
            </w:r>
          </w:p>
          <w:p w14:paraId="7FADF459"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1,0%</w:t>
            </w:r>
          </w:p>
        </w:tc>
        <w:tc>
          <w:tcPr>
            <w:tcW w:w="1145" w:type="dxa"/>
          </w:tcPr>
          <w:p w14:paraId="4F83F1D8"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-705,6/</w:t>
            </w:r>
          </w:p>
          <w:p w14:paraId="13E1BA85" w14:textId="77777777" w:rsidR="00770E19" w:rsidRPr="00770E19" w:rsidRDefault="00770E19" w:rsidP="00770E19">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-0,7%</w:t>
            </w:r>
          </w:p>
        </w:tc>
      </w:tr>
      <w:tr w:rsidR="00770E19" w:rsidRPr="00770E19" w14:paraId="72B88714" w14:textId="77777777" w:rsidTr="00770E19">
        <w:trPr>
          <w:trHeight w:val="356"/>
          <w:jc w:val="center"/>
        </w:trPr>
        <w:tc>
          <w:tcPr>
            <w:tcW w:w="2283" w:type="dxa"/>
            <w:shd w:val="clear" w:color="auto" w:fill="auto"/>
            <w:vAlign w:val="center"/>
            <w:hideMark/>
          </w:tcPr>
          <w:p w14:paraId="5A193AA5" w14:textId="77777777" w:rsidR="00770E19" w:rsidRPr="00770E19" w:rsidRDefault="00770E19" w:rsidP="00770E19">
            <w:pPr>
              <w:spacing w:after="0" w:line="240" w:lineRule="auto"/>
              <w:ind w:left="-57" w:right="-57"/>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Дефицит /</w:t>
            </w:r>
          </w:p>
        </w:tc>
        <w:tc>
          <w:tcPr>
            <w:tcW w:w="1288" w:type="dxa"/>
            <w:shd w:val="clear" w:color="auto" w:fill="auto"/>
            <w:vAlign w:val="center"/>
          </w:tcPr>
          <w:p w14:paraId="14EBB0F3"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3 584,9</w:t>
            </w:r>
          </w:p>
        </w:tc>
        <w:tc>
          <w:tcPr>
            <w:tcW w:w="1147" w:type="dxa"/>
            <w:shd w:val="clear" w:color="auto" w:fill="auto"/>
            <w:vAlign w:val="center"/>
          </w:tcPr>
          <w:p w14:paraId="30F0080F"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225,9</w:t>
            </w:r>
          </w:p>
        </w:tc>
        <w:tc>
          <w:tcPr>
            <w:tcW w:w="1288" w:type="dxa"/>
            <w:shd w:val="clear" w:color="auto" w:fill="auto"/>
            <w:vAlign w:val="center"/>
            <w:hideMark/>
          </w:tcPr>
          <w:p w14:paraId="0372009E"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highlight w:val="yellow"/>
                <w:lang w:eastAsia="ru-RU"/>
              </w:rPr>
            </w:pPr>
            <w:r w:rsidRPr="00770E19">
              <w:rPr>
                <w:rFonts w:ascii="Times New Roman" w:eastAsia="Times New Roman" w:hAnsi="Times New Roman" w:cs="Times New Roman"/>
                <w:b/>
                <w:bCs/>
                <w:color w:val="000000"/>
                <w:spacing w:val="-4"/>
                <w:sz w:val="18"/>
                <w:szCs w:val="18"/>
                <w:lang w:eastAsia="ru-RU"/>
              </w:rPr>
              <w:t>3 460,4</w:t>
            </w:r>
          </w:p>
        </w:tc>
        <w:tc>
          <w:tcPr>
            <w:tcW w:w="1144" w:type="dxa"/>
            <w:shd w:val="clear" w:color="auto" w:fill="auto"/>
            <w:vAlign w:val="center"/>
            <w:hideMark/>
          </w:tcPr>
          <w:p w14:paraId="478E66B8"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344,5</w:t>
            </w:r>
          </w:p>
        </w:tc>
        <w:tc>
          <w:tcPr>
            <w:tcW w:w="1143" w:type="dxa"/>
          </w:tcPr>
          <w:p w14:paraId="3D0778F6"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-124,5%/</w:t>
            </w:r>
          </w:p>
          <w:p w14:paraId="62B84038"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-3,5%</w:t>
            </w:r>
          </w:p>
        </w:tc>
        <w:tc>
          <w:tcPr>
            <w:tcW w:w="1145" w:type="dxa"/>
          </w:tcPr>
          <w:p w14:paraId="51848FCA"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118,6/</w:t>
            </w:r>
          </w:p>
          <w:p w14:paraId="658D245A"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52,5%</w:t>
            </w:r>
          </w:p>
        </w:tc>
      </w:tr>
      <w:tr w:rsidR="00770E19" w:rsidRPr="00770E19" w14:paraId="0BE3FDA9" w14:textId="77777777" w:rsidTr="00770E19">
        <w:trPr>
          <w:trHeight w:val="387"/>
          <w:jc w:val="center"/>
        </w:trPr>
        <w:tc>
          <w:tcPr>
            <w:tcW w:w="2283" w:type="dxa"/>
            <w:shd w:val="clear" w:color="auto" w:fill="auto"/>
            <w:vAlign w:val="center"/>
          </w:tcPr>
          <w:p w14:paraId="2C230A2B" w14:textId="77777777" w:rsidR="00770E19" w:rsidRPr="00770E19" w:rsidRDefault="00770E19" w:rsidP="00770E19">
            <w:pPr>
              <w:spacing w:after="0" w:line="240" w:lineRule="auto"/>
              <w:ind w:left="-57" w:right="-57"/>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w:t>
            </w:r>
          </w:p>
        </w:tc>
        <w:tc>
          <w:tcPr>
            <w:tcW w:w="1288" w:type="dxa"/>
            <w:shd w:val="clear" w:color="auto" w:fill="auto"/>
            <w:vAlign w:val="center"/>
          </w:tcPr>
          <w:p w14:paraId="5749EFDB"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4,8%</w:t>
            </w:r>
          </w:p>
        </w:tc>
        <w:tc>
          <w:tcPr>
            <w:tcW w:w="1147" w:type="dxa"/>
            <w:shd w:val="clear" w:color="auto" w:fill="auto"/>
            <w:vAlign w:val="center"/>
          </w:tcPr>
          <w:p w14:paraId="4A839566"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0,3%</w:t>
            </w:r>
          </w:p>
        </w:tc>
        <w:tc>
          <w:tcPr>
            <w:tcW w:w="1288" w:type="dxa"/>
            <w:shd w:val="clear" w:color="auto" w:fill="auto"/>
            <w:vAlign w:val="center"/>
          </w:tcPr>
          <w:p w14:paraId="35075906"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highlight w:val="yellow"/>
                <w:lang w:eastAsia="ru-RU"/>
              </w:rPr>
            </w:pPr>
            <w:r w:rsidRPr="00770E19">
              <w:rPr>
                <w:rFonts w:ascii="Times New Roman" w:eastAsia="Times New Roman" w:hAnsi="Times New Roman" w:cs="Times New Roman"/>
                <w:b/>
                <w:bCs/>
                <w:color w:val="000000"/>
                <w:spacing w:val="-4"/>
                <w:sz w:val="18"/>
                <w:szCs w:val="18"/>
                <w:lang w:eastAsia="ru-RU"/>
              </w:rPr>
              <w:t>4,4%</w:t>
            </w:r>
          </w:p>
        </w:tc>
        <w:tc>
          <w:tcPr>
            <w:tcW w:w="1144" w:type="dxa"/>
            <w:shd w:val="clear" w:color="auto" w:fill="auto"/>
            <w:vAlign w:val="center"/>
          </w:tcPr>
          <w:p w14:paraId="75EF1564"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770E19">
              <w:rPr>
                <w:rFonts w:ascii="Times New Roman" w:eastAsia="Times New Roman" w:hAnsi="Times New Roman" w:cs="Times New Roman"/>
                <w:b/>
                <w:bCs/>
                <w:color w:val="000000"/>
                <w:spacing w:val="-4"/>
                <w:sz w:val="18"/>
                <w:szCs w:val="18"/>
                <w:lang w:eastAsia="ru-RU"/>
              </w:rPr>
              <w:t>0,4%</w:t>
            </w:r>
          </w:p>
        </w:tc>
        <w:tc>
          <w:tcPr>
            <w:tcW w:w="1143" w:type="dxa"/>
          </w:tcPr>
          <w:p w14:paraId="701491D7"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p>
        </w:tc>
        <w:tc>
          <w:tcPr>
            <w:tcW w:w="1145" w:type="dxa"/>
          </w:tcPr>
          <w:p w14:paraId="602BD054" w14:textId="77777777" w:rsidR="00770E19" w:rsidRPr="00770E19" w:rsidRDefault="00770E19" w:rsidP="00770E19">
            <w:pPr>
              <w:spacing w:after="0" w:line="240" w:lineRule="auto"/>
              <w:ind w:left="-57" w:right="-57"/>
              <w:jc w:val="right"/>
              <w:rPr>
                <w:rFonts w:ascii="Times New Roman" w:eastAsia="Times New Roman" w:hAnsi="Times New Roman" w:cs="Times New Roman"/>
                <w:b/>
                <w:bCs/>
                <w:color w:val="000000"/>
                <w:spacing w:val="-4"/>
                <w:sz w:val="18"/>
                <w:szCs w:val="18"/>
                <w:lang w:eastAsia="ru-RU"/>
              </w:rPr>
            </w:pPr>
          </w:p>
        </w:tc>
      </w:tr>
    </w:tbl>
    <w:p w14:paraId="27B9D1E6" w14:textId="4E249319" w:rsidR="00770E19" w:rsidRPr="002B626F" w:rsidRDefault="00770E19" w:rsidP="0047604B">
      <w:pPr>
        <w:pStyle w:val="af8"/>
        <w:spacing w:before="120"/>
        <w:rPr>
          <w:spacing w:val="-4"/>
        </w:rPr>
      </w:pPr>
      <w:r w:rsidRPr="002B626F">
        <w:rPr>
          <w:spacing w:val="-4"/>
        </w:rPr>
        <w:t>Анализ параметров бюджета</w:t>
      </w:r>
      <w:r w:rsidR="00DF15BE">
        <w:rPr>
          <w:spacing w:val="-4"/>
        </w:rPr>
        <w:t xml:space="preserve"> области </w:t>
      </w:r>
      <w:r w:rsidRPr="002B626F">
        <w:rPr>
          <w:spacing w:val="-4"/>
        </w:rPr>
        <w:t>согласно представленного Законопроекта и действующего Закона о бюджете области на 2021 год в части планового периода 2022 и 2023 годов позволяет отметить, что</w:t>
      </w:r>
      <w:r w:rsidR="00C247A2" w:rsidRPr="002B626F">
        <w:rPr>
          <w:spacing w:val="-4"/>
        </w:rPr>
        <w:t xml:space="preserve"> по сравнению с доходами, утвержденными в предыдущем бюджетном цикле, в Законопроекте доходы в 2022 году увеличены на 1 106,1 млн. рублей, или на 1,2%, в 2023 году – уменьшены на 824,2 млн. рублей, или на 0,8%.</w:t>
      </w:r>
      <w:r w:rsidR="00FF4D76" w:rsidRPr="002B626F">
        <w:t xml:space="preserve"> Вместе с тем, следует отметить, что налоговые доходы прогнозируются с увеличением относительно утвержденных в Законе о бюджете на 2021 год и </w:t>
      </w:r>
      <w:r w:rsidR="006712C7" w:rsidRPr="002B626F">
        <w:t xml:space="preserve">в </w:t>
      </w:r>
      <w:r w:rsidR="00FF4D76" w:rsidRPr="002B626F">
        <w:t>2022, и 2023 годах</w:t>
      </w:r>
      <w:r w:rsidR="006712C7" w:rsidRPr="002B626F">
        <w:t>.</w:t>
      </w:r>
    </w:p>
    <w:p w14:paraId="6CCEF4A7" w14:textId="6AE17106" w:rsidR="00C247A2" w:rsidRDefault="00C247A2" w:rsidP="00C247A2">
      <w:pPr>
        <w:pStyle w:val="af8"/>
        <w:spacing w:before="120"/>
        <w:rPr>
          <w:spacing w:val="-4"/>
        </w:rPr>
      </w:pPr>
      <w:r w:rsidRPr="002B626F">
        <w:rPr>
          <w:spacing w:val="-4"/>
        </w:rPr>
        <w:t>По сравнению с расходами, утвержденными в предыдущем бюджетном цикле, в Законопроекте расходы в 2022 году увеличены на 981,6 млн. рублей, или на 1%, в 2023 году – уменьшены на 705,6 млн. рублей, или на 0,7%.</w:t>
      </w:r>
    </w:p>
    <w:p w14:paraId="5FD0C0FB" w14:textId="77777777" w:rsidR="001921D9" w:rsidRPr="00232B7C" w:rsidRDefault="0047604B" w:rsidP="002B626F">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232B7C">
        <w:rPr>
          <w:rFonts w:ascii="Times New Roman" w:eastAsia="Calibri" w:hAnsi="Times New Roman" w:cs="Times New Roman"/>
          <w:sz w:val="28"/>
          <w:szCs w:val="28"/>
        </w:rPr>
        <w:t xml:space="preserve">Счетная палата отмечает, что </w:t>
      </w:r>
      <w:r w:rsidR="00AD362E" w:rsidRPr="00232B7C">
        <w:rPr>
          <w:rFonts w:ascii="Times New Roman" w:eastAsia="Calibri" w:hAnsi="Times New Roman" w:cs="Times New Roman"/>
          <w:sz w:val="28"/>
          <w:szCs w:val="28"/>
        </w:rPr>
        <w:t>в основных направлениях бюджетной политики Тульской области на 2022 год и на плановый период 2023 и 2024 годов</w:t>
      </w:r>
      <w:r w:rsidR="000709A2" w:rsidRPr="00232B7C">
        <w:rPr>
          <w:rStyle w:val="a5"/>
          <w:rFonts w:ascii="Times New Roman" w:eastAsia="Calibri" w:hAnsi="Times New Roman" w:cs="Times New Roman"/>
          <w:sz w:val="28"/>
          <w:szCs w:val="28"/>
        </w:rPr>
        <w:footnoteReference w:id="3"/>
      </w:r>
      <w:r w:rsidR="00AD362E" w:rsidRPr="00232B7C">
        <w:rPr>
          <w:rFonts w:ascii="Times New Roman" w:eastAsia="Calibri" w:hAnsi="Times New Roman" w:cs="Times New Roman"/>
          <w:sz w:val="28"/>
          <w:szCs w:val="28"/>
        </w:rPr>
        <w:t xml:space="preserve"> указано, что при планировании объемов расходных обязательств Тульской области </w:t>
      </w:r>
      <w:r w:rsidR="000035E8" w:rsidRPr="00232B7C">
        <w:rPr>
          <w:rFonts w:ascii="Times New Roman" w:eastAsia="Calibri" w:hAnsi="Times New Roman" w:cs="Times New Roman"/>
          <w:sz w:val="28"/>
          <w:szCs w:val="28"/>
        </w:rPr>
        <w:t xml:space="preserve">учтена </w:t>
      </w:r>
      <w:r w:rsidR="00AD362E" w:rsidRPr="00232B7C">
        <w:rPr>
          <w:rFonts w:ascii="Times New Roman" w:eastAsia="Calibri" w:hAnsi="Times New Roman" w:cs="Times New Roman"/>
          <w:sz w:val="28"/>
          <w:szCs w:val="28"/>
        </w:rPr>
        <w:t xml:space="preserve">в том числе ежегодная </w:t>
      </w:r>
      <w:r w:rsidR="000035E8" w:rsidRPr="00232B7C">
        <w:rPr>
          <w:rFonts w:ascii="Times New Roman" w:eastAsia="Calibri" w:hAnsi="Times New Roman" w:cs="Times New Roman"/>
          <w:sz w:val="28"/>
          <w:szCs w:val="28"/>
        </w:rPr>
        <w:t xml:space="preserve">индексация </w:t>
      </w:r>
      <w:r w:rsidR="00AD362E" w:rsidRPr="00232B7C">
        <w:rPr>
          <w:rFonts w:ascii="Times New Roman" w:eastAsia="Calibri" w:hAnsi="Times New Roman" w:cs="Times New Roman"/>
          <w:sz w:val="28"/>
          <w:szCs w:val="28"/>
        </w:rPr>
        <w:t>расходов на социальное обеспечение населения</w:t>
      </w:r>
      <w:r w:rsidR="00491E80" w:rsidRPr="00232B7C">
        <w:rPr>
          <w:rFonts w:ascii="Times New Roman" w:eastAsia="Calibri" w:hAnsi="Times New Roman" w:cs="Times New Roman"/>
          <w:sz w:val="28"/>
          <w:szCs w:val="28"/>
        </w:rPr>
        <w:t xml:space="preserve"> </w:t>
      </w:r>
      <w:r w:rsidR="00AD362E" w:rsidRPr="00232B7C">
        <w:rPr>
          <w:rFonts w:ascii="Times New Roman" w:eastAsia="Calibri" w:hAnsi="Times New Roman" w:cs="Times New Roman"/>
          <w:sz w:val="28"/>
          <w:szCs w:val="28"/>
        </w:rPr>
        <w:t>на прогнозный уровень инфляции</w:t>
      </w:r>
      <w:r w:rsidR="00491E80" w:rsidRPr="00232B7C">
        <w:rPr>
          <w:rFonts w:ascii="Times New Roman" w:eastAsia="Calibri" w:hAnsi="Times New Roman" w:cs="Times New Roman"/>
          <w:sz w:val="28"/>
          <w:szCs w:val="28"/>
        </w:rPr>
        <w:t xml:space="preserve">. При этом в материалах к Законопроекту </w:t>
      </w:r>
      <w:r w:rsidR="00D97BD5" w:rsidRPr="00232B7C">
        <w:rPr>
          <w:rFonts w:ascii="Times New Roman" w:eastAsia="Calibri" w:hAnsi="Times New Roman" w:cs="Times New Roman"/>
          <w:sz w:val="28"/>
          <w:szCs w:val="28"/>
        </w:rPr>
        <w:t>данный показатель отсутствует</w:t>
      </w:r>
      <w:r w:rsidR="00491E80" w:rsidRPr="00232B7C">
        <w:rPr>
          <w:rFonts w:ascii="Times New Roman" w:eastAsia="Calibri" w:hAnsi="Times New Roman" w:cs="Times New Roman"/>
          <w:sz w:val="28"/>
          <w:szCs w:val="28"/>
        </w:rPr>
        <w:t xml:space="preserve">. </w:t>
      </w:r>
    </w:p>
    <w:p w14:paraId="096579C9" w14:textId="010F8C78" w:rsidR="0047604B" w:rsidRPr="008D29E3" w:rsidRDefault="0047604B" w:rsidP="0047604B">
      <w:pPr>
        <w:spacing w:before="120" w:after="0" w:line="240" w:lineRule="auto"/>
        <w:ind w:firstLine="709"/>
        <w:jc w:val="both"/>
        <w:rPr>
          <w:rFonts w:ascii="Times New Roman" w:eastAsia="Calibri" w:hAnsi="Times New Roman" w:cs="Times New Roman"/>
          <w:color w:val="000000"/>
          <w:sz w:val="28"/>
          <w:szCs w:val="28"/>
        </w:rPr>
      </w:pPr>
      <w:r w:rsidRPr="008D29E3">
        <w:rPr>
          <w:rFonts w:ascii="Times New Roman" w:eastAsia="Times New Roman" w:hAnsi="Times New Roman" w:cs="Times New Roman"/>
          <w:sz w:val="28"/>
          <w:szCs w:val="28"/>
        </w:rPr>
        <w:t xml:space="preserve">Объем дефицита бюджета области, предусмотренный Законопроектом, соответствует ограничениям, установленным пунктом 2 статьи 92.1. БК РФ и </w:t>
      </w:r>
      <w:r w:rsidRPr="00A811F7">
        <w:rPr>
          <w:rFonts w:ascii="Times New Roman" w:eastAsia="Times New Roman" w:hAnsi="Times New Roman" w:cs="Times New Roman"/>
          <w:sz w:val="28"/>
          <w:szCs w:val="28"/>
        </w:rPr>
        <w:t>соглашени</w:t>
      </w:r>
      <w:r w:rsidR="00A811F7" w:rsidRPr="00A811F7">
        <w:rPr>
          <w:rFonts w:ascii="Times New Roman" w:eastAsia="Times New Roman" w:hAnsi="Times New Roman" w:cs="Times New Roman"/>
          <w:sz w:val="28"/>
          <w:szCs w:val="28"/>
        </w:rPr>
        <w:t>е</w:t>
      </w:r>
      <w:r w:rsidRPr="00A811F7">
        <w:rPr>
          <w:rFonts w:ascii="Times New Roman" w:eastAsia="Times New Roman" w:hAnsi="Times New Roman" w:cs="Times New Roman"/>
          <w:sz w:val="28"/>
          <w:szCs w:val="28"/>
        </w:rPr>
        <w:t>м с Минфином</w:t>
      </w:r>
      <w:r w:rsidRPr="008D29E3">
        <w:rPr>
          <w:rFonts w:ascii="Times New Roman" w:eastAsia="Times New Roman" w:hAnsi="Times New Roman" w:cs="Times New Roman"/>
          <w:sz w:val="28"/>
          <w:szCs w:val="28"/>
        </w:rPr>
        <w:t xml:space="preserve"> России: </w:t>
      </w:r>
      <w:r w:rsidRPr="008D29E3">
        <w:rPr>
          <w:rFonts w:ascii="Times New Roman" w:eastAsia="Calibri" w:hAnsi="Times New Roman" w:cs="Times New Roman"/>
          <w:color w:val="000000"/>
          <w:sz w:val="28"/>
          <w:szCs w:val="28"/>
        </w:rPr>
        <w:t>дефицит бюджета в 202</w:t>
      </w:r>
      <w:r w:rsidR="008D29E3" w:rsidRPr="008D29E3">
        <w:rPr>
          <w:rFonts w:ascii="Times New Roman" w:eastAsia="Calibri" w:hAnsi="Times New Roman" w:cs="Times New Roman"/>
          <w:color w:val="000000"/>
          <w:sz w:val="28"/>
          <w:szCs w:val="28"/>
        </w:rPr>
        <w:t>2</w:t>
      </w:r>
      <w:r w:rsidRPr="008D29E3">
        <w:rPr>
          <w:rFonts w:ascii="Times New Roman" w:eastAsia="Calibri" w:hAnsi="Times New Roman" w:cs="Times New Roman"/>
          <w:color w:val="000000"/>
          <w:sz w:val="28"/>
          <w:szCs w:val="28"/>
        </w:rPr>
        <w:t xml:space="preserve"> году планируется в размере </w:t>
      </w:r>
      <w:r w:rsidR="008D29E3" w:rsidRPr="008D29E3">
        <w:rPr>
          <w:rFonts w:ascii="Times New Roman" w:eastAsia="Calibri" w:hAnsi="Times New Roman" w:cs="Times New Roman"/>
          <w:color w:val="000000"/>
          <w:sz w:val="28"/>
          <w:szCs w:val="28"/>
        </w:rPr>
        <w:t>4</w:t>
      </w:r>
      <w:r w:rsidRPr="008D29E3">
        <w:rPr>
          <w:rFonts w:ascii="Times New Roman" w:eastAsia="Calibri" w:hAnsi="Times New Roman" w:cs="Times New Roman"/>
          <w:color w:val="000000"/>
          <w:sz w:val="28"/>
          <w:szCs w:val="28"/>
        </w:rPr>
        <w:t>,4% к годовому объему доходов бюджета без учета объема безвозмездных поступлений, в 202</w:t>
      </w:r>
      <w:r w:rsidR="008D29E3" w:rsidRPr="008D29E3">
        <w:rPr>
          <w:rFonts w:ascii="Times New Roman" w:eastAsia="Calibri" w:hAnsi="Times New Roman" w:cs="Times New Roman"/>
          <w:color w:val="000000"/>
          <w:sz w:val="28"/>
          <w:szCs w:val="28"/>
        </w:rPr>
        <w:t>3</w:t>
      </w:r>
      <w:r w:rsidRPr="008D29E3">
        <w:rPr>
          <w:rFonts w:ascii="Times New Roman" w:eastAsia="Calibri" w:hAnsi="Times New Roman" w:cs="Times New Roman"/>
          <w:color w:val="000000"/>
          <w:sz w:val="28"/>
          <w:szCs w:val="28"/>
        </w:rPr>
        <w:t xml:space="preserve"> году – </w:t>
      </w:r>
      <w:r w:rsidR="008D29E3" w:rsidRPr="008D29E3">
        <w:rPr>
          <w:rFonts w:ascii="Times New Roman" w:eastAsia="Calibri" w:hAnsi="Times New Roman" w:cs="Times New Roman"/>
          <w:color w:val="000000"/>
          <w:sz w:val="28"/>
          <w:szCs w:val="28"/>
        </w:rPr>
        <w:t>0,4</w:t>
      </w:r>
      <w:r w:rsidRPr="008D29E3">
        <w:rPr>
          <w:rFonts w:ascii="Times New Roman" w:eastAsia="Calibri" w:hAnsi="Times New Roman" w:cs="Times New Roman"/>
          <w:color w:val="000000"/>
          <w:sz w:val="28"/>
          <w:szCs w:val="28"/>
        </w:rPr>
        <w:t>%, в 202</w:t>
      </w:r>
      <w:r w:rsidR="008D29E3" w:rsidRPr="008D29E3">
        <w:rPr>
          <w:rFonts w:ascii="Times New Roman" w:eastAsia="Calibri" w:hAnsi="Times New Roman" w:cs="Times New Roman"/>
          <w:color w:val="000000"/>
          <w:sz w:val="28"/>
          <w:szCs w:val="28"/>
        </w:rPr>
        <w:t>4</w:t>
      </w:r>
      <w:r w:rsidRPr="008D29E3">
        <w:rPr>
          <w:rFonts w:ascii="Times New Roman" w:eastAsia="Calibri" w:hAnsi="Times New Roman" w:cs="Times New Roman"/>
          <w:color w:val="000000"/>
          <w:sz w:val="28"/>
          <w:szCs w:val="28"/>
        </w:rPr>
        <w:t xml:space="preserve"> году – </w:t>
      </w:r>
      <w:r w:rsidR="008D29E3" w:rsidRPr="008D29E3">
        <w:rPr>
          <w:rFonts w:ascii="Times New Roman" w:eastAsia="Calibri" w:hAnsi="Times New Roman" w:cs="Times New Roman"/>
          <w:color w:val="000000"/>
          <w:sz w:val="28"/>
          <w:szCs w:val="28"/>
        </w:rPr>
        <w:t>0,3</w:t>
      </w:r>
      <w:r w:rsidRPr="008D29E3">
        <w:rPr>
          <w:rFonts w:ascii="Times New Roman" w:eastAsia="Calibri" w:hAnsi="Times New Roman" w:cs="Times New Roman"/>
          <w:color w:val="000000"/>
          <w:sz w:val="28"/>
          <w:szCs w:val="28"/>
        </w:rPr>
        <w:t>%.</w:t>
      </w:r>
    </w:p>
    <w:p w14:paraId="5B9540BE" w14:textId="458159DB" w:rsidR="00E30346" w:rsidRPr="00D97C12" w:rsidRDefault="00E30346" w:rsidP="00731AEE">
      <w:pPr>
        <w:widowControl w:val="0"/>
        <w:spacing w:before="240" w:after="120" w:line="240" w:lineRule="auto"/>
        <w:ind w:left="709"/>
        <w:jc w:val="both"/>
        <w:rPr>
          <w:rFonts w:ascii="Times New Roman" w:eastAsia="Calibri" w:hAnsi="Times New Roman" w:cs="Times New Roman"/>
          <w:b/>
          <w:sz w:val="28"/>
          <w:szCs w:val="28"/>
        </w:rPr>
      </w:pPr>
      <w:r w:rsidRPr="00A92FF4">
        <w:rPr>
          <w:rFonts w:ascii="Times New Roman" w:eastAsia="Calibri" w:hAnsi="Times New Roman" w:cs="Times New Roman"/>
          <w:b/>
          <w:sz w:val="28"/>
          <w:szCs w:val="28"/>
        </w:rPr>
        <w:lastRenderedPageBreak/>
        <w:t>1.</w:t>
      </w:r>
      <w:r w:rsidR="006D251A" w:rsidRPr="00A92FF4">
        <w:rPr>
          <w:rFonts w:ascii="Times New Roman" w:eastAsia="Calibri" w:hAnsi="Times New Roman" w:cs="Times New Roman"/>
          <w:b/>
          <w:sz w:val="28"/>
          <w:szCs w:val="28"/>
        </w:rPr>
        <w:t>1</w:t>
      </w:r>
      <w:r w:rsidRPr="00A92FF4">
        <w:rPr>
          <w:rFonts w:ascii="Times New Roman" w:eastAsia="Calibri" w:hAnsi="Times New Roman" w:cs="Times New Roman"/>
          <w:b/>
          <w:sz w:val="28"/>
          <w:szCs w:val="28"/>
        </w:rPr>
        <w:t>. </w:t>
      </w:r>
      <w:r w:rsidRPr="00A92FF4">
        <w:rPr>
          <w:rFonts w:ascii="Times New Roman" w:eastAsia="Calibri" w:hAnsi="Times New Roman" w:cs="Times New Roman"/>
          <w:sz w:val="28"/>
          <w:szCs w:val="28"/>
        </w:rPr>
        <w:t xml:space="preserve">Анализ показателей прогноза социально-экономического развития Тульской области </w:t>
      </w:r>
      <w:r w:rsidR="00790BAF" w:rsidRPr="00A92FF4">
        <w:rPr>
          <w:rFonts w:ascii="Times New Roman" w:eastAsia="Calibri" w:hAnsi="Times New Roman" w:cs="Times New Roman"/>
          <w:sz w:val="28"/>
          <w:szCs w:val="28"/>
        </w:rPr>
        <w:t xml:space="preserve">на 2022 год и на плановый период 2023 и 2024 </w:t>
      </w:r>
      <w:r w:rsidRPr="00A92FF4">
        <w:rPr>
          <w:rFonts w:ascii="Times New Roman" w:eastAsia="Calibri" w:hAnsi="Times New Roman" w:cs="Times New Roman"/>
          <w:sz w:val="28"/>
          <w:szCs w:val="28"/>
        </w:rPr>
        <w:t>годов</w:t>
      </w:r>
    </w:p>
    <w:p w14:paraId="61FDD9C4" w14:textId="77777777" w:rsidR="0047178B" w:rsidRPr="00D97C12" w:rsidRDefault="0047178B" w:rsidP="00352D19">
      <w:pPr>
        <w:widowControl w:val="0"/>
        <w:spacing w:before="120" w:after="0" w:line="240" w:lineRule="auto"/>
        <w:ind w:firstLine="709"/>
        <w:jc w:val="both"/>
        <w:rPr>
          <w:rFonts w:ascii="Times New Roman" w:eastAsia="Calibri" w:hAnsi="Times New Roman" w:cs="Times New Roman"/>
          <w:sz w:val="28"/>
          <w:szCs w:val="28"/>
          <w:highlight w:val="yellow"/>
        </w:rPr>
      </w:pPr>
      <w:r w:rsidRPr="00D97C12">
        <w:rPr>
          <w:rFonts w:ascii="Times New Roman" w:hAnsi="Times New Roman" w:cs="Times New Roman"/>
          <w:sz w:val="28"/>
          <w:szCs w:val="28"/>
        </w:rPr>
        <w:t>Во исполнение пункта 3 статьи 173 БК РФ прогноз социально-экономического развития одобрен высшим исполнительным органом государственной власти субъекта РФ (Распоряжение правительства Тульской области от 23.09.2021 №480-р «Об одобрении прогноза социально-экономического развития Тульской области на 2022 год и на плановый период 2023 и 2024 годов»). Прогноз социально-экономического развития Тульской области на 2022 год и на плановый период 2023 и 2024 годов содержит 2 варианта: 1 - консервативный; 2 – базовый.</w:t>
      </w:r>
    </w:p>
    <w:p w14:paraId="62980F17" w14:textId="46F924BF" w:rsidR="0047178B" w:rsidRPr="00D97C12" w:rsidRDefault="0047178B" w:rsidP="00352D19">
      <w:pPr>
        <w:widowControl w:val="0"/>
        <w:spacing w:before="120" w:after="0" w:line="240" w:lineRule="auto"/>
        <w:ind w:firstLine="709"/>
        <w:jc w:val="both"/>
        <w:rPr>
          <w:rFonts w:ascii="Times New Roman" w:eastAsia="Calibri" w:hAnsi="Times New Roman" w:cs="Times New Roman"/>
          <w:sz w:val="28"/>
          <w:szCs w:val="28"/>
        </w:rPr>
      </w:pPr>
      <w:r w:rsidRPr="00D97C12">
        <w:rPr>
          <w:rFonts w:ascii="Times New Roman" w:eastAsia="Calibri" w:hAnsi="Times New Roman" w:cs="Times New Roman"/>
          <w:sz w:val="28"/>
          <w:szCs w:val="28"/>
        </w:rPr>
        <w:t>Согласно основным направлениям бюджетной</w:t>
      </w:r>
      <w:r w:rsidR="006C4B67" w:rsidRPr="00D97C12">
        <w:rPr>
          <w:rFonts w:ascii="Times New Roman" w:eastAsia="Calibri" w:hAnsi="Times New Roman" w:cs="Times New Roman"/>
          <w:sz w:val="28"/>
          <w:szCs w:val="28"/>
        </w:rPr>
        <w:t xml:space="preserve"> и </w:t>
      </w:r>
      <w:r w:rsidRPr="00D97C12">
        <w:rPr>
          <w:rFonts w:ascii="Times New Roman" w:eastAsia="Calibri" w:hAnsi="Times New Roman" w:cs="Times New Roman"/>
          <w:sz w:val="28"/>
          <w:szCs w:val="28"/>
        </w:rPr>
        <w:t xml:space="preserve">налоговой политики </w:t>
      </w:r>
      <w:r w:rsidR="006C4B67" w:rsidRPr="00D97C12">
        <w:rPr>
          <w:rFonts w:ascii="Times New Roman" w:eastAsia="Calibri" w:hAnsi="Times New Roman" w:cs="Times New Roman"/>
          <w:sz w:val="28"/>
          <w:szCs w:val="28"/>
        </w:rPr>
        <w:t>Т</w:t>
      </w:r>
      <w:r w:rsidRPr="00D97C12">
        <w:rPr>
          <w:rFonts w:ascii="Times New Roman" w:eastAsia="Calibri" w:hAnsi="Times New Roman" w:cs="Times New Roman"/>
          <w:sz w:val="28"/>
          <w:szCs w:val="28"/>
        </w:rPr>
        <w:t>ульской области на 2022 год на плановый период 2023 и 2024 годов, при формировании бюджета области на бюджетный цикл 2022–2024 годов применялся базовый прогноз социально-экономического развития.</w:t>
      </w:r>
    </w:p>
    <w:p w14:paraId="122BBAD9" w14:textId="0B100C29" w:rsidR="00E30346" w:rsidRPr="00D97C12" w:rsidRDefault="0047178B" w:rsidP="00352D19">
      <w:pPr>
        <w:widowControl w:val="0"/>
        <w:spacing w:before="120" w:after="0" w:line="240" w:lineRule="auto"/>
        <w:ind w:firstLine="709"/>
        <w:jc w:val="both"/>
        <w:rPr>
          <w:rFonts w:ascii="Times New Roman" w:hAnsi="Times New Roman" w:cs="Times New Roman"/>
          <w:sz w:val="28"/>
          <w:szCs w:val="28"/>
        </w:rPr>
      </w:pPr>
      <w:r w:rsidRPr="00D97C12">
        <w:rPr>
          <w:rFonts w:ascii="Times New Roman" w:hAnsi="Times New Roman" w:cs="Times New Roman"/>
          <w:sz w:val="28"/>
          <w:szCs w:val="28"/>
        </w:rPr>
        <w:t xml:space="preserve">В соответствии со статьей 184.2 БК РФ </w:t>
      </w:r>
      <w:r w:rsidR="00510227" w:rsidRPr="00D97C12">
        <w:rPr>
          <w:rFonts w:ascii="Times New Roman" w:hAnsi="Times New Roman" w:cs="Times New Roman"/>
          <w:sz w:val="28"/>
          <w:szCs w:val="28"/>
        </w:rPr>
        <w:t xml:space="preserve">одновременно с проектом закона о бюджете в законодательный орган представлен </w:t>
      </w:r>
      <w:r w:rsidR="003776C6" w:rsidRPr="00D97C12">
        <w:rPr>
          <w:rFonts w:ascii="Times New Roman" w:hAnsi="Times New Roman" w:cs="Times New Roman"/>
          <w:sz w:val="28"/>
          <w:szCs w:val="28"/>
        </w:rPr>
        <w:t>П</w:t>
      </w:r>
      <w:r w:rsidR="00E30346" w:rsidRPr="00D97C12">
        <w:rPr>
          <w:rFonts w:ascii="Times New Roman" w:hAnsi="Times New Roman" w:cs="Times New Roman"/>
          <w:sz w:val="28"/>
          <w:szCs w:val="28"/>
        </w:rPr>
        <w:t xml:space="preserve">рогноз социально-экономического развития </w:t>
      </w:r>
      <w:r w:rsidR="001A202E" w:rsidRPr="00D97C12">
        <w:rPr>
          <w:rFonts w:ascii="Times New Roman" w:hAnsi="Times New Roman" w:cs="Times New Roman"/>
          <w:sz w:val="28"/>
          <w:szCs w:val="28"/>
        </w:rPr>
        <w:t xml:space="preserve">Тульской области </w:t>
      </w:r>
      <w:r w:rsidR="00790BAF" w:rsidRPr="00D97C12">
        <w:rPr>
          <w:rFonts w:ascii="Times New Roman" w:hAnsi="Times New Roman" w:cs="Times New Roman"/>
          <w:sz w:val="28"/>
          <w:szCs w:val="28"/>
        </w:rPr>
        <w:t xml:space="preserve">на 2022 год и на плановый период 2023 и 2024 </w:t>
      </w:r>
      <w:r w:rsidR="00184269" w:rsidRPr="00D97C12">
        <w:rPr>
          <w:rFonts w:ascii="Times New Roman" w:hAnsi="Times New Roman" w:cs="Times New Roman"/>
          <w:sz w:val="28"/>
          <w:szCs w:val="28"/>
        </w:rPr>
        <w:t>годов (далее – прогноз социально-экономического развития Тульской области</w:t>
      </w:r>
      <w:r w:rsidR="001A69A8" w:rsidRPr="00D97C12">
        <w:rPr>
          <w:rFonts w:ascii="Times New Roman" w:hAnsi="Times New Roman" w:cs="Times New Roman"/>
          <w:sz w:val="28"/>
          <w:szCs w:val="28"/>
        </w:rPr>
        <w:t>)</w:t>
      </w:r>
      <w:r w:rsidR="00E30346" w:rsidRPr="00D97C12">
        <w:rPr>
          <w:rFonts w:ascii="Times New Roman" w:hAnsi="Times New Roman" w:cs="Times New Roman"/>
          <w:sz w:val="28"/>
          <w:szCs w:val="28"/>
        </w:rPr>
        <w:t xml:space="preserve">. </w:t>
      </w:r>
      <w:r w:rsidR="006D251A" w:rsidRPr="00D97C12">
        <w:rPr>
          <w:rFonts w:ascii="Times New Roman" w:eastAsia="Calibri" w:hAnsi="Times New Roman" w:cs="Times New Roman"/>
          <w:bCs/>
          <w:sz w:val="28"/>
          <w:szCs w:val="28"/>
        </w:rPr>
        <w:t xml:space="preserve">Во исполнение части 4 статьи 173 БК РФ и части 4 статьи 10 </w:t>
      </w:r>
      <w:r w:rsidR="006D251A" w:rsidRPr="00D97C12">
        <w:rPr>
          <w:rFonts w:ascii="Times New Roman" w:hAnsi="Times New Roman" w:cs="Times New Roman"/>
          <w:sz w:val="28"/>
          <w:szCs w:val="28"/>
        </w:rPr>
        <w:t>Закона области о бюджетном процессе к прогнозу социально-экономического развития представлена пояснительная записка с обоснованием параметров прогноза социально-экономического развития Тульской области на 202</w:t>
      </w:r>
      <w:r w:rsidR="00D643EB" w:rsidRPr="00D97C12">
        <w:rPr>
          <w:rFonts w:ascii="Times New Roman" w:hAnsi="Times New Roman" w:cs="Times New Roman"/>
          <w:sz w:val="28"/>
          <w:szCs w:val="28"/>
        </w:rPr>
        <w:t>2</w:t>
      </w:r>
      <w:r w:rsidR="006D251A" w:rsidRPr="00D97C12">
        <w:rPr>
          <w:rFonts w:ascii="Times New Roman" w:hAnsi="Times New Roman" w:cs="Times New Roman"/>
          <w:sz w:val="28"/>
          <w:szCs w:val="28"/>
        </w:rPr>
        <w:t xml:space="preserve"> год и на плановый период до 202</w:t>
      </w:r>
      <w:r w:rsidR="00D643EB" w:rsidRPr="00D97C12">
        <w:rPr>
          <w:rFonts w:ascii="Times New Roman" w:hAnsi="Times New Roman" w:cs="Times New Roman"/>
          <w:sz w:val="28"/>
          <w:szCs w:val="28"/>
        </w:rPr>
        <w:t>4</w:t>
      </w:r>
      <w:r w:rsidR="006D251A" w:rsidRPr="00D97C12">
        <w:rPr>
          <w:rFonts w:ascii="Times New Roman" w:hAnsi="Times New Roman" w:cs="Times New Roman"/>
          <w:sz w:val="28"/>
          <w:szCs w:val="28"/>
        </w:rPr>
        <w:t xml:space="preserve"> года</w:t>
      </w:r>
      <w:r w:rsidR="008F0CA3" w:rsidRPr="00D97C12">
        <w:rPr>
          <w:rFonts w:ascii="Times New Roman" w:hAnsi="Times New Roman" w:cs="Times New Roman"/>
          <w:sz w:val="28"/>
          <w:szCs w:val="28"/>
        </w:rPr>
        <w:t>.</w:t>
      </w:r>
    </w:p>
    <w:p w14:paraId="17030D5A" w14:textId="0F146F3A" w:rsidR="00242DCC" w:rsidRDefault="006B4831" w:rsidP="00352D19">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6B4831">
        <w:rPr>
          <w:rFonts w:ascii="Times New Roman" w:eastAsia="Calibri" w:hAnsi="Times New Roman" w:cs="Times New Roman"/>
          <w:sz w:val="28"/>
          <w:szCs w:val="28"/>
        </w:rPr>
        <w:t xml:space="preserve">Вместе с тем, следует отметить, что </w:t>
      </w:r>
      <w:r w:rsidR="00242DCC" w:rsidRPr="00232B7C">
        <w:rPr>
          <w:rFonts w:ascii="Times New Roman" w:eastAsia="Calibri" w:hAnsi="Times New Roman" w:cs="Times New Roman"/>
          <w:sz w:val="28"/>
          <w:szCs w:val="28"/>
        </w:rPr>
        <w:t xml:space="preserve">показатели </w:t>
      </w:r>
      <w:r w:rsidRPr="006B4831">
        <w:rPr>
          <w:rFonts w:ascii="Times New Roman" w:eastAsia="Calibri" w:hAnsi="Times New Roman" w:cs="Times New Roman"/>
          <w:sz w:val="28"/>
          <w:szCs w:val="28"/>
        </w:rPr>
        <w:t>Прогноз</w:t>
      </w:r>
      <w:r w:rsidR="00242DCC" w:rsidRPr="00232B7C">
        <w:rPr>
          <w:rFonts w:ascii="Times New Roman" w:eastAsia="Calibri" w:hAnsi="Times New Roman" w:cs="Times New Roman"/>
          <w:sz w:val="28"/>
          <w:szCs w:val="28"/>
        </w:rPr>
        <w:t>а</w:t>
      </w:r>
      <w:r w:rsidRPr="006B4831">
        <w:rPr>
          <w:rFonts w:ascii="Times New Roman" w:eastAsia="Calibri" w:hAnsi="Times New Roman" w:cs="Times New Roman"/>
          <w:sz w:val="28"/>
          <w:szCs w:val="28"/>
        </w:rPr>
        <w:t xml:space="preserve"> социально-экономического развития Тульской области на 2022 год и на плановый период 2023 и 2024 годов</w:t>
      </w:r>
      <w:r w:rsidR="00242DCC" w:rsidRPr="00232B7C">
        <w:rPr>
          <w:rFonts w:ascii="Times New Roman" w:eastAsia="Calibri" w:hAnsi="Times New Roman" w:cs="Times New Roman"/>
          <w:sz w:val="28"/>
          <w:szCs w:val="28"/>
        </w:rPr>
        <w:t>, представленного в Тульскую областную Думу и счетную палату</w:t>
      </w:r>
      <w:r w:rsidRPr="006B4831">
        <w:rPr>
          <w:rFonts w:ascii="Times New Roman" w:eastAsia="Calibri" w:hAnsi="Times New Roman" w:cs="Times New Roman"/>
          <w:sz w:val="28"/>
          <w:szCs w:val="28"/>
        </w:rPr>
        <w:t xml:space="preserve"> (приложение 6 к письму Губернатора</w:t>
      </w:r>
      <w:r w:rsidRPr="006B4831">
        <w:rPr>
          <w:rFonts w:ascii="Times New Roman" w:eastAsia="Calibri" w:hAnsi="Times New Roman" w:cs="Times New Roman"/>
          <w:sz w:val="28"/>
          <w:szCs w:val="28"/>
          <w:vertAlign w:val="superscript"/>
        </w:rPr>
        <w:footnoteReference w:id="4"/>
      </w:r>
      <w:r w:rsidRPr="006B4831">
        <w:rPr>
          <w:rFonts w:ascii="Times New Roman" w:eastAsia="Calibri" w:hAnsi="Times New Roman" w:cs="Times New Roman"/>
          <w:sz w:val="28"/>
          <w:szCs w:val="28"/>
        </w:rPr>
        <w:t xml:space="preserve">), </w:t>
      </w:r>
      <w:r w:rsidR="00F7788E" w:rsidRPr="00232B7C">
        <w:rPr>
          <w:rFonts w:ascii="Times New Roman" w:eastAsia="Calibri" w:hAnsi="Times New Roman" w:cs="Times New Roman"/>
          <w:sz w:val="28"/>
          <w:szCs w:val="28"/>
        </w:rPr>
        <w:t xml:space="preserve">не соответствуют прогнозу социально-экономического </w:t>
      </w:r>
      <w:r w:rsidR="00F7788E" w:rsidRPr="00D825EA">
        <w:rPr>
          <w:rFonts w:ascii="Times New Roman" w:eastAsia="Calibri" w:hAnsi="Times New Roman" w:cs="Times New Roman"/>
          <w:sz w:val="28"/>
          <w:szCs w:val="28"/>
        </w:rPr>
        <w:t xml:space="preserve">развития, </w:t>
      </w:r>
      <w:r w:rsidR="00237FB5" w:rsidRPr="00D825EA">
        <w:rPr>
          <w:rFonts w:ascii="Times New Roman" w:eastAsia="Calibri" w:hAnsi="Times New Roman" w:cs="Times New Roman"/>
          <w:sz w:val="28"/>
          <w:szCs w:val="28"/>
        </w:rPr>
        <w:t>одобренному</w:t>
      </w:r>
      <w:r w:rsidR="00535E60" w:rsidRPr="00D825EA">
        <w:t xml:space="preserve"> </w:t>
      </w:r>
      <w:r w:rsidR="00535E60" w:rsidRPr="00D825EA">
        <w:rPr>
          <w:rFonts w:ascii="Times New Roman" w:eastAsia="Calibri" w:hAnsi="Times New Roman" w:cs="Times New Roman"/>
          <w:sz w:val="28"/>
          <w:szCs w:val="28"/>
        </w:rPr>
        <w:t>распоряжением</w:t>
      </w:r>
      <w:r w:rsidR="00535E60" w:rsidRPr="00232B7C">
        <w:rPr>
          <w:rFonts w:ascii="Times New Roman" w:eastAsia="Calibri" w:hAnsi="Times New Roman" w:cs="Times New Roman"/>
          <w:sz w:val="28"/>
          <w:szCs w:val="28"/>
        </w:rPr>
        <w:t xml:space="preserve"> правительства Тульской области от 23.09.2021 №480-р</w:t>
      </w:r>
      <w:r w:rsidR="00DF15BE">
        <w:rPr>
          <w:rFonts w:ascii="Times New Roman" w:eastAsia="Calibri" w:hAnsi="Times New Roman" w:cs="Times New Roman"/>
          <w:sz w:val="28"/>
          <w:szCs w:val="28"/>
        </w:rPr>
        <w:t>, по ряду показателей</w:t>
      </w:r>
      <w:r w:rsidR="00535E60" w:rsidRPr="00232B7C">
        <w:rPr>
          <w:rFonts w:ascii="Times New Roman" w:eastAsia="Calibri" w:hAnsi="Times New Roman" w:cs="Times New Roman"/>
          <w:sz w:val="28"/>
          <w:szCs w:val="28"/>
        </w:rPr>
        <w:t>.</w:t>
      </w:r>
    </w:p>
    <w:p w14:paraId="65F61B8D" w14:textId="401F628C" w:rsidR="00237FB5" w:rsidRPr="00232B7C" w:rsidRDefault="00237FB5" w:rsidP="00352D19">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D825EA">
        <w:rPr>
          <w:rFonts w:ascii="Times New Roman" w:eastAsia="Calibri" w:hAnsi="Times New Roman" w:cs="Times New Roman"/>
          <w:sz w:val="28"/>
          <w:szCs w:val="28"/>
        </w:rPr>
        <w:t>Объемы прогнозируемых на 2022 год поступлений по подстатьям доходов, в расчетах которых применяются показатели прогноза</w:t>
      </w:r>
      <w:r w:rsidR="006131BB">
        <w:rPr>
          <w:rFonts w:ascii="Times New Roman" w:eastAsia="Calibri" w:hAnsi="Times New Roman" w:cs="Times New Roman"/>
          <w:sz w:val="28"/>
          <w:szCs w:val="28"/>
        </w:rPr>
        <w:t xml:space="preserve"> </w:t>
      </w:r>
      <w:r w:rsidRPr="00D825EA">
        <w:rPr>
          <w:rFonts w:ascii="Times New Roman" w:eastAsia="Calibri" w:hAnsi="Times New Roman" w:cs="Times New Roman"/>
          <w:sz w:val="28"/>
          <w:szCs w:val="28"/>
        </w:rPr>
        <w:t>социального</w:t>
      </w:r>
      <w:r w:rsidR="006131BB">
        <w:rPr>
          <w:rFonts w:ascii="Times New Roman" w:eastAsia="Calibri" w:hAnsi="Times New Roman" w:cs="Times New Roman"/>
          <w:sz w:val="28"/>
          <w:szCs w:val="28"/>
        </w:rPr>
        <w:noBreakHyphen/>
      </w:r>
      <w:r w:rsidRPr="00D825EA">
        <w:rPr>
          <w:rFonts w:ascii="Times New Roman" w:eastAsia="Calibri" w:hAnsi="Times New Roman" w:cs="Times New Roman"/>
          <w:sz w:val="28"/>
          <w:szCs w:val="28"/>
        </w:rPr>
        <w:t xml:space="preserve">экономического развития, произведены в соответствии с прогнозными показателями, </w:t>
      </w:r>
      <w:r w:rsidR="00733379" w:rsidRPr="00D825EA">
        <w:rPr>
          <w:rFonts w:ascii="Times New Roman" w:eastAsia="Calibri" w:hAnsi="Times New Roman" w:cs="Times New Roman"/>
          <w:sz w:val="28"/>
          <w:szCs w:val="28"/>
        </w:rPr>
        <w:t>одобренными</w:t>
      </w:r>
      <w:r w:rsidRPr="00D825EA">
        <w:rPr>
          <w:rFonts w:ascii="Times New Roman" w:eastAsia="Calibri" w:hAnsi="Times New Roman" w:cs="Times New Roman"/>
          <w:sz w:val="28"/>
          <w:szCs w:val="28"/>
        </w:rPr>
        <w:t xml:space="preserve"> распоряжением правительства Тульской области от 23.09.2021 №480-р.</w:t>
      </w:r>
    </w:p>
    <w:p w14:paraId="32ABC211" w14:textId="77777777" w:rsidR="0068135F" w:rsidRPr="009128F7" w:rsidRDefault="0068135F" w:rsidP="00810744">
      <w:pPr>
        <w:keepNext/>
        <w:keepLines/>
        <w:pageBreakBefore/>
        <w:widowControl w:val="0"/>
        <w:pBdr>
          <w:bottom w:val="thinThickSmallGap" w:sz="18" w:space="10" w:color="auto"/>
        </w:pBdr>
        <w:suppressAutoHyphens/>
        <w:spacing w:before="120" w:after="0" w:line="240" w:lineRule="auto"/>
        <w:jc w:val="center"/>
        <w:rPr>
          <w:rFonts w:ascii="Times New Roman" w:eastAsia="Calibri" w:hAnsi="Times New Roman" w:cs="Times New Roman"/>
          <w:b/>
          <w:caps/>
          <w:spacing w:val="30"/>
          <w:w w:val="150"/>
          <w:sz w:val="24"/>
          <w:szCs w:val="24"/>
        </w:rPr>
      </w:pPr>
      <w:r w:rsidRPr="009128F7">
        <w:rPr>
          <w:rFonts w:ascii="Times New Roman" w:eastAsia="Calibri" w:hAnsi="Times New Roman" w:cs="Times New Roman"/>
          <w:b/>
          <w:caps/>
          <w:spacing w:val="30"/>
          <w:w w:val="150"/>
          <w:sz w:val="24"/>
          <w:szCs w:val="24"/>
        </w:rPr>
        <w:lastRenderedPageBreak/>
        <w:t>2.доходы бюджета области</w:t>
      </w:r>
    </w:p>
    <w:p w14:paraId="0240D89A" w14:textId="1E58EEC6" w:rsidR="00122DFB" w:rsidRPr="00352D19" w:rsidRDefault="00970823" w:rsidP="00352D19">
      <w:pPr>
        <w:spacing w:before="40" w:after="0" w:line="240" w:lineRule="auto"/>
        <w:ind w:firstLine="709"/>
        <w:jc w:val="both"/>
        <w:rPr>
          <w:rFonts w:ascii="Times New Roman" w:eastAsia="Calibri" w:hAnsi="Times New Roman" w:cs="Times New Roman"/>
          <w:spacing w:val="-4"/>
          <w:sz w:val="28"/>
        </w:rPr>
      </w:pPr>
      <w:r w:rsidRPr="00352D19">
        <w:rPr>
          <w:rFonts w:ascii="Times New Roman" w:eastAsia="Calibri" w:hAnsi="Times New Roman" w:cs="Times New Roman"/>
          <w:spacing w:val="-4"/>
          <w:sz w:val="28"/>
        </w:rPr>
        <w:t>Во исполнение абзаца 9 части 1 статьи 16 Закона области о бюджетном процессе, в материалах к Законопроекту представлены расчеты по всем подстатьям доходов</w:t>
      </w:r>
      <w:r w:rsidR="00DA5AAE" w:rsidRPr="00352D19">
        <w:rPr>
          <w:rStyle w:val="a5"/>
          <w:rFonts w:ascii="Times New Roman" w:eastAsia="Calibri" w:hAnsi="Times New Roman" w:cs="Times New Roman"/>
          <w:spacing w:val="-4"/>
          <w:sz w:val="28"/>
        </w:rPr>
        <w:footnoteReference w:id="5"/>
      </w:r>
      <w:r w:rsidRPr="00352D19">
        <w:rPr>
          <w:rFonts w:ascii="Times New Roman" w:eastAsia="Calibri" w:hAnsi="Times New Roman" w:cs="Times New Roman"/>
          <w:spacing w:val="-4"/>
          <w:sz w:val="28"/>
        </w:rPr>
        <w:t>.</w:t>
      </w:r>
      <w:r w:rsidR="00122DFB" w:rsidRPr="00352D19">
        <w:rPr>
          <w:rFonts w:ascii="Times New Roman" w:eastAsia="Calibri" w:hAnsi="Times New Roman" w:cs="Times New Roman"/>
          <w:spacing w:val="-4"/>
          <w:sz w:val="28"/>
        </w:rPr>
        <w:t xml:space="preserve"> Анализ динамики доходов бюджета области за период 20</w:t>
      </w:r>
      <w:r w:rsidR="0066652E" w:rsidRPr="00352D19">
        <w:rPr>
          <w:rFonts w:ascii="Times New Roman" w:eastAsia="Calibri" w:hAnsi="Times New Roman" w:cs="Times New Roman"/>
          <w:spacing w:val="-4"/>
          <w:sz w:val="28"/>
        </w:rPr>
        <w:t>19</w:t>
      </w:r>
      <w:r w:rsidR="00122DFB" w:rsidRPr="00352D19">
        <w:rPr>
          <w:rFonts w:ascii="Times New Roman" w:eastAsia="Calibri" w:hAnsi="Times New Roman" w:cs="Times New Roman"/>
          <w:spacing w:val="-4"/>
          <w:sz w:val="28"/>
        </w:rPr>
        <w:t>–202</w:t>
      </w:r>
      <w:r w:rsidR="00797108" w:rsidRPr="00352D19">
        <w:rPr>
          <w:rFonts w:ascii="Times New Roman" w:eastAsia="Calibri" w:hAnsi="Times New Roman" w:cs="Times New Roman"/>
          <w:spacing w:val="-4"/>
          <w:sz w:val="28"/>
        </w:rPr>
        <w:t>4</w:t>
      </w:r>
      <w:r w:rsidR="00122DFB" w:rsidRPr="00352D19">
        <w:rPr>
          <w:rFonts w:ascii="Times New Roman" w:eastAsia="Calibri" w:hAnsi="Times New Roman" w:cs="Times New Roman"/>
          <w:spacing w:val="-4"/>
          <w:sz w:val="28"/>
        </w:rPr>
        <w:t xml:space="preserve"> годов представлен в </w:t>
      </w:r>
      <w:r w:rsidR="002E3021" w:rsidRPr="00352D19">
        <w:rPr>
          <w:rFonts w:ascii="Times New Roman" w:eastAsia="Calibri" w:hAnsi="Times New Roman" w:cs="Times New Roman"/>
          <w:spacing w:val="-4"/>
          <w:sz w:val="28"/>
        </w:rPr>
        <w:t>п</w:t>
      </w:r>
      <w:r w:rsidR="00122DFB" w:rsidRPr="00352D19">
        <w:rPr>
          <w:rFonts w:ascii="Times New Roman" w:eastAsia="Calibri" w:hAnsi="Times New Roman" w:cs="Times New Roman"/>
          <w:spacing w:val="-4"/>
          <w:sz w:val="28"/>
        </w:rPr>
        <w:t>риложении №</w:t>
      </w:r>
      <w:r w:rsidR="00380597" w:rsidRPr="00352D19">
        <w:rPr>
          <w:rFonts w:ascii="Times New Roman" w:eastAsia="Calibri" w:hAnsi="Times New Roman" w:cs="Times New Roman"/>
          <w:spacing w:val="-4"/>
          <w:sz w:val="28"/>
        </w:rPr>
        <w:t>1</w:t>
      </w:r>
      <w:r w:rsidR="00122DFB" w:rsidRPr="00352D19">
        <w:rPr>
          <w:rFonts w:ascii="Times New Roman" w:eastAsia="Calibri" w:hAnsi="Times New Roman" w:cs="Times New Roman"/>
          <w:spacing w:val="-4"/>
          <w:sz w:val="28"/>
        </w:rPr>
        <w:t xml:space="preserve"> к настоящему заключению.</w:t>
      </w:r>
    </w:p>
    <w:p w14:paraId="3FD206C0" w14:textId="5A786F39" w:rsidR="00203227" w:rsidRPr="00810744" w:rsidRDefault="00203227" w:rsidP="00352D19">
      <w:pPr>
        <w:spacing w:before="40" w:after="0" w:line="240" w:lineRule="auto"/>
        <w:ind w:firstLine="709"/>
        <w:jc w:val="both"/>
        <w:rPr>
          <w:rFonts w:ascii="Times New Roman" w:eastAsia="Times New Roman" w:hAnsi="Times New Roman" w:cs="Times New Roman"/>
          <w:spacing w:val="-6"/>
          <w:sz w:val="28"/>
          <w:szCs w:val="28"/>
          <w:lang w:eastAsia="ru-RU"/>
        </w:rPr>
      </w:pPr>
      <w:r w:rsidRPr="00810744">
        <w:rPr>
          <w:rFonts w:ascii="Times New Roman" w:eastAsia="Calibri" w:hAnsi="Times New Roman" w:cs="Times New Roman"/>
          <w:spacing w:val="-6"/>
          <w:sz w:val="28"/>
        </w:rPr>
        <w:t xml:space="preserve">Плановые показатели доходов бюджета области на новый бюджетный цикл 2022–2024 годов рассчитаны </w:t>
      </w:r>
      <w:r w:rsidRPr="00810744">
        <w:rPr>
          <w:rFonts w:ascii="Times New Roman" w:eastAsia="Times New Roman" w:hAnsi="Times New Roman" w:cs="Times New Roman"/>
          <w:spacing w:val="-6"/>
          <w:sz w:val="28"/>
          <w:szCs w:val="28"/>
          <w:lang w:eastAsia="ru-RU"/>
        </w:rPr>
        <w:t>в условиях действующего федерального и регионального налогового и бюджетного законодательства</w:t>
      </w:r>
      <w:r w:rsidRPr="00810744">
        <w:rPr>
          <w:rFonts w:ascii="Times New Roman" w:eastAsia="Calibri" w:hAnsi="Times New Roman" w:cs="Times New Roman"/>
          <w:spacing w:val="-6"/>
          <w:sz w:val="28"/>
        </w:rPr>
        <w:t xml:space="preserve"> с учетом прогнозных показателей социально-экономического развития Тульской области</w:t>
      </w:r>
      <w:r w:rsidRPr="00810744">
        <w:rPr>
          <w:rStyle w:val="a5"/>
          <w:rFonts w:ascii="Times New Roman" w:hAnsi="Times New Roman" w:cs="Times New Roman"/>
          <w:spacing w:val="-6"/>
          <w:sz w:val="28"/>
          <w:szCs w:val="28"/>
        </w:rPr>
        <w:footnoteReference w:id="6"/>
      </w:r>
      <w:r w:rsidR="00A01EBB" w:rsidRPr="00810744">
        <w:rPr>
          <w:rFonts w:ascii="Times New Roman" w:eastAsia="Calibri" w:hAnsi="Times New Roman" w:cs="Times New Roman"/>
          <w:spacing w:val="-6"/>
          <w:sz w:val="28"/>
        </w:rPr>
        <w:t>,</w:t>
      </w:r>
      <w:r w:rsidRPr="00810744">
        <w:rPr>
          <w:rFonts w:ascii="Times New Roman" w:eastAsia="Times New Roman" w:hAnsi="Times New Roman" w:cs="Times New Roman"/>
          <w:spacing w:val="-6"/>
          <w:sz w:val="28"/>
          <w:szCs w:val="28"/>
          <w:lang w:eastAsia="ru-RU"/>
        </w:rPr>
        <w:t xml:space="preserve"> положений Проекта закона о федеральном бюджете на 2022–2024 годы</w:t>
      </w:r>
      <w:r w:rsidR="00A01EBB" w:rsidRPr="00810744">
        <w:rPr>
          <w:rFonts w:ascii="Times New Roman" w:eastAsia="Times New Roman" w:hAnsi="Times New Roman" w:cs="Times New Roman"/>
          <w:spacing w:val="-6"/>
          <w:sz w:val="28"/>
          <w:szCs w:val="28"/>
          <w:lang w:eastAsia="ru-RU"/>
        </w:rPr>
        <w:t xml:space="preserve"> и проекта федерального закона №1258306-7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14:paraId="744F7C50" w14:textId="37763C43" w:rsidR="00203227" w:rsidRPr="00810744" w:rsidRDefault="00203227" w:rsidP="003D2074">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10744">
        <w:rPr>
          <w:rFonts w:ascii="Times New Roman" w:eastAsia="Times New Roman" w:hAnsi="Times New Roman" w:cs="Times New Roman"/>
          <w:spacing w:val="-6"/>
          <w:sz w:val="28"/>
          <w:szCs w:val="28"/>
          <w:lang w:eastAsia="ru-RU"/>
        </w:rPr>
        <w:t>В Законопроекте учтены изменения</w:t>
      </w:r>
      <w:r w:rsidR="003D2074" w:rsidRPr="00810744">
        <w:rPr>
          <w:rFonts w:ascii="Times New Roman" w:eastAsia="Times New Roman" w:hAnsi="Times New Roman" w:cs="Times New Roman"/>
          <w:spacing w:val="-6"/>
          <w:sz w:val="28"/>
          <w:szCs w:val="28"/>
          <w:lang w:eastAsia="ru-RU"/>
        </w:rPr>
        <w:t xml:space="preserve">, внесенные в </w:t>
      </w:r>
      <w:r w:rsidRPr="00810744">
        <w:rPr>
          <w:rFonts w:ascii="Times New Roman" w:eastAsia="Times New Roman" w:hAnsi="Times New Roman" w:cs="Times New Roman"/>
          <w:spacing w:val="-6"/>
          <w:sz w:val="28"/>
          <w:szCs w:val="28"/>
          <w:lang w:eastAsia="ru-RU"/>
        </w:rPr>
        <w:t>Закон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(далее – Закон области о межбюджетных отношениях),</w:t>
      </w:r>
      <w:r w:rsidR="003D2074" w:rsidRPr="00810744">
        <w:rPr>
          <w:rFonts w:ascii="Times New Roman" w:hAnsi="Times New Roman" w:cs="Times New Roman"/>
          <w:spacing w:val="-6"/>
          <w:sz w:val="28"/>
          <w:szCs w:val="28"/>
        </w:rPr>
        <w:t xml:space="preserve"> применяемые к правоотношениям, возникающим при составлении и исполнении бюджета Тульской области, начиная с бюджета на 2022 год и на плановый период 2023 и 2024 годов:</w:t>
      </w:r>
      <w:r w:rsidRPr="00810744">
        <w:rPr>
          <w:rFonts w:ascii="Times New Roman" w:eastAsia="Times New Roman" w:hAnsi="Times New Roman" w:cs="Times New Roman"/>
          <w:spacing w:val="-6"/>
          <w:sz w:val="28"/>
          <w:szCs w:val="28"/>
          <w:lang w:eastAsia="ru-RU"/>
        </w:rPr>
        <w:t xml:space="preserve"> увеличены нормативы отчислений в бюджеты городских округов от налога, взимаемого в связи с применением упрощенной системы налогообложения, в том числе минимального налога, на 5 процентов; переданы в бюджеты муниципальных районов (городских округов) отчисления от налога на профессиональный доход в размере 100 процентов.</w:t>
      </w:r>
    </w:p>
    <w:p w14:paraId="11E870D8" w14:textId="23AB5379" w:rsidR="00970823" w:rsidRPr="00352D19" w:rsidRDefault="00970823" w:rsidP="00352D19">
      <w:pPr>
        <w:spacing w:before="40" w:after="0" w:line="240" w:lineRule="auto"/>
        <w:ind w:firstLine="709"/>
        <w:jc w:val="both"/>
        <w:rPr>
          <w:rFonts w:ascii="Times New Roman" w:eastAsia="Calibri" w:hAnsi="Times New Roman" w:cs="Times New Roman"/>
          <w:spacing w:val="-4"/>
          <w:sz w:val="28"/>
        </w:rPr>
      </w:pPr>
      <w:r w:rsidRPr="00810744">
        <w:rPr>
          <w:rFonts w:ascii="Times New Roman" w:eastAsia="Calibri" w:hAnsi="Times New Roman" w:cs="Times New Roman"/>
          <w:spacing w:val="-4"/>
          <w:sz w:val="28"/>
          <w:szCs w:val="28"/>
        </w:rPr>
        <w:t>Расчеты доходов проведены</w:t>
      </w:r>
      <w:r w:rsidR="006712C7" w:rsidRPr="00810744">
        <w:rPr>
          <w:rFonts w:ascii="Times New Roman" w:eastAsia="Calibri" w:hAnsi="Times New Roman" w:cs="Times New Roman"/>
          <w:spacing w:val="-4"/>
          <w:sz w:val="28"/>
          <w:szCs w:val="28"/>
        </w:rPr>
        <w:t xml:space="preserve"> </w:t>
      </w:r>
      <w:r w:rsidR="00297A73" w:rsidRPr="00810744">
        <w:rPr>
          <w:rFonts w:ascii="Times New Roman" w:eastAsia="Calibri" w:hAnsi="Times New Roman" w:cs="Times New Roman"/>
          <w:spacing w:val="-4"/>
          <w:sz w:val="28"/>
          <w:szCs w:val="28"/>
        </w:rPr>
        <w:t xml:space="preserve">исходя </w:t>
      </w:r>
      <w:r w:rsidRPr="00810744">
        <w:rPr>
          <w:rFonts w:ascii="Times New Roman" w:eastAsia="Calibri" w:hAnsi="Times New Roman" w:cs="Times New Roman"/>
          <w:spacing w:val="-4"/>
          <w:sz w:val="28"/>
          <w:szCs w:val="28"/>
        </w:rPr>
        <w:t>из</w:t>
      </w:r>
      <w:r w:rsidRPr="00810744">
        <w:rPr>
          <w:rFonts w:ascii="Times New Roman" w:eastAsia="Calibri" w:hAnsi="Times New Roman" w:cs="Times New Roman"/>
          <w:spacing w:val="-4"/>
          <w:sz w:val="28"/>
        </w:rPr>
        <w:t xml:space="preserve"> динамики и оценки </w:t>
      </w:r>
      <w:r w:rsidR="0090352E" w:rsidRPr="00810744">
        <w:rPr>
          <w:rFonts w:ascii="Times New Roman" w:eastAsia="Calibri" w:hAnsi="Times New Roman" w:cs="Times New Roman"/>
          <w:spacing w:val="-4"/>
          <w:sz w:val="28"/>
        </w:rPr>
        <w:t xml:space="preserve">объемов </w:t>
      </w:r>
      <w:r w:rsidRPr="00810744">
        <w:rPr>
          <w:rFonts w:ascii="Times New Roman" w:eastAsia="Calibri" w:hAnsi="Times New Roman" w:cs="Times New Roman"/>
          <w:spacing w:val="-4"/>
          <w:sz w:val="28"/>
        </w:rPr>
        <w:t>поступлений в 202</w:t>
      </w:r>
      <w:r w:rsidR="001F7FE4" w:rsidRPr="00810744">
        <w:rPr>
          <w:rFonts w:ascii="Times New Roman" w:eastAsia="Calibri" w:hAnsi="Times New Roman" w:cs="Times New Roman"/>
          <w:spacing w:val="-4"/>
          <w:sz w:val="28"/>
        </w:rPr>
        <w:t>1</w:t>
      </w:r>
      <w:r w:rsidR="004F65BB" w:rsidRPr="00810744">
        <w:rPr>
          <w:rFonts w:ascii="Times New Roman" w:eastAsia="Calibri" w:hAnsi="Times New Roman" w:cs="Times New Roman"/>
          <w:spacing w:val="-4"/>
          <w:sz w:val="28"/>
        </w:rPr>
        <w:t xml:space="preserve"> году</w:t>
      </w:r>
      <w:r w:rsidR="006712C7" w:rsidRPr="00810744">
        <w:rPr>
          <w:rFonts w:ascii="Times New Roman" w:eastAsia="Calibri" w:hAnsi="Times New Roman" w:cs="Times New Roman"/>
          <w:spacing w:val="-4"/>
          <w:sz w:val="28"/>
        </w:rPr>
        <w:t>,</w:t>
      </w:r>
      <w:r w:rsidRPr="00810744">
        <w:rPr>
          <w:rFonts w:ascii="Times New Roman" w:eastAsia="Calibri" w:hAnsi="Times New Roman" w:cs="Times New Roman"/>
          <w:spacing w:val="-4"/>
          <w:sz w:val="28"/>
        </w:rPr>
        <w:t xml:space="preserve"> налоговых ставок по акцизам</w:t>
      </w:r>
      <w:r w:rsidR="00D37973" w:rsidRPr="00810744">
        <w:rPr>
          <w:rFonts w:ascii="Times New Roman" w:eastAsia="Calibri" w:hAnsi="Times New Roman" w:cs="Times New Roman"/>
          <w:spacing w:val="-4"/>
          <w:sz w:val="28"/>
        </w:rPr>
        <w:t xml:space="preserve"> на пиво, </w:t>
      </w:r>
      <w:r w:rsidR="000361B7" w:rsidRPr="00810744">
        <w:rPr>
          <w:rFonts w:ascii="Times New Roman" w:eastAsia="Calibri" w:hAnsi="Times New Roman" w:cs="Times New Roman"/>
          <w:spacing w:val="-4"/>
          <w:sz w:val="28"/>
        </w:rPr>
        <w:t xml:space="preserve">сидр, </w:t>
      </w:r>
      <w:proofErr w:type="spellStart"/>
      <w:r w:rsidR="000361B7" w:rsidRPr="00810744">
        <w:rPr>
          <w:rFonts w:ascii="Times New Roman" w:eastAsia="Calibri" w:hAnsi="Times New Roman" w:cs="Times New Roman"/>
          <w:spacing w:val="-4"/>
          <w:sz w:val="28"/>
        </w:rPr>
        <w:t>пуаре</w:t>
      </w:r>
      <w:proofErr w:type="spellEnd"/>
      <w:r w:rsidR="000361B7" w:rsidRPr="00810744">
        <w:rPr>
          <w:rFonts w:ascii="Times New Roman" w:eastAsia="Calibri" w:hAnsi="Times New Roman" w:cs="Times New Roman"/>
          <w:spacing w:val="-4"/>
          <w:sz w:val="28"/>
        </w:rPr>
        <w:t>, медовуху</w:t>
      </w:r>
      <w:r w:rsidR="00D37973" w:rsidRPr="00810744">
        <w:rPr>
          <w:rFonts w:ascii="Times New Roman" w:eastAsia="Calibri" w:hAnsi="Times New Roman" w:cs="Times New Roman"/>
          <w:spacing w:val="-4"/>
          <w:sz w:val="28"/>
        </w:rPr>
        <w:t>, этиловый спирт</w:t>
      </w:r>
      <w:r w:rsidRPr="00810744">
        <w:rPr>
          <w:rStyle w:val="a5"/>
          <w:rFonts w:ascii="Times New Roman" w:hAnsi="Times New Roman" w:cs="Times New Roman"/>
          <w:spacing w:val="-4"/>
          <w:sz w:val="28"/>
          <w:szCs w:val="28"/>
        </w:rPr>
        <w:footnoteReference w:id="7"/>
      </w:r>
      <w:r w:rsidR="004F65BB" w:rsidRPr="00810744">
        <w:rPr>
          <w:rFonts w:ascii="Times New Roman" w:eastAsia="Calibri" w:hAnsi="Times New Roman" w:cs="Times New Roman"/>
          <w:spacing w:val="-4"/>
          <w:sz w:val="28"/>
        </w:rPr>
        <w:t>;</w:t>
      </w:r>
      <w:r w:rsidR="00E44CA2" w:rsidRPr="00810744">
        <w:rPr>
          <w:rFonts w:ascii="Times New Roman" w:eastAsia="Calibri" w:hAnsi="Times New Roman" w:cs="Times New Roman"/>
          <w:spacing w:val="-4"/>
          <w:sz w:val="28"/>
        </w:rPr>
        <w:t xml:space="preserve"> </w:t>
      </w:r>
      <w:r w:rsidR="006712C7" w:rsidRPr="00810744">
        <w:rPr>
          <w:rFonts w:ascii="Times New Roman" w:eastAsia="Calibri" w:hAnsi="Times New Roman" w:cs="Times New Roman"/>
          <w:spacing w:val="-4"/>
          <w:sz w:val="28"/>
        </w:rPr>
        <w:t>с учетом установленных Проектом закона о</w:t>
      </w:r>
      <w:r w:rsidR="006712C7" w:rsidRPr="00352D19">
        <w:rPr>
          <w:rFonts w:ascii="Times New Roman" w:eastAsia="Calibri" w:hAnsi="Times New Roman" w:cs="Times New Roman"/>
          <w:spacing w:val="-4"/>
          <w:sz w:val="28"/>
        </w:rPr>
        <w:t xml:space="preserve"> </w:t>
      </w:r>
      <w:r w:rsidR="006712C7" w:rsidRPr="00352D19">
        <w:rPr>
          <w:rFonts w:ascii="Times New Roman" w:eastAsia="Calibri" w:hAnsi="Times New Roman" w:cs="Times New Roman"/>
          <w:spacing w:val="-4"/>
          <w:sz w:val="28"/>
        </w:rPr>
        <w:lastRenderedPageBreak/>
        <w:t xml:space="preserve">федеральном бюджете на 2022 год </w:t>
      </w:r>
      <w:r w:rsidR="00155290" w:rsidRPr="00352D19">
        <w:rPr>
          <w:rFonts w:ascii="Times New Roman" w:eastAsia="Calibri" w:hAnsi="Times New Roman" w:cs="Times New Roman"/>
          <w:spacing w:val="-4"/>
          <w:sz w:val="28"/>
        </w:rPr>
        <w:t>нормативов распределения в бюджет Тульской области</w:t>
      </w:r>
      <w:r w:rsidR="004E61C4" w:rsidRPr="00352D19">
        <w:rPr>
          <w:rFonts w:ascii="Times New Roman" w:eastAsia="Calibri" w:hAnsi="Times New Roman" w:cs="Times New Roman"/>
          <w:spacing w:val="-4"/>
          <w:sz w:val="28"/>
        </w:rPr>
        <w:t xml:space="preserve"> </w:t>
      </w:r>
      <w:r w:rsidR="00E44CA2" w:rsidRPr="00352D19">
        <w:rPr>
          <w:rFonts w:ascii="Times New Roman" w:eastAsia="Calibri" w:hAnsi="Times New Roman" w:cs="Times New Roman"/>
          <w:spacing w:val="-4"/>
          <w:sz w:val="28"/>
        </w:rPr>
        <w:t>для зачисления доходов от уплаты акцизов на алкогольную продукцию с объемной долей этилового спирта свыше 9%</w:t>
      </w:r>
      <w:r w:rsidR="007E0922" w:rsidRPr="00352D19">
        <w:rPr>
          <w:rStyle w:val="a5"/>
          <w:rFonts w:ascii="Times New Roman" w:eastAsia="Calibri" w:hAnsi="Times New Roman" w:cs="Times New Roman"/>
          <w:spacing w:val="-4"/>
          <w:sz w:val="28"/>
        </w:rPr>
        <w:footnoteReference w:id="8"/>
      </w:r>
      <w:r w:rsidR="00E44CA2" w:rsidRPr="00352D19">
        <w:rPr>
          <w:rFonts w:ascii="Times New Roman" w:eastAsia="Calibri" w:hAnsi="Times New Roman" w:cs="Times New Roman"/>
          <w:spacing w:val="-4"/>
          <w:sz w:val="28"/>
        </w:rPr>
        <w:t>, доходов от уплаты акцизов на этиловый спирт из пищевого сырья</w:t>
      </w:r>
      <w:r w:rsidR="00FF4D76" w:rsidRPr="00352D19">
        <w:rPr>
          <w:rFonts w:ascii="Times New Roman" w:eastAsia="Calibri" w:hAnsi="Times New Roman" w:cs="Times New Roman"/>
          <w:spacing w:val="-4"/>
          <w:sz w:val="28"/>
        </w:rPr>
        <w:t xml:space="preserve"> и</w:t>
      </w:r>
      <w:r w:rsidR="00E44CA2" w:rsidRPr="00352D19">
        <w:rPr>
          <w:rFonts w:ascii="Times New Roman" w:eastAsia="Calibri" w:hAnsi="Times New Roman" w:cs="Times New Roman"/>
          <w:spacing w:val="-4"/>
          <w:sz w:val="28"/>
        </w:rPr>
        <w:t xml:space="preserve"> спиртосодержащую продукцию, доходов от уплаты акцизов </w:t>
      </w:r>
      <w:r w:rsidR="00B47FA2" w:rsidRPr="00352D19">
        <w:rPr>
          <w:rFonts w:ascii="Times New Roman" w:eastAsia="Calibri" w:hAnsi="Times New Roman" w:cs="Times New Roman"/>
          <w:spacing w:val="-4"/>
          <w:sz w:val="28"/>
        </w:rPr>
        <w:t xml:space="preserve">на </w:t>
      </w:r>
      <w:r w:rsidR="00E44CA2" w:rsidRPr="00352D19">
        <w:rPr>
          <w:rFonts w:ascii="Times New Roman" w:eastAsia="Calibri" w:hAnsi="Times New Roman" w:cs="Times New Roman"/>
          <w:spacing w:val="-4"/>
          <w:sz w:val="28"/>
        </w:rPr>
        <w:t>нефтепродукты</w:t>
      </w:r>
      <w:r w:rsidR="006712C7" w:rsidRPr="00352D19">
        <w:rPr>
          <w:rFonts w:ascii="Times New Roman" w:eastAsia="Calibri" w:hAnsi="Times New Roman" w:cs="Times New Roman"/>
          <w:spacing w:val="-4"/>
          <w:sz w:val="28"/>
        </w:rPr>
        <w:t>,</w:t>
      </w:r>
      <w:r w:rsidR="00E44CA2" w:rsidRPr="00352D19">
        <w:rPr>
          <w:rFonts w:ascii="Times New Roman" w:eastAsia="Calibri" w:hAnsi="Times New Roman" w:cs="Times New Roman"/>
          <w:spacing w:val="-4"/>
          <w:sz w:val="28"/>
        </w:rPr>
        <w:t xml:space="preserve"> </w:t>
      </w:r>
      <w:r w:rsidR="007C4AFD" w:rsidRPr="00352D19">
        <w:rPr>
          <w:rFonts w:ascii="Times New Roman" w:eastAsia="Calibri" w:hAnsi="Times New Roman" w:cs="Times New Roman"/>
          <w:spacing w:val="-4"/>
          <w:sz w:val="28"/>
        </w:rPr>
        <w:t>дополнительны</w:t>
      </w:r>
      <w:r w:rsidR="006712C7" w:rsidRPr="00352D19">
        <w:rPr>
          <w:rFonts w:ascii="Times New Roman" w:eastAsia="Calibri" w:hAnsi="Times New Roman" w:cs="Times New Roman"/>
          <w:spacing w:val="-4"/>
          <w:sz w:val="28"/>
        </w:rPr>
        <w:t>х поступлений</w:t>
      </w:r>
      <w:r w:rsidR="007C4AFD" w:rsidRPr="00352D19">
        <w:rPr>
          <w:rFonts w:ascii="Times New Roman" w:eastAsia="Calibri" w:hAnsi="Times New Roman" w:cs="Times New Roman"/>
          <w:spacing w:val="-4"/>
          <w:sz w:val="28"/>
        </w:rPr>
        <w:t xml:space="preserve"> с 2023 года по налогу на прибыль организаций в связи с окончанием </w:t>
      </w:r>
      <w:r w:rsidR="00353FA4" w:rsidRPr="00352D19">
        <w:rPr>
          <w:rFonts w:ascii="Times New Roman" w:eastAsia="Calibri" w:hAnsi="Times New Roman" w:cs="Times New Roman"/>
          <w:spacing w:val="-4"/>
          <w:sz w:val="28"/>
        </w:rPr>
        <w:t>срока действия положений Закона Тульской области от 06.02.2010 №1390-ЗТО «О льготном налогообложении при осуществлении инвестиционной деятельности в форме капитальных вложений на территории Тульской области»</w:t>
      </w:r>
      <w:r w:rsidR="00353FA4" w:rsidRPr="00352D19">
        <w:rPr>
          <w:rStyle w:val="a5"/>
          <w:rFonts w:ascii="Times New Roman" w:eastAsia="Calibri" w:hAnsi="Times New Roman" w:cs="Times New Roman"/>
          <w:spacing w:val="-4"/>
          <w:sz w:val="28"/>
        </w:rPr>
        <w:footnoteReference w:id="9"/>
      </w:r>
      <w:r w:rsidR="006047BC" w:rsidRPr="00352D19">
        <w:rPr>
          <w:rFonts w:ascii="Times New Roman" w:eastAsia="Calibri" w:hAnsi="Times New Roman" w:cs="Times New Roman"/>
          <w:spacing w:val="-4"/>
          <w:sz w:val="28"/>
        </w:rPr>
        <w:t xml:space="preserve">, </w:t>
      </w:r>
      <w:r w:rsidR="009C6CEA" w:rsidRPr="00352D19">
        <w:rPr>
          <w:rFonts w:ascii="Times New Roman" w:eastAsia="Calibri" w:hAnsi="Times New Roman" w:cs="Times New Roman"/>
          <w:spacing w:val="-4"/>
          <w:sz w:val="28"/>
        </w:rPr>
        <w:t xml:space="preserve">а также с учетом </w:t>
      </w:r>
      <w:r w:rsidRPr="00352D19">
        <w:rPr>
          <w:rFonts w:ascii="Times New Roman" w:hAnsi="Times New Roman" w:cs="Times New Roman"/>
          <w:spacing w:val="-4"/>
          <w:sz w:val="28"/>
          <w:szCs w:val="28"/>
        </w:rPr>
        <w:t>сведений главных администраторов доходов</w:t>
      </w:r>
      <w:r w:rsidRPr="00352D19">
        <w:rPr>
          <w:rStyle w:val="a5"/>
          <w:rFonts w:ascii="Times New Roman" w:hAnsi="Times New Roman" w:cs="Times New Roman"/>
          <w:spacing w:val="-4"/>
          <w:sz w:val="28"/>
          <w:szCs w:val="28"/>
        </w:rPr>
        <w:footnoteReference w:id="10"/>
      </w:r>
      <w:r w:rsidRPr="00352D19">
        <w:rPr>
          <w:rFonts w:ascii="Times New Roman" w:hAnsi="Times New Roman" w:cs="Times New Roman"/>
          <w:spacing w:val="-4"/>
          <w:sz w:val="28"/>
          <w:szCs w:val="28"/>
        </w:rPr>
        <w:t>.</w:t>
      </w:r>
    </w:p>
    <w:p w14:paraId="1D3DCE9A" w14:textId="1EFD8AFE" w:rsidR="0068135F" w:rsidRPr="00352D19" w:rsidRDefault="0068135F" w:rsidP="00352D19">
      <w:pPr>
        <w:spacing w:before="40" w:after="0" w:line="240" w:lineRule="auto"/>
        <w:ind w:firstLine="709"/>
        <w:jc w:val="both"/>
        <w:rPr>
          <w:rFonts w:ascii="Times New Roman" w:eastAsia="Calibri" w:hAnsi="Times New Roman" w:cs="Times New Roman"/>
          <w:spacing w:val="-4"/>
          <w:sz w:val="28"/>
        </w:rPr>
      </w:pPr>
      <w:r w:rsidRPr="00352D19">
        <w:rPr>
          <w:rFonts w:ascii="Times New Roman" w:eastAsia="Calibri" w:hAnsi="Times New Roman" w:cs="Times New Roman"/>
          <w:spacing w:val="-4"/>
          <w:sz w:val="28"/>
        </w:rPr>
        <w:t>Объемы доходов бюджета области в разрезе налоговых и неналоговых доходов</w:t>
      </w:r>
      <w:r w:rsidR="007E0C01" w:rsidRPr="00352D19">
        <w:rPr>
          <w:rFonts w:ascii="Times New Roman" w:eastAsia="Calibri" w:hAnsi="Times New Roman" w:cs="Times New Roman"/>
          <w:spacing w:val="-4"/>
          <w:sz w:val="28"/>
        </w:rPr>
        <w:t>,</w:t>
      </w:r>
      <w:r w:rsidRPr="00352D19">
        <w:rPr>
          <w:rFonts w:ascii="Times New Roman" w:eastAsia="Calibri" w:hAnsi="Times New Roman" w:cs="Times New Roman"/>
          <w:spacing w:val="-4"/>
          <w:sz w:val="28"/>
        </w:rPr>
        <w:t xml:space="preserve"> безвозмездных поступлений</w:t>
      </w:r>
      <w:r w:rsidR="0044693F" w:rsidRPr="00352D19">
        <w:rPr>
          <w:rFonts w:ascii="Times New Roman" w:eastAsia="Calibri" w:hAnsi="Times New Roman" w:cs="Times New Roman"/>
          <w:spacing w:val="-4"/>
          <w:sz w:val="28"/>
        </w:rPr>
        <w:t xml:space="preserve"> и их доли в объеме доходов</w:t>
      </w:r>
      <w:r w:rsidRPr="00352D19">
        <w:rPr>
          <w:rFonts w:ascii="Times New Roman" w:eastAsia="Calibri" w:hAnsi="Times New Roman" w:cs="Times New Roman"/>
          <w:spacing w:val="-4"/>
          <w:sz w:val="28"/>
        </w:rPr>
        <w:t xml:space="preserve"> в динамике по годам проиллюстрированы следующей диаграммой</w:t>
      </w:r>
      <w:r w:rsidR="00FF420E" w:rsidRPr="00352D19">
        <w:rPr>
          <w:rFonts w:ascii="Times New Roman" w:eastAsia="Calibri" w:hAnsi="Times New Roman" w:cs="Times New Roman"/>
          <w:spacing w:val="-4"/>
          <w:sz w:val="28"/>
        </w:rPr>
        <w:t xml:space="preserve"> (млн. рублей)</w:t>
      </w:r>
      <w:r w:rsidRPr="00352D19">
        <w:rPr>
          <w:rFonts w:ascii="Times New Roman" w:eastAsia="Calibri" w:hAnsi="Times New Roman" w:cs="Times New Roman"/>
          <w:spacing w:val="-4"/>
          <w:sz w:val="28"/>
        </w:rPr>
        <w:t>.</w:t>
      </w:r>
    </w:p>
    <w:p w14:paraId="2119B101" w14:textId="5D22DE0A" w:rsidR="00A811F7" w:rsidRDefault="00A811F7" w:rsidP="00A811F7">
      <w:pPr>
        <w:spacing w:before="120" w:after="0" w:line="240" w:lineRule="auto"/>
        <w:jc w:val="both"/>
        <w:rPr>
          <w:rFonts w:ascii="Times New Roman" w:eastAsia="Calibri" w:hAnsi="Times New Roman" w:cs="Times New Roman"/>
          <w:spacing w:val="-4"/>
          <w:sz w:val="28"/>
        </w:rPr>
      </w:pPr>
      <w:r w:rsidRPr="0075530F">
        <w:rPr>
          <w:noProof/>
          <w:color w:val="FF0000"/>
          <w:lang w:eastAsia="ru-RU"/>
        </w:rPr>
        <w:drawing>
          <wp:inline distT="0" distB="0" distL="0" distR="0" wp14:anchorId="1DAD1700" wp14:editId="2E7AE6BC">
            <wp:extent cx="5940425" cy="3333750"/>
            <wp:effectExtent l="57150" t="57150" r="41275" b="381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2BA0C1" w14:textId="0DE89519" w:rsidR="00A14707" w:rsidRPr="0075530F" w:rsidRDefault="00A14707" w:rsidP="005362D6">
      <w:pPr>
        <w:spacing w:before="120" w:after="0" w:line="240" w:lineRule="auto"/>
        <w:jc w:val="both"/>
        <w:rPr>
          <w:rFonts w:ascii="Times New Roman" w:eastAsia="Calibri" w:hAnsi="Times New Roman" w:cs="Times New Roman"/>
          <w:sz w:val="8"/>
          <w:szCs w:val="8"/>
        </w:rPr>
      </w:pPr>
    </w:p>
    <w:p w14:paraId="55315D44" w14:textId="1ED266F0" w:rsidR="00627CC6" w:rsidRPr="00627CC6" w:rsidRDefault="00627CC6" w:rsidP="00352D19">
      <w:pPr>
        <w:spacing w:after="0" w:line="240" w:lineRule="auto"/>
        <w:ind w:firstLine="709"/>
        <w:jc w:val="both"/>
        <w:rPr>
          <w:rFonts w:ascii="Times New Roman" w:eastAsia="Calibri" w:hAnsi="Times New Roman" w:cs="Times New Roman"/>
          <w:spacing w:val="-4"/>
          <w:sz w:val="28"/>
          <w:szCs w:val="28"/>
        </w:rPr>
      </w:pPr>
      <w:r w:rsidRPr="00627CC6">
        <w:rPr>
          <w:rFonts w:ascii="Times New Roman" w:eastAsia="Calibri" w:hAnsi="Times New Roman" w:cs="Times New Roman"/>
          <w:spacing w:val="-4"/>
          <w:sz w:val="28"/>
          <w:szCs w:val="28"/>
        </w:rPr>
        <w:lastRenderedPageBreak/>
        <w:t>Темпы роста (снижения) объемов доходов по группам (подгруппам) доходов представлены в таблице.</w:t>
      </w:r>
    </w:p>
    <w:tbl>
      <w:tblPr>
        <w:tblStyle w:val="af2"/>
        <w:tblW w:w="5032" w:type="pct"/>
        <w:jc w:val="center"/>
        <w:tblLook w:val="04A0" w:firstRow="1" w:lastRow="0" w:firstColumn="1" w:lastColumn="0" w:noHBand="0" w:noVBand="1"/>
      </w:tblPr>
      <w:tblGrid>
        <w:gridCol w:w="2707"/>
        <w:gridCol w:w="1996"/>
        <w:gridCol w:w="1140"/>
        <w:gridCol w:w="1284"/>
        <w:gridCol w:w="1140"/>
        <w:gridCol w:w="1138"/>
      </w:tblGrid>
      <w:tr w:rsidR="00B66C2B" w:rsidRPr="00627CC6" w14:paraId="4F795B39" w14:textId="77777777" w:rsidTr="00352D19">
        <w:trPr>
          <w:trHeight w:val="258"/>
          <w:jc w:val="center"/>
        </w:trPr>
        <w:tc>
          <w:tcPr>
            <w:tcW w:w="2706" w:type="dxa"/>
            <w:vMerge w:val="restart"/>
            <w:shd w:val="clear" w:color="auto" w:fill="F2F2F2" w:themeFill="background1" w:themeFillShade="F2"/>
          </w:tcPr>
          <w:p w14:paraId="654C0F00" w14:textId="189EE6A0" w:rsidR="00B66C2B" w:rsidRPr="00627CC6" w:rsidRDefault="00B66C2B" w:rsidP="00F311BA">
            <w:pPr>
              <w:jc w:val="center"/>
              <w:rPr>
                <w:rFonts w:eastAsia="Calibri"/>
                <w:spacing w:val="-4"/>
              </w:rPr>
            </w:pPr>
            <w:r>
              <w:rPr>
                <w:rFonts w:eastAsia="Calibri"/>
                <w:spacing w:val="-4"/>
              </w:rPr>
              <w:t>Наименование групп (подгрупп) доходов</w:t>
            </w:r>
          </w:p>
        </w:tc>
        <w:tc>
          <w:tcPr>
            <w:tcW w:w="6698" w:type="dxa"/>
            <w:gridSpan w:val="5"/>
            <w:shd w:val="clear" w:color="auto" w:fill="F2F2F2" w:themeFill="background1" w:themeFillShade="F2"/>
            <w:vAlign w:val="center"/>
          </w:tcPr>
          <w:p w14:paraId="0FEB1C9E" w14:textId="3E517515" w:rsidR="00B66C2B" w:rsidRPr="00627CC6" w:rsidRDefault="00B66C2B" w:rsidP="00740F41">
            <w:pPr>
              <w:jc w:val="center"/>
              <w:rPr>
                <w:rFonts w:eastAsia="Calibri"/>
                <w:spacing w:val="-4"/>
              </w:rPr>
            </w:pPr>
            <w:r>
              <w:rPr>
                <w:rFonts w:eastAsia="Calibri"/>
                <w:spacing w:val="-4"/>
              </w:rPr>
              <w:t>Темпы роста (снижения) доходов к предыдущему году, %</w:t>
            </w:r>
          </w:p>
        </w:tc>
      </w:tr>
      <w:tr w:rsidR="00B66C2B" w:rsidRPr="00627CC6" w14:paraId="27FB90F2" w14:textId="77777777" w:rsidTr="00352D19">
        <w:trPr>
          <w:trHeight w:val="274"/>
          <w:jc w:val="center"/>
        </w:trPr>
        <w:tc>
          <w:tcPr>
            <w:tcW w:w="2706" w:type="dxa"/>
            <w:vMerge/>
            <w:shd w:val="clear" w:color="auto" w:fill="F2F2F2" w:themeFill="background1" w:themeFillShade="F2"/>
          </w:tcPr>
          <w:p w14:paraId="3115F5CF" w14:textId="77777777" w:rsidR="00B66C2B" w:rsidRDefault="00B66C2B" w:rsidP="00927F52">
            <w:pPr>
              <w:jc w:val="both"/>
              <w:rPr>
                <w:rFonts w:eastAsia="Calibri"/>
                <w:spacing w:val="-4"/>
              </w:rPr>
            </w:pPr>
          </w:p>
        </w:tc>
        <w:tc>
          <w:tcPr>
            <w:tcW w:w="1996" w:type="dxa"/>
            <w:shd w:val="clear" w:color="auto" w:fill="F2F2F2" w:themeFill="background1" w:themeFillShade="F2"/>
            <w:vAlign w:val="center"/>
          </w:tcPr>
          <w:p w14:paraId="3283E3C9" w14:textId="5BD1C4E7" w:rsidR="00B66C2B" w:rsidRPr="00627CC6" w:rsidRDefault="00B66C2B" w:rsidP="00F311BA">
            <w:pPr>
              <w:jc w:val="center"/>
              <w:rPr>
                <w:rFonts w:eastAsia="Calibri"/>
                <w:spacing w:val="-4"/>
              </w:rPr>
            </w:pPr>
            <w:r>
              <w:rPr>
                <w:rFonts w:eastAsia="Calibri"/>
                <w:spacing w:val="-4"/>
              </w:rPr>
              <w:t>2020 год</w:t>
            </w:r>
          </w:p>
        </w:tc>
        <w:tc>
          <w:tcPr>
            <w:tcW w:w="1140" w:type="dxa"/>
            <w:shd w:val="clear" w:color="auto" w:fill="F2F2F2" w:themeFill="background1" w:themeFillShade="F2"/>
            <w:vAlign w:val="center"/>
          </w:tcPr>
          <w:p w14:paraId="08C66AD8" w14:textId="49B5A3CD" w:rsidR="00B66C2B" w:rsidRPr="00627CC6" w:rsidRDefault="00B66C2B" w:rsidP="00F311BA">
            <w:pPr>
              <w:jc w:val="center"/>
              <w:rPr>
                <w:rFonts w:eastAsia="Calibri"/>
                <w:spacing w:val="-4"/>
              </w:rPr>
            </w:pPr>
            <w:r>
              <w:rPr>
                <w:rFonts w:eastAsia="Calibri"/>
                <w:spacing w:val="-4"/>
              </w:rPr>
              <w:t>2021 год</w:t>
            </w:r>
          </w:p>
        </w:tc>
        <w:tc>
          <w:tcPr>
            <w:tcW w:w="1284" w:type="dxa"/>
            <w:shd w:val="clear" w:color="auto" w:fill="F2F2F2" w:themeFill="background1" w:themeFillShade="F2"/>
            <w:vAlign w:val="center"/>
          </w:tcPr>
          <w:p w14:paraId="3EFD8542" w14:textId="5859D779" w:rsidR="00B66C2B" w:rsidRPr="00627CC6" w:rsidRDefault="00B66C2B" w:rsidP="00F311BA">
            <w:pPr>
              <w:jc w:val="center"/>
              <w:rPr>
                <w:rFonts w:eastAsia="Calibri"/>
                <w:spacing w:val="-4"/>
              </w:rPr>
            </w:pPr>
            <w:r>
              <w:rPr>
                <w:rFonts w:eastAsia="Calibri"/>
                <w:spacing w:val="-4"/>
              </w:rPr>
              <w:t>2022 год</w:t>
            </w:r>
          </w:p>
        </w:tc>
        <w:tc>
          <w:tcPr>
            <w:tcW w:w="1140" w:type="dxa"/>
            <w:shd w:val="clear" w:color="auto" w:fill="F2F2F2" w:themeFill="background1" w:themeFillShade="F2"/>
            <w:vAlign w:val="center"/>
          </w:tcPr>
          <w:p w14:paraId="1EEE15F0" w14:textId="09AC1B4C" w:rsidR="00B66C2B" w:rsidRPr="00627CC6" w:rsidRDefault="00B66C2B" w:rsidP="00F311BA">
            <w:pPr>
              <w:jc w:val="center"/>
              <w:rPr>
                <w:rFonts w:eastAsia="Calibri"/>
                <w:spacing w:val="-4"/>
              </w:rPr>
            </w:pPr>
            <w:r>
              <w:rPr>
                <w:rFonts w:eastAsia="Calibri"/>
                <w:spacing w:val="-4"/>
              </w:rPr>
              <w:t>2023 год</w:t>
            </w:r>
          </w:p>
        </w:tc>
        <w:tc>
          <w:tcPr>
            <w:tcW w:w="1136" w:type="dxa"/>
            <w:shd w:val="clear" w:color="auto" w:fill="F2F2F2" w:themeFill="background1" w:themeFillShade="F2"/>
            <w:vAlign w:val="center"/>
          </w:tcPr>
          <w:p w14:paraId="2ECC4D50" w14:textId="2A9FDA06" w:rsidR="00B66C2B" w:rsidRPr="00627CC6" w:rsidRDefault="00B66C2B" w:rsidP="00F311BA">
            <w:pPr>
              <w:jc w:val="center"/>
              <w:rPr>
                <w:rFonts w:eastAsia="Calibri"/>
                <w:spacing w:val="-4"/>
              </w:rPr>
            </w:pPr>
            <w:r>
              <w:rPr>
                <w:rFonts w:eastAsia="Calibri"/>
                <w:spacing w:val="-4"/>
              </w:rPr>
              <w:t>2024 год</w:t>
            </w:r>
          </w:p>
        </w:tc>
      </w:tr>
      <w:tr w:rsidR="00B66C2B" w:rsidRPr="00627CC6" w14:paraId="4F019068" w14:textId="77777777" w:rsidTr="00352D19">
        <w:trPr>
          <w:trHeight w:val="258"/>
          <w:jc w:val="center"/>
        </w:trPr>
        <w:tc>
          <w:tcPr>
            <w:tcW w:w="2706" w:type="dxa"/>
          </w:tcPr>
          <w:p w14:paraId="7DAD6F1F" w14:textId="659CDF60" w:rsidR="00B66C2B" w:rsidRPr="00627CC6" w:rsidRDefault="00740F41" w:rsidP="00927F52">
            <w:pPr>
              <w:jc w:val="both"/>
              <w:rPr>
                <w:rFonts w:eastAsia="Calibri"/>
                <w:spacing w:val="-4"/>
              </w:rPr>
            </w:pPr>
            <w:r>
              <w:rPr>
                <w:rFonts w:eastAsia="Calibri"/>
                <w:spacing w:val="-4"/>
              </w:rPr>
              <w:t>Налоговые доходы</w:t>
            </w:r>
          </w:p>
        </w:tc>
        <w:tc>
          <w:tcPr>
            <w:tcW w:w="1996" w:type="dxa"/>
            <w:vAlign w:val="bottom"/>
          </w:tcPr>
          <w:p w14:paraId="018CFB2A" w14:textId="2E8680CB" w:rsidR="00B66C2B" w:rsidRPr="00627CC6" w:rsidRDefault="00740F41" w:rsidP="00F311BA">
            <w:pPr>
              <w:jc w:val="center"/>
              <w:rPr>
                <w:rFonts w:eastAsia="Calibri"/>
                <w:spacing w:val="-4"/>
              </w:rPr>
            </w:pPr>
            <w:r>
              <w:rPr>
                <w:rFonts w:eastAsia="Calibri"/>
                <w:spacing w:val="-4"/>
              </w:rPr>
              <w:t>-1,5</w:t>
            </w:r>
          </w:p>
        </w:tc>
        <w:tc>
          <w:tcPr>
            <w:tcW w:w="1140" w:type="dxa"/>
            <w:vAlign w:val="bottom"/>
          </w:tcPr>
          <w:p w14:paraId="188C3A53" w14:textId="7907CA9A" w:rsidR="00B66C2B" w:rsidRPr="00627CC6" w:rsidRDefault="00740F41" w:rsidP="00F311BA">
            <w:pPr>
              <w:jc w:val="center"/>
              <w:rPr>
                <w:rFonts w:eastAsia="Calibri"/>
                <w:spacing w:val="-4"/>
              </w:rPr>
            </w:pPr>
            <w:r>
              <w:rPr>
                <w:rFonts w:eastAsia="Calibri"/>
                <w:spacing w:val="-4"/>
              </w:rPr>
              <w:t>+15</w:t>
            </w:r>
          </w:p>
        </w:tc>
        <w:tc>
          <w:tcPr>
            <w:tcW w:w="1284" w:type="dxa"/>
            <w:vAlign w:val="bottom"/>
          </w:tcPr>
          <w:p w14:paraId="56A6413E" w14:textId="3AF47480" w:rsidR="00B66C2B" w:rsidRPr="00627CC6" w:rsidRDefault="00740F41" w:rsidP="00F311BA">
            <w:pPr>
              <w:jc w:val="center"/>
              <w:rPr>
                <w:rFonts w:eastAsia="Calibri"/>
                <w:spacing w:val="-4"/>
              </w:rPr>
            </w:pPr>
            <w:r>
              <w:rPr>
                <w:rFonts w:eastAsia="Calibri"/>
                <w:spacing w:val="-4"/>
              </w:rPr>
              <w:t>+7,1</w:t>
            </w:r>
          </w:p>
        </w:tc>
        <w:tc>
          <w:tcPr>
            <w:tcW w:w="1140" w:type="dxa"/>
            <w:vAlign w:val="bottom"/>
          </w:tcPr>
          <w:p w14:paraId="4321CA9E" w14:textId="4F262465" w:rsidR="00B66C2B" w:rsidRPr="00627CC6" w:rsidRDefault="00740F41" w:rsidP="00F311BA">
            <w:pPr>
              <w:jc w:val="center"/>
              <w:rPr>
                <w:rFonts w:eastAsia="Calibri"/>
                <w:spacing w:val="-4"/>
              </w:rPr>
            </w:pPr>
            <w:r>
              <w:rPr>
                <w:rFonts w:eastAsia="Calibri"/>
                <w:spacing w:val="-4"/>
              </w:rPr>
              <w:t>+6,4</w:t>
            </w:r>
          </w:p>
        </w:tc>
        <w:tc>
          <w:tcPr>
            <w:tcW w:w="1136" w:type="dxa"/>
            <w:vAlign w:val="bottom"/>
          </w:tcPr>
          <w:p w14:paraId="0266DE87" w14:textId="054F24FD" w:rsidR="00B66C2B" w:rsidRPr="00627CC6" w:rsidRDefault="00740F41" w:rsidP="00F311BA">
            <w:pPr>
              <w:jc w:val="center"/>
              <w:rPr>
                <w:rFonts w:eastAsia="Calibri"/>
                <w:spacing w:val="-4"/>
              </w:rPr>
            </w:pPr>
            <w:r>
              <w:rPr>
                <w:rFonts w:eastAsia="Calibri"/>
                <w:spacing w:val="-4"/>
              </w:rPr>
              <w:t>+6,3</w:t>
            </w:r>
          </w:p>
        </w:tc>
      </w:tr>
      <w:tr w:rsidR="00B66C2B" w:rsidRPr="00627CC6" w14:paraId="44524C05" w14:textId="77777777" w:rsidTr="00352D19">
        <w:trPr>
          <w:trHeight w:val="258"/>
          <w:jc w:val="center"/>
        </w:trPr>
        <w:tc>
          <w:tcPr>
            <w:tcW w:w="2706" w:type="dxa"/>
          </w:tcPr>
          <w:p w14:paraId="0A0DBBCD" w14:textId="4B2446F4" w:rsidR="00B66C2B" w:rsidRPr="00627CC6" w:rsidRDefault="00740F41" w:rsidP="00927F52">
            <w:pPr>
              <w:jc w:val="both"/>
              <w:rPr>
                <w:rFonts w:eastAsia="Calibri"/>
                <w:spacing w:val="-4"/>
              </w:rPr>
            </w:pPr>
            <w:r>
              <w:rPr>
                <w:rFonts w:eastAsia="Calibri"/>
                <w:spacing w:val="-4"/>
              </w:rPr>
              <w:t>Неналоговые доходы</w:t>
            </w:r>
          </w:p>
        </w:tc>
        <w:tc>
          <w:tcPr>
            <w:tcW w:w="1996" w:type="dxa"/>
            <w:vAlign w:val="bottom"/>
          </w:tcPr>
          <w:p w14:paraId="4BEA6F07" w14:textId="14097996" w:rsidR="00B66C2B" w:rsidRPr="00627CC6" w:rsidRDefault="00740F41" w:rsidP="00F311BA">
            <w:pPr>
              <w:jc w:val="center"/>
              <w:rPr>
                <w:rFonts w:eastAsia="Calibri"/>
                <w:spacing w:val="-4"/>
              </w:rPr>
            </w:pPr>
            <w:r>
              <w:rPr>
                <w:rFonts w:eastAsia="Calibri"/>
                <w:spacing w:val="-4"/>
              </w:rPr>
              <w:t>+68,9</w:t>
            </w:r>
          </w:p>
        </w:tc>
        <w:tc>
          <w:tcPr>
            <w:tcW w:w="1140" w:type="dxa"/>
            <w:vAlign w:val="bottom"/>
          </w:tcPr>
          <w:p w14:paraId="7BB24B49" w14:textId="4A8A38C6" w:rsidR="00B66C2B" w:rsidRPr="009A040C" w:rsidRDefault="00740F41" w:rsidP="00F311BA">
            <w:pPr>
              <w:jc w:val="center"/>
              <w:rPr>
                <w:rFonts w:eastAsia="Calibri"/>
                <w:spacing w:val="-4"/>
              </w:rPr>
            </w:pPr>
            <w:r w:rsidRPr="009A040C">
              <w:rPr>
                <w:rFonts w:eastAsia="Calibri"/>
                <w:spacing w:val="-4"/>
              </w:rPr>
              <w:t>+53,1</w:t>
            </w:r>
          </w:p>
        </w:tc>
        <w:tc>
          <w:tcPr>
            <w:tcW w:w="1284" w:type="dxa"/>
            <w:vAlign w:val="bottom"/>
          </w:tcPr>
          <w:p w14:paraId="01FF375E" w14:textId="42594142" w:rsidR="00B66C2B" w:rsidRPr="009A040C" w:rsidRDefault="00740F41" w:rsidP="00CC6C21">
            <w:pPr>
              <w:jc w:val="center"/>
              <w:rPr>
                <w:rFonts w:eastAsia="Calibri"/>
                <w:spacing w:val="-4"/>
              </w:rPr>
            </w:pPr>
            <w:r w:rsidRPr="009A040C">
              <w:rPr>
                <w:rFonts w:eastAsia="Calibri"/>
                <w:spacing w:val="-4"/>
              </w:rPr>
              <w:t>-42,</w:t>
            </w:r>
            <w:r w:rsidR="00CC6C21" w:rsidRPr="009A040C">
              <w:rPr>
                <w:rFonts w:eastAsia="Calibri"/>
                <w:spacing w:val="-4"/>
              </w:rPr>
              <w:t>5</w:t>
            </w:r>
          </w:p>
        </w:tc>
        <w:tc>
          <w:tcPr>
            <w:tcW w:w="1140" w:type="dxa"/>
            <w:vAlign w:val="bottom"/>
          </w:tcPr>
          <w:p w14:paraId="36FBD0C3" w14:textId="212D77C7" w:rsidR="00B66C2B" w:rsidRPr="00627CC6" w:rsidRDefault="00740F41" w:rsidP="00F311BA">
            <w:pPr>
              <w:jc w:val="center"/>
              <w:rPr>
                <w:rFonts w:eastAsia="Calibri"/>
                <w:spacing w:val="-4"/>
              </w:rPr>
            </w:pPr>
            <w:r>
              <w:rPr>
                <w:rFonts w:eastAsia="Calibri"/>
                <w:spacing w:val="-4"/>
              </w:rPr>
              <w:t>-4,5</w:t>
            </w:r>
          </w:p>
        </w:tc>
        <w:tc>
          <w:tcPr>
            <w:tcW w:w="1136" w:type="dxa"/>
            <w:vAlign w:val="bottom"/>
          </w:tcPr>
          <w:p w14:paraId="7584AAD8" w14:textId="6858D572" w:rsidR="00B66C2B" w:rsidRPr="00627CC6" w:rsidRDefault="00740F41" w:rsidP="00F311BA">
            <w:pPr>
              <w:jc w:val="center"/>
              <w:rPr>
                <w:rFonts w:eastAsia="Calibri"/>
                <w:spacing w:val="-4"/>
              </w:rPr>
            </w:pPr>
            <w:r>
              <w:rPr>
                <w:rFonts w:eastAsia="Calibri"/>
                <w:spacing w:val="-4"/>
              </w:rPr>
              <w:t>+1,2</w:t>
            </w:r>
          </w:p>
        </w:tc>
      </w:tr>
      <w:tr w:rsidR="00B66C2B" w:rsidRPr="00627CC6" w14:paraId="1D01C259" w14:textId="77777777" w:rsidTr="00352D19">
        <w:trPr>
          <w:trHeight w:val="258"/>
          <w:jc w:val="center"/>
        </w:trPr>
        <w:tc>
          <w:tcPr>
            <w:tcW w:w="2706" w:type="dxa"/>
          </w:tcPr>
          <w:p w14:paraId="243B3B5A" w14:textId="49C2E2F8" w:rsidR="00B66C2B" w:rsidRPr="00627CC6" w:rsidRDefault="00740F41" w:rsidP="00927F52">
            <w:pPr>
              <w:jc w:val="both"/>
              <w:rPr>
                <w:rFonts w:eastAsia="Calibri"/>
                <w:spacing w:val="-4"/>
              </w:rPr>
            </w:pPr>
            <w:r>
              <w:rPr>
                <w:rFonts w:eastAsia="Calibri"/>
                <w:spacing w:val="-4"/>
              </w:rPr>
              <w:t>Безвозмездные поступления</w:t>
            </w:r>
          </w:p>
        </w:tc>
        <w:tc>
          <w:tcPr>
            <w:tcW w:w="1996" w:type="dxa"/>
            <w:vAlign w:val="bottom"/>
          </w:tcPr>
          <w:p w14:paraId="0F60B5E1" w14:textId="484ABFC6" w:rsidR="00B66C2B" w:rsidRPr="00627CC6" w:rsidRDefault="00740F41" w:rsidP="00F311BA">
            <w:pPr>
              <w:jc w:val="center"/>
              <w:rPr>
                <w:rFonts w:eastAsia="Calibri"/>
                <w:spacing w:val="-4"/>
              </w:rPr>
            </w:pPr>
            <w:r>
              <w:rPr>
                <w:rFonts w:eastAsia="Calibri"/>
                <w:spacing w:val="-4"/>
              </w:rPr>
              <w:t>+72,5</w:t>
            </w:r>
          </w:p>
        </w:tc>
        <w:tc>
          <w:tcPr>
            <w:tcW w:w="1140" w:type="dxa"/>
            <w:vAlign w:val="bottom"/>
          </w:tcPr>
          <w:p w14:paraId="0C2E2579" w14:textId="05F1CFEF" w:rsidR="00B66C2B" w:rsidRPr="00627CC6" w:rsidRDefault="00E23C33" w:rsidP="00F311BA">
            <w:pPr>
              <w:jc w:val="center"/>
              <w:rPr>
                <w:rFonts w:eastAsia="Calibri"/>
                <w:spacing w:val="-4"/>
              </w:rPr>
            </w:pPr>
            <w:r>
              <w:rPr>
                <w:rFonts w:eastAsia="Calibri"/>
                <w:spacing w:val="-4"/>
              </w:rPr>
              <w:t>+</w:t>
            </w:r>
            <w:r w:rsidR="00740F41">
              <w:rPr>
                <w:rFonts w:eastAsia="Calibri"/>
                <w:spacing w:val="-4"/>
              </w:rPr>
              <w:t>7,4</w:t>
            </w:r>
          </w:p>
        </w:tc>
        <w:tc>
          <w:tcPr>
            <w:tcW w:w="1284" w:type="dxa"/>
            <w:vAlign w:val="bottom"/>
          </w:tcPr>
          <w:p w14:paraId="6160574A" w14:textId="3A1C559D" w:rsidR="00B66C2B" w:rsidRPr="00627CC6" w:rsidRDefault="00740F41" w:rsidP="00F311BA">
            <w:pPr>
              <w:jc w:val="center"/>
              <w:rPr>
                <w:rFonts w:eastAsia="Calibri"/>
                <w:spacing w:val="-4"/>
              </w:rPr>
            </w:pPr>
            <w:r>
              <w:rPr>
                <w:rFonts w:eastAsia="Calibri"/>
                <w:spacing w:val="-4"/>
              </w:rPr>
              <w:t>-54,5</w:t>
            </w:r>
          </w:p>
        </w:tc>
        <w:tc>
          <w:tcPr>
            <w:tcW w:w="1140" w:type="dxa"/>
            <w:vAlign w:val="bottom"/>
          </w:tcPr>
          <w:p w14:paraId="4801A4E6" w14:textId="6C0D318A" w:rsidR="00B66C2B" w:rsidRPr="00627CC6" w:rsidRDefault="00740F41" w:rsidP="00F311BA">
            <w:pPr>
              <w:jc w:val="center"/>
              <w:rPr>
                <w:rFonts w:eastAsia="Calibri"/>
                <w:spacing w:val="-4"/>
              </w:rPr>
            </w:pPr>
            <w:r>
              <w:rPr>
                <w:rFonts w:eastAsia="Calibri"/>
                <w:spacing w:val="-4"/>
              </w:rPr>
              <w:t>-10,4</w:t>
            </w:r>
          </w:p>
        </w:tc>
        <w:tc>
          <w:tcPr>
            <w:tcW w:w="1136" w:type="dxa"/>
            <w:vAlign w:val="bottom"/>
          </w:tcPr>
          <w:p w14:paraId="021FDE6E" w14:textId="51325C3D" w:rsidR="00B66C2B" w:rsidRPr="00627CC6" w:rsidRDefault="00740F41" w:rsidP="00F311BA">
            <w:pPr>
              <w:jc w:val="center"/>
              <w:rPr>
                <w:rFonts w:eastAsia="Calibri"/>
                <w:spacing w:val="-4"/>
              </w:rPr>
            </w:pPr>
            <w:r>
              <w:rPr>
                <w:rFonts w:eastAsia="Calibri"/>
                <w:spacing w:val="-4"/>
              </w:rPr>
              <w:t>-5,9</w:t>
            </w:r>
          </w:p>
        </w:tc>
      </w:tr>
    </w:tbl>
    <w:p w14:paraId="2EB66B60" w14:textId="77777777" w:rsidR="008C560D" w:rsidRPr="00352D19" w:rsidRDefault="008D0546" w:rsidP="00F506F9">
      <w:pPr>
        <w:spacing w:before="120" w:after="0" w:line="240" w:lineRule="auto"/>
        <w:ind w:firstLine="709"/>
        <w:jc w:val="both"/>
        <w:rPr>
          <w:rFonts w:ascii="Times New Roman" w:eastAsia="Calibri" w:hAnsi="Times New Roman" w:cs="Times New Roman"/>
          <w:spacing w:val="-4"/>
          <w:sz w:val="28"/>
          <w:szCs w:val="28"/>
        </w:rPr>
      </w:pPr>
      <w:r w:rsidRPr="00352D19">
        <w:rPr>
          <w:rFonts w:ascii="Times New Roman" w:eastAsia="Times New Roman" w:hAnsi="Times New Roman" w:cs="Times New Roman"/>
          <w:spacing w:val="-4"/>
          <w:sz w:val="28"/>
          <w:szCs w:val="28"/>
          <w:lang w:eastAsia="ru-RU"/>
        </w:rPr>
        <w:t>Структура прогнозируемых доходов бюджета в среднесрочном периоде принципиально не изменится, основную часть доходов формируют налоговые поступления, д</w:t>
      </w:r>
      <w:r w:rsidRPr="00352D19">
        <w:rPr>
          <w:rFonts w:ascii="Times New Roman" w:eastAsia="Calibri" w:hAnsi="Times New Roman" w:cs="Times New Roman"/>
          <w:spacing w:val="-4"/>
          <w:sz w:val="28"/>
          <w:szCs w:val="28"/>
        </w:rPr>
        <w:t xml:space="preserve">оля которых варьируется от 83,3% в 2022 году до 85,5% и 86,8% соответственно в 2023 и 2024 годах. </w:t>
      </w:r>
    </w:p>
    <w:p w14:paraId="17E000FD" w14:textId="27420C95" w:rsidR="008D0546" w:rsidRPr="00352D19" w:rsidRDefault="008D0546" w:rsidP="008D0546">
      <w:pPr>
        <w:spacing w:after="0" w:line="240" w:lineRule="auto"/>
        <w:ind w:firstLine="709"/>
        <w:jc w:val="both"/>
        <w:rPr>
          <w:rFonts w:ascii="Times New Roman" w:eastAsia="Calibri" w:hAnsi="Times New Roman" w:cs="Times New Roman"/>
          <w:spacing w:val="-4"/>
          <w:sz w:val="28"/>
          <w:szCs w:val="28"/>
        </w:rPr>
      </w:pPr>
      <w:r w:rsidRPr="00352D19">
        <w:rPr>
          <w:rFonts w:ascii="Times New Roman" w:eastAsia="Calibri" w:hAnsi="Times New Roman" w:cs="Times New Roman"/>
          <w:spacing w:val="-4"/>
          <w:sz w:val="28"/>
          <w:szCs w:val="28"/>
        </w:rPr>
        <w:t>Объем налоговых доходов прогнозируется с увеличением к предыдущему году на 7,1% в 2022 году, на 6,4% в 2023 году и на 6,3% в 2024 году</w:t>
      </w:r>
      <w:r w:rsidR="00E23C33" w:rsidRPr="00352D19">
        <w:rPr>
          <w:rFonts w:ascii="Times New Roman" w:eastAsia="Calibri" w:hAnsi="Times New Roman" w:cs="Times New Roman"/>
          <w:spacing w:val="-4"/>
          <w:sz w:val="28"/>
          <w:szCs w:val="28"/>
        </w:rPr>
        <w:t>. Объем неналоговых доходов прогнозируется с уменьшением в 202</w:t>
      </w:r>
      <w:r w:rsidR="00A56C5D" w:rsidRPr="00352D19">
        <w:rPr>
          <w:rFonts w:ascii="Times New Roman" w:eastAsia="Calibri" w:hAnsi="Times New Roman" w:cs="Times New Roman"/>
          <w:spacing w:val="-4"/>
          <w:sz w:val="28"/>
          <w:szCs w:val="28"/>
        </w:rPr>
        <w:t>2</w:t>
      </w:r>
      <w:r w:rsidR="00E23C33" w:rsidRPr="00352D19">
        <w:rPr>
          <w:rFonts w:ascii="Times New Roman" w:eastAsia="Calibri" w:hAnsi="Times New Roman" w:cs="Times New Roman"/>
          <w:spacing w:val="-4"/>
          <w:sz w:val="28"/>
          <w:szCs w:val="28"/>
        </w:rPr>
        <w:t xml:space="preserve"> году </w:t>
      </w:r>
      <w:r w:rsidR="00A56C5D" w:rsidRPr="00352D19">
        <w:rPr>
          <w:rFonts w:ascii="Times New Roman" w:eastAsia="Calibri" w:hAnsi="Times New Roman" w:cs="Times New Roman"/>
          <w:spacing w:val="-4"/>
          <w:sz w:val="28"/>
          <w:szCs w:val="28"/>
        </w:rPr>
        <w:t>на 42</w:t>
      </w:r>
      <w:r w:rsidR="00E23C33" w:rsidRPr="00352D19">
        <w:rPr>
          <w:rFonts w:ascii="Times New Roman" w:eastAsia="Calibri" w:hAnsi="Times New Roman" w:cs="Times New Roman"/>
          <w:spacing w:val="-4"/>
          <w:sz w:val="28"/>
          <w:szCs w:val="28"/>
        </w:rPr>
        <w:t>,</w:t>
      </w:r>
      <w:r w:rsidR="00A56C5D" w:rsidRPr="00352D19">
        <w:rPr>
          <w:rFonts w:ascii="Times New Roman" w:eastAsia="Calibri" w:hAnsi="Times New Roman" w:cs="Times New Roman"/>
          <w:spacing w:val="-4"/>
          <w:sz w:val="28"/>
          <w:szCs w:val="28"/>
        </w:rPr>
        <w:t>5%,</w:t>
      </w:r>
      <w:r w:rsidR="00E23C33" w:rsidRPr="00352D19">
        <w:rPr>
          <w:rFonts w:ascii="Times New Roman" w:eastAsia="Calibri" w:hAnsi="Times New Roman" w:cs="Times New Roman"/>
          <w:spacing w:val="-4"/>
          <w:sz w:val="28"/>
          <w:szCs w:val="28"/>
        </w:rPr>
        <w:t xml:space="preserve"> в 2023 году темп снижения несколько замедлится и составит 4,5%, в 2024 году – практически на уровне 2023 года, увеличение составит 1,2%. Объем безвозмездных поступлений на момент формирования Законопроекта спрогнозирован со снижением к уровню 2021 года</w:t>
      </w:r>
      <w:r w:rsidR="00C7499E" w:rsidRPr="00352D19">
        <w:rPr>
          <w:rFonts w:ascii="Times New Roman" w:eastAsia="Calibri" w:hAnsi="Times New Roman" w:cs="Times New Roman"/>
          <w:spacing w:val="-4"/>
          <w:sz w:val="28"/>
          <w:szCs w:val="28"/>
        </w:rPr>
        <w:t xml:space="preserve">, что </w:t>
      </w:r>
      <w:r w:rsidR="00F967FB" w:rsidRPr="00352D19">
        <w:rPr>
          <w:rFonts w:ascii="Times New Roman" w:eastAsia="Calibri" w:hAnsi="Times New Roman" w:cs="Times New Roman"/>
          <w:spacing w:val="-4"/>
          <w:sz w:val="28"/>
          <w:szCs w:val="28"/>
        </w:rPr>
        <w:t xml:space="preserve">согласно пояснительной записке к Законопроекту </w:t>
      </w:r>
      <w:r w:rsidR="00C7499E" w:rsidRPr="00352D19">
        <w:rPr>
          <w:rFonts w:ascii="Times New Roman" w:eastAsia="Calibri" w:hAnsi="Times New Roman" w:cs="Times New Roman"/>
          <w:spacing w:val="-4"/>
          <w:sz w:val="28"/>
          <w:szCs w:val="28"/>
        </w:rPr>
        <w:t xml:space="preserve">обусловлено </w:t>
      </w:r>
      <w:r w:rsidR="00F967FB" w:rsidRPr="00352D19">
        <w:rPr>
          <w:rFonts w:ascii="Times New Roman" w:eastAsia="Calibri" w:hAnsi="Times New Roman" w:cs="Times New Roman"/>
          <w:spacing w:val="-4"/>
          <w:sz w:val="28"/>
          <w:szCs w:val="28"/>
        </w:rPr>
        <w:t xml:space="preserve">наличием нераспределенных межбюджетных трансфертов между субъектами РФ в соответствии с проектом федерального бюджета. </w:t>
      </w:r>
    </w:p>
    <w:p w14:paraId="1C99FB66" w14:textId="77777777" w:rsidR="0011402E" w:rsidRPr="009A040C" w:rsidRDefault="009D205B" w:rsidP="00352D19">
      <w:pPr>
        <w:widowControl w:val="0"/>
        <w:spacing w:before="120" w:after="0" w:line="240" w:lineRule="auto"/>
        <w:ind w:firstLine="709"/>
        <w:jc w:val="center"/>
        <w:rPr>
          <w:rFonts w:ascii="Times New Roman" w:eastAsia="Calibri" w:hAnsi="Times New Roman" w:cs="Times New Roman"/>
          <w:sz w:val="28"/>
          <w:szCs w:val="28"/>
        </w:rPr>
      </w:pPr>
      <w:r w:rsidRPr="009A040C">
        <w:rPr>
          <w:rFonts w:ascii="Times New Roman" w:eastAsia="Calibri" w:hAnsi="Times New Roman" w:cs="Times New Roman"/>
          <w:i/>
          <w:sz w:val="28"/>
          <w:szCs w:val="28"/>
        </w:rPr>
        <w:t>Налоговые доходы</w:t>
      </w:r>
      <w:r w:rsidRPr="009A040C">
        <w:rPr>
          <w:rFonts w:ascii="Times New Roman" w:eastAsia="Calibri" w:hAnsi="Times New Roman" w:cs="Times New Roman"/>
          <w:sz w:val="28"/>
          <w:szCs w:val="28"/>
        </w:rPr>
        <w:t xml:space="preserve"> бюджета области</w:t>
      </w:r>
      <w:r w:rsidR="0011402E" w:rsidRPr="009A040C">
        <w:rPr>
          <w:rFonts w:ascii="Times New Roman" w:eastAsia="Calibri" w:hAnsi="Times New Roman" w:cs="Times New Roman"/>
          <w:sz w:val="28"/>
          <w:szCs w:val="28"/>
        </w:rPr>
        <w:t xml:space="preserve"> </w:t>
      </w:r>
    </w:p>
    <w:p w14:paraId="32180817" w14:textId="5A4E2636" w:rsidR="009D205B" w:rsidRPr="009D205B" w:rsidRDefault="0011402E" w:rsidP="00352D19">
      <w:pPr>
        <w:widowControl w:val="0"/>
        <w:spacing w:after="0" w:line="240" w:lineRule="auto"/>
        <w:ind w:firstLine="709"/>
        <w:jc w:val="center"/>
        <w:rPr>
          <w:rFonts w:ascii="Times New Roman" w:eastAsia="Calibri" w:hAnsi="Times New Roman" w:cs="Times New Roman"/>
          <w:sz w:val="28"/>
          <w:szCs w:val="28"/>
        </w:rPr>
      </w:pPr>
      <w:r w:rsidRPr="009A040C">
        <w:rPr>
          <w:rFonts w:ascii="Times New Roman" w:eastAsia="Calibri" w:hAnsi="Times New Roman" w:cs="Times New Roman"/>
          <w:sz w:val="28"/>
          <w:szCs w:val="28"/>
        </w:rPr>
        <w:t>и их доли в объеме налоговых доходов</w:t>
      </w:r>
      <w:r w:rsidR="009D205B" w:rsidRPr="009A040C">
        <w:rPr>
          <w:rFonts w:ascii="Times New Roman" w:eastAsia="Calibri" w:hAnsi="Times New Roman" w:cs="Times New Roman"/>
          <w:sz w:val="28"/>
          <w:szCs w:val="28"/>
        </w:rPr>
        <w:t xml:space="preserve"> </w:t>
      </w:r>
      <w:r w:rsidR="009D205B" w:rsidRPr="009A040C">
        <w:rPr>
          <w:rFonts w:ascii="Times New Roman" w:eastAsia="Calibri" w:hAnsi="Times New Roman" w:cs="Times New Roman"/>
          <w:sz w:val="24"/>
          <w:szCs w:val="24"/>
        </w:rPr>
        <w:t>(млн. рублей)</w:t>
      </w:r>
    </w:p>
    <w:p w14:paraId="5EFB22CF" w14:textId="77777777" w:rsidR="009D205B" w:rsidRPr="009D205B" w:rsidRDefault="009D205B" w:rsidP="009D205B">
      <w:pPr>
        <w:spacing w:before="80" w:after="0" w:line="240" w:lineRule="auto"/>
        <w:jc w:val="both"/>
        <w:rPr>
          <w:rFonts w:ascii="Times New Roman" w:eastAsia="Calibri" w:hAnsi="Times New Roman" w:cs="Times New Roman"/>
          <w:sz w:val="28"/>
          <w:szCs w:val="28"/>
        </w:rPr>
      </w:pPr>
      <w:r w:rsidRPr="009D205B">
        <w:rPr>
          <w:noProof/>
          <w:color w:val="FF0000"/>
          <w:lang w:eastAsia="ru-RU"/>
        </w:rPr>
        <w:drawing>
          <wp:inline distT="0" distB="0" distL="0" distR="0" wp14:anchorId="5A177B7F" wp14:editId="0E62A1C8">
            <wp:extent cx="5791200" cy="4229100"/>
            <wp:effectExtent l="57150" t="57150" r="38100" b="381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9D854E" w14:textId="32363DAA" w:rsidR="008C560D" w:rsidRPr="00810744" w:rsidRDefault="008C560D" w:rsidP="00810744">
      <w:pPr>
        <w:spacing w:before="40" w:after="40" w:line="240" w:lineRule="auto"/>
        <w:ind w:firstLine="709"/>
        <w:jc w:val="both"/>
        <w:rPr>
          <w:rFonts w:ascii="Times New Roman" w:eastAsia="Calibri" w:hAnsi="Times New Roman" w:cs="Times New Roman"/>
          <w:spacing w:val="-4"/>
          <w:sz w:val="28"/>
          <w:szCs w:val="28"/>
        </w:rPr>
      </w:pPr>
      <w:r w:rsidRPr="00810744">
        <w:rPr>
          <w:rFonts w:ascii="Times New Roman" w:eastAsia="Calibri" w:hAnsi="Times New Roman" w:cs="Times New Roman"/>
          <w:spacing w:val="-4"/>
          <w:sz w:val="28"/>
          <w:szCs w:val="28"/>
        </w:rPr>
        <w:lastRenderedPageBreak/>
        <w:t xml:space="preserve">Темпы роста объемов </w:t>
      </w:r>
      <w:r w:rsidR="00D46E70" w:rsidRPr="00810744">
        <w:rPr>
          <w:rFonts w:ascii="Times New Roman" w:eastAsia="Calibri" w:hAnsi="Times New Roman" w:cs="Times New Roman"/>
          <w:spacing w:val="-4"/>
          <w:sz w:val="28"/>
          <w:szCs w:val="28"/>
        </w:rPr>
        <w:t xml:space="preserve">налоговых </w:t>
      </w:r>
      <w:r w:rsidRPr="00810744">
        <w:rPr>
          <w:rFonts w:ascii="Times New Roman" w:eastAsia="Calibri" w:hAnsi="Times New Roman" w:cs="Times New Roman"/>
          <w:spacing w:val="-4"/>
          <w:sz w:val="28"/>
          <w:szCs w:val="28"/>
        </w:rPr>
        <w:t>доходов представлены в таблице.</w:t>
      </w:r>
    </w:p>
    <w:tbl>
      <w:tblPr>
        <w:tblStyle w:val="af2"/>
        <w:tblW w:w="4598" w:type="pct"/>
        <w:jc w:val="center"/>
        <w:tblLook w:val="04A0" w:firstRow="1" w:lastRow="0" w:firstColumn="1" w:lastColumn="0" w:noHBand="0" w:noVBand="1"/>
      </w:tblPr>
      <w:tblGrid>
        <w:gridCol w:w="2854"/>
        <w:gridCol w:w="1902"/>
        <w:gridCol w:w="1842"/>
        <w:gridCol w:w="1996"/>
      </w:tblGrid>
      <w:tr w:rsidR="008C560D" w:rsidRPr="00810744" w14:paraId="53672C72" w14:textId="77777777" w:rsidTr="008C560D">
        <w:trPr>
          <w:trHeight w:val="267"/>
          <w:jc w:val="center"/>
        </w:trPr>
        <w:tc>
          <w:tcPr>
            <w:tcW w:w="2853" w:type="dxa"/>
            <w:vMerge w:val="restart"/>
            <w:shd w:val="clear" w:color="auto" w:fill="F2F2F2" w:themeFill="background1" w:themeFillShade="F2"/>
          </w:tcPr>
          <w:p w14:paraId="3C0FEA16" w14:textId="1D78B250" w:rsidR="008C560D" w:rsidRPr="00810744" w:rsidRDefault="008C560D" w:rsidP="00695EE3">
            <w:pPr>
              <w:jc w:val="center"/>
              <w:rPr>
                <w:rFonts w:eastAsia="Calibri"/>
                <w:spacing w:val="-4"/>
                <w:sz w:val="18"/>
                <w:szCs w:val="18"/>
              </w:rPr>
            </w:pPr>
            <w:r w:rsidRPr="00810744">
              <w:rPr>
                <w:rFonts w:eastAsia="Calibri"/>
                <w:spacing w:val="-4"/>
                <w:sz w:val="18"/>
                <w:szCs w:val="18"/>
              </w:rPr>
              <w:t>Наименование доходов</w:t>
            </w:r>
          </w:p>
        </w:tc>
        <w:tc>
          <w:tcPr>
            <w:tcW w:w="5740" w:type="dxa"/>
            <w:gridSpan w:val="3"/>
            <w:shd w:val="clear" w:color="auto" w:fill="F2F2F2" w:themeFill="background1" w:themeFillShade="F2"/>
            <w:vAlign w:val="center"/>
          </w:tcPr>
          <w:p w14:paraId="49942549" w14:textId="78E07736" w:rsidR="008C560D" w:rsidRPr="00810744" w:rsidRDefault="008C560D" w:rsidP="00DF6A62">
            <w:pPr>
              <w:jc w:val="center"/>
              <w:rPr>
                <w:rFonts w:eastAsia="Calibri"/>
                <w:spacing w:val="-4"/>
                <w:sz w:val="18"/>
                <w:szCs w:val="18"/>
              </w:rPr>
            </w:pPr>
            <w:r w:rsidRPr="00810744">
              <w:rPr>
                <w:rFonts w:eastAsia="Calibri"/>
                <w:spacing w:val="-4"/>
                <w:sz w:val="18"/>
                <w:szCs w:val="18"/>
              </w:rPr>
              <w:t>Темпы роста (снижения) доходов к предыдущему году, %</w:t>
            </w:r>
          </w:p>
        </w:tc>
      </w:tr>
      <w:tr w:rsidR="008C560D" w:rsidRPr="00810744" w14:paraId="2ACD357F" w14:textId="77777777" w:rsidTr="008C560D">
        <w:trPr>
          <w:trHeight w:val="284"/>
          <w:jc w:val="center"/>
        </w:trPr>
        <w:tc>
          <w:tcPr>
            <w:tcW w:w="2853" w:type="dxa"/>
            <w:vMerge/>
            <w:shd w:val="clear" w:color="auto" w:fill="F2F2F2" w:themeFill="background1" w:themeFillShade="F2"/>
          </w:tcPr>
          <w:p w14:paraId="382103D5" w14:textId="77777777" w:rsidR="008C560D" w:rsidRPr="00810744" w:rsidRDefault="008C560D" w:rsidP="00DF6A62">
            <w:pPr>
              <w:jc w:val="both"/>
              <w:rPr>
                <w:rFonts w:eastAsia="Calibri"/>
                <w:spacing w:val="-4"/>
                <w:sz w:val="18"/>
                <w:szCs w:val="18"/>
              </w:rPr>
            </w:pPr>
          </w:p>
        </w:tc>
        <w:tc>
          <w:tcPr>
            <w:tcW w:w="1902" w:type="dxa"/>
            <w:shd w:val="clear" w:color="auto" w:fill="F2F2F2" w:themeFill="background1" w:themeFillShade="F2"/>
            <w:vAlign w:val="center"/>
          </w:tcPr>
          <w:p w14:paraId="4A12EC0C"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2022 год</w:t>
            </w:r>
          </w:p>
        </w:tc>
        <w:tc>
          <w:tcPr>
            <w:tcW w:w="1842" w:type="dxa"/>
            <w:shd w:val="clear" w:color="auto" w:fill="F2F2F2" w:themeFill="background1" w:themeFillShade="F2"/>
            <w:vAlign w:val="center"/>
          </w:tcPr>
          <w:p w14:paraId="52F65E60"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2023 год</w:t>
            </w:r>
          </w:p>
        </w:tc>
        <w:tc>
          <w:tcPr>
            <w:tcW w:w="1996" w:type="dxa"/>
            <w:shd w:val="clear" w:color="auto" w:fill="F2F2F2" w:themeFill="background1" w:themeFillShade="F2"/>
            <w:vAlign w:val="center"/>
          </w:tcPr>
          <w:p w14:paraId="508F76CB"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2024 год</w:t>
            </w:r>
          </w:p>
        </w:tc>
      </w:tr>
      <w:tr w:rsidR="008C560D" w:rsidRPr="00810744" w14:paraId="7412C6CE" w14:textId="77777777" w:rsidTr="008C560D">
        <w:trPr>
          <w:trHeight w:val="267"/>
          <w:jc w:val="center"/>
        </w:trPr>
        <w:tc>
          <w:tcPr>
            <w:tcW w:w="2853" w:type="dxa"/>
          </w:tcPr>
          <w:p w14:paraId="1D8A0442" w14:textId="2A9AEF7A" w:rsidR="008C560D" w:rsidRPr="00810744" w:rsidRDefault="008C560D" w:rsidP="00DF6A62">
            <w:pPr>
              <w:jc w:val="both"/>
              <w:rPr>
                <w:rFonts w:eastAsia="Calibri"/>
                <w:spacing w:val="-4"/>
                <w:sz w:val="18"/>
                <w:szCs w:val="18"/>
              </w:rPr>
            </w:pPr>
            <w:r w:rsidRPr="00810744">
              <w:rPr>
                <w:rFonts w:eastAsia="Calibri"/>
                <w:spacing w:val="-4"/>
                <w:sz w:val="18"/>
                <w:szCs w:val="18"/>
              </w:rPr>
              <w:t>Налог на прибыль</w:t>
            </w:r>
            <w:r w:rsidR="00695EE3" w:rsidRPr="00810744">
              <w:rPr>
                <w:rFonts w:eastAsia="Calibri"/>
                <w:spacing w:val="-4"/>
                <w:sz w:val="18"/>
                <w:szCs w:val="18"/>
              </w:rPr>
              <w:t xml:space="preserve"> организаций </w:t>
            </w:r>
          </w:p>
        </w:tc>
        <w:tc>
          <w:tcPr>
            <w:tcW w:w="1902" w:type="dxa"/>
            <w:vAlign w:val="bottom"/>
          </w:tcPr>
          <w:p w14:paraId="60DCFDFD"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+6,8</w:t>
            </w:r>
          </w:p>
        </w:tc>
        <w:tc>
          <w:tcPr>
            <w:tcW w:w="1842" w:type="dxa"/>
            <w:vAlign w:val="bottom"/>
          </w:tcPr>
          <w:p w14:paraId="1908C75A"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+7,7</w:t>
            </w:r>
          </w:p>
        </w:tc>
        <w:tc>
          <w:tcPr>
            <w:tcW w:w="1996" w:type="dxa"/>
            <w:vAlign w:val="bottom"/>
          </w:tcPr>
          <w:p w14:paraId="00D48584"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+6,9</w:t>
            </w:r>
          </w:p>
        </w:tc>
      </w:tr>
      <w:tr w:rsidR="008C560D" w:rsidRPr="00810744" w14:paraId="19395979" w14:textId="77777777" w:rsidTr="008C560D">
        <w:trPr>
          <w:trHeight w:val="267"/>
          <w:jc w:val="center"/>
        </w:trPr>
        <w:tc>
          <w:tcPr>
            <w:tcW w:w="2853" w:type="dxa"/>
          </w:tcPr>
          <w:p w14:paraId="0F61D356" w14:textId="77777777" w:rsidR="008C560D" w:rsidRPr="00810744" w:rsidRDefault="008C560D" w:rsidP="00DF6A62">
            <w:pPr>
              <w:jc w:val="both"/>
              <w:rPr>
                <w:rFonts w:eastAsia="Calibri"/>
                <w:spacing w:val="-4"/>
                <w:sz w:val="18"/>
                <w:szCs w:val="18"/>
              </w:rPr>
            </w:pPr>
            <w:r w:rsidRPr="00810744">
              <w:rPr>
                <w:rFonts w:eastAsia="Calibri"/>
                <w:spacing w:val="-4"/>
                <w:sz w:val="18"/>
                <w:szCs w:val="18"/>
              </w:rPr>
              <w:t>НДФЛ</w:t>
            </w:r>
          </w:p>
        </w:tc>
        <w:tc>
          <w:tcPr>
            <w:tcW w:w="1902" w:type="dxa"/>
            <w:vAlign w:val="bottom"/>
          </w:tcPr>
          <w:p w14:paraId="7B4D367E"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+5,5</w:t>
            </w:r>
          </w:p>
        </w:tc>
        <w:tc>
          <w:tcPr>
            <w:tcW w:w="1842" w:type="dxa"/>
            <w:vAlign w:val="bottom"/>
          </w:tcPr>
          <w:p w14:paraId="5C307AE1"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+6,4</w:t>
            </w:r>
          </w:p>
        </w:tc>
        <w:tc>
          <w:tcPr>
            <w:tcW w:w="1996" w:type="dxa"/>
            <w:vAlign w:val="bottom"/>
          </w:tcPr>
          <w:p w14:paraId="4AE6F45C"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+6,5</w:t>
            </w:r>
          </w:p>
        </w:tc>
      </w:tr>
      <w:tr w:rsidR="008C560D" w:rsidRPr="00810744" w14:paraId="6AD2D352" w14:textId="77777777" w:rsidTr="008C560D">
        <w:trPr>
          <w:trHeight w:val="267"/>
          <w:jc w:val="center"/>
        </w:trPr>
        <w:tc>
          <w:tcPr>
            <w:tcW w:w="2853" w:type="dxa"/>
          </w:tcPr>
          <w:p w14:paraId="482A2796" w14:textId="77777777" w:rsidR="008C560D" w:rsidRPr="00810744" w:rsidRDefault="008C560D" w:rsidP="00DF6A62">
            <w:pPr>
              <w:jc w:val="both"/>
              <w:rPr>
                <w:rFonts w:eastAsia="Calibri"/>
                <w:spacing w:val="-4"/>
                <w:sz w:val="18"/>
                <w:szCs w:val="18"/>
              </w:rPr>
            </w:pPr>
            <w:r w:rsidRPr="00810744">
              <w:rPr>
                <w:rFonts w:eastAsia="Calibri"/>
                <w:spacing w:val="-4"/>
                <w:sz w:val="18"/>
                <w:szCs w:val="18"/>
              </w:rPr>
              <w:t>Акцизы</w:t>
            </w:r>
          </w:p>
        </w:tc>
        <w:tc>
          <w:tcPr>
            <w:tcW w:w="1902" w:type="dxa"/>
            <w:vAlign w:val="bottom"/>
          </w:tcPr>
          <w:p w14:paraId="15A1192F"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+13,1</w:t>
            </w:r>
          </w:p>
        </w:tc>
        <w:tc>
          <w:tcPr>
            <w:tcW w:w="1842" w:type="dxa"/>
            <w:vAlign w:val="bottom"/>
          </w:tcPr>
          <w:p w14:paraId="604FE010"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+4,3</w:t>
            </w:r>
          </w:p>
        </w:tc>
        <w:tc>
          <w:tcPr>
            <w:tcW w:w="1996" w:type="dxa"/>
            <w:vAlign w:val="bottom"/>
          </w:tcPr>
          <w:p w14:paraId="7353A44B"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+4,5</w:t>
            </w:r>
          </w:p>
        </w:tc>
      </w:tr>
      <w:tr w:rsidR="008C560D" w:rsidRPr="00810744" w14:paraId="650067A6" w14:textId="77777777" w:rsidTr="008C560D">
        <w:trPr>
          <w:trHeight w:val="267"/>
          <w:jc w:val="center"/>
        </w:trPr>
        <w:tc>
          <w:tcPr>
            <w:tcW w:w="2853" w:type="dxa"/>
          </w:tcPr>
          <w:p w14:paraId="3501D738" w14:textId="77777777" w:rsidR="008C560D" w:rsidRPr="00810744" w:rsidRDefault="008C560D" w:rsidP="00DF6A62">
            <w:pPr>
              <w:jc w:val="both"/>
              <w:rPr>
                <w:rFonts w:eastAsia="Calibri"/>
                <w:spacing w:val="-4"/>
                <w:sz w:val="18"/>
                <w:szCs w:val="18"/>
              </w:rPr>
            </w:pPr>
            <w:r w:rsidRPr="00810744">
              <w:rPr>
                <w:rFonts w:eastAsia="Calibri"/>
                <w:spacing w:val="-4"/>
                <w:sz w:val="18"/>
                <w:szCs w:val="18"/>
              </w:rPr>
              <w:t>Налоги на совокупный доход</w:t>
            </w:r>
          </w:p>
        </w:tc>
        <w:tc>
          <w:tcPr>
            <w:tcW w:w="1902" w:type="dxa"/>
            <w:vAlign w:val="bottom"/>
          </w:tcPr>
          <w:p w14:paraId="782CDFC8"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+0,6</w:t>
            </w:r>
          </w:p>
        </w:tc>
        <w:tc>
          <w:tcPr>
            <w:tcW w:w="1842" w:type="dxa"/>
            <w:vAlign w:val="bottom"/>
          </w:tcPr>
          <w:p w14:paraId="6C9204B3"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+11,1</w:t>
            </w:r>
          </w:p>
        </w:tc>
        <w:tc>
          <w:tcPr>
            <w:tcW w:w="1996" w:type="dxa"/>
            <w:vAlign w:val="bottom"/>
          </w:tcPr>
          <w:p w14:paraId="38CB2969"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+13,2</w:t>
            </w:r>
          </w:p>
        </w:tc>
      </w:tr>
      <w:tr w:rsidR="008C560D" w:rsidRPr="00810744" w14:paraId="16CE2302" w14:textId="77777777" w:rsidTr="008C560D">
        <w:trPr>
          <w:trHeight w:val="267"/>
          <w:jc w:val="center"/>
        </w:trPr>
        <w:tc>
          <w:tcPr>
            <w:tcW w:w="2853" w:type="dxa"/>
          </w:tcPr>
          <w:p w14:paraId="5B954895" w14:textId="3A5D5BE3" w:rsidR="008C560D" w:rsidRPr="00810744" w:rsidRDefault="008C560D" w:rsidP="00DF6A62">
            <w:pPr>
              <w:jc w:val="both"/>
              <w:rPr>
                <w:rFonts w:eastAsia="Calibri"/>
                <w:spacing w:val="-4"/>
                <w:sz w:val="18"/>
                <w:szCs w:val="18"/>
              </w:rPr>
            </w:pPr>
            <w:r w:rsidRPr="00810744">
              <w:rPr>
                <w:rFonts w:eastAsia="Calibri"/>
                <w:spacing w:val="-4"/>
                <w:sz w:val="18"/>
                <w:szCs w:val="18"/>
              </w:rPr>
              <w:t>Налог на имущество</w:t>
            </w:r>
            <w:r w:rsidR="00695EE3" w:rsidRPr="00810744">
              <w:rPr>
                <w:rFonts w:eastAsia="Calibri"/>
                <w:spacing w:val="-4"/>
                <w:sz w:val="18"/>
                <w:szCs w:val="18"/>
              </w:rPr>
              <w:t xml:space="preserve"> организаций</w:t>
            </w:r>
          </w:p>
        </w:tc>
        <w:tc>
          <w:tcPr>
            <w:tcW w:w="1902" w:type="dxa"/>
            <w:vAlign w:val="bottom"/>
          </w:tcPr>
          <w:p w14:paraId="0A0FAE36"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+3,5</w:t>
            </w:r>
          </w:p>
        </w:tc>
        <w:tc>
          <w:tcPr>
            <w:tcW w:w="1842" w:type="dxa"/>
            <w:vAlign w:val="bottom"/>
          </w:tcPr>
          <w:p w14:paraId="169B0D3C"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+4,5</w:t>
            </w:r>
          </w:p>
        </w:tc>
        <w:tc>
          <w:tcPr>
            <w:tcW w:w="1996" w:type="dxa"/>
            <w:vAlign w:val="bottom"/>
          </w:tcPr>
          <w:p w14:paraId="55577270"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+4,5</w:t>
            </w:r>
          </w:p>
        </w:tc>
      </w:tr>
      <w:tr w:rsidR="008C560D" w:rsidRPr="00731AEE" w14:paraId="25E06FF9" w14:textId="77777777" w:rsidTr="008C560D">
        <w:trPr>
          <w:trHeight w:val="267"/>
          <w:jc w:val="center"/>
        </w:trPr>
        <w:tc>
          <w:tcPr>
            <w:tcW w:w="2853" w:type="dxa"/>
          </w:tcPr>
          <w:p w14:paraId="7D21C1EA" w14:textId="14E1F743" w:rsidR="008C560D" w:rsidRPr="00810744" w:rsidRDefault="008C560D" w:rsidP="00DF6A62">
            <w:pPr>
              <w:jc w:val="both"/>
              <w:rPr>
                <w:rFonts w:eastAsia="Calibri"/>
                <w:spacing w:val="-4"/>
                <w:sz w:val="18"/>
                <w:szCs w:val="18"/>
              </w:rPr>
            </w:pPr>
            <w:r w:rsidRPr="00810744">
              <w:rPr>
                <w:rFonts w:eastAsia="Calibri"/>
                <w:spacing w:val="-4"/>
                <w:sz w:val="18"/>
                <w:szCs w:val="18"/>
              </w:rPr>
              <w:t>Другие налоговые</w:t>
            </w:r>
            <w:r w:rsidR="00695EE3" w:rsidRPr="00810744">
              <w:rPr>
                <w:rFonts w:eastAsia="Calibri"/>
                <w:spacing w:val="-4"/>
                <w:sz w:val="18"/>
                <w:szCs w:val="18"/>
              </w:rPr>
              <w:t xml:space="preserve"> доходы</w:t>
            </w:r>
          </w:p>
        </w:tc>
        <w:tc>
          <w:tcPr>
            <w:tcW w:w="1902" w:type="dxa"/>
            <w:vAlign w:val="bottom"/>
          </w:tcPr>
          <w:p w14:paraId="46AFEF24"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+4,7</w:t>
            </w:r>
          </w:p>
        </w:tc>
        <w:tc>
          <w:tcPr>
            <w:tcW w:w="1842" w:type="dxa"/>
            <w:vAlign w:val="bottom"/>
          </w:tcPr>
          <w:p w14:paraId="66761C7B" w14:textId="77777777" w:rsidR="008C560D" w:rsidRPr="00810744" w:rsidRDefault="008C560D" w:rsidP="00DF6A62">
            <w:pPr>
              <w:jc w:val="center"/>
              <w:rPr>
                <w:rFonts w:eastAsia="Calibri"/>
                <w:spacing w:val="-4"/>
                <w:sz w:val="18"/>
                <w:szCs w:val="18"/>
              </w:rPr>
            </w:pPr>
            <w:r w:rsidRPr="00810744">
              <w:rPr>
                <w:rFonts w:eastAsia="Calibri"/>
                <w:spacing w:val="-4"/>
                <w:sz w:val="18"/>
                <w:szCs w:val="18"/>
              </w:rPr>
              <w:t>+2,5</w:t>
            </w:r>
          </w:p>
        </w:tc>
        <w:tc>
          <w:tcPr>
            <w:tcW w:w="1996" w:type="dxa"/>
            <w:vAlign w:val="bottom"/>
          </w:tcPr>
          <w:p w14:paraId="5C2F83CE" w14:textId="77777777" w:rsidR="008C560D" w:rsidRPr="00731AEE" w:rsidRDefault="008C560D" w:rsidP="00DF6A62">
            <w:pPr>
              <w:jc w:val="center"/>
              <w:rPr>
                <w:rFonts w:eastAsia="Calibri"/>
                <w:spacing w:val="-4"/>
                <w:sz w:val="18"/>
                <w:szCs w:val="18"/>
              </w:rPr>
            </w:pPr>
            <w:r w:rsidRPr="00810744">
              <w:rPr>
                <w:rFonts w:eastAsia="Calibri"/>
                <w:spacing w:val="-4"/>
                <w:sz w:val="18"/>
                <w:szCs w:val="18"/>
              </w:rPr>
              <w:t>+3,2</w:t>
            </w:r>
          </w:p>
        </w:tc>
      </w:tr>
    </w:tbl>
    <w:p w14:paraId="77C40738" w14:textId="5387E401" w:rsidR="004E3904" w:rsidRDefault="008C560D" w:rsidP="004E3904">
      <w:pPr>
        <w:widowControl w:val="0"/>
        <w:spacing w:before="120" w:after="120" w:line="240" w:lineRule="auto"/>
        <w:ind w:firstLine="709"/>
        <w:jc w:val="both"/>
        <w:rPr>
          <w:rFonts w:ascii="Times New Roman" w:eastAsia="Calibri" w:hAnsi="Times New Roman" w:cs="Times New Roman"/>
          <w:spacing w:val="-4"/>
          <w:sz w:val="28"/>
        </w:rPr>
      </w:pPr>
      <w:r w:rsidRPr="009A040C">
        <w:rPr>
          <w:rFonts w:ascii="Times New Roman" w:eastAsia="Calibri" w:hAnsi="Times New Roman" w:cs="Times New Roman"/>
          <w:spacing w:val="-4"/>
          <w:sz w:val="28"/>
        </w:rPr>
        <w:t>Из представленной диаграммы и таблицы видно, что по всем налоговым доходам прогнозируется рост к предыдущему году</w:t>
      </w:r>
      <w:r w:rsidR="00D46E70" w:rsidRPr="009A040C">
        <w:rPr>
          <w:rFonts w:ascii="Times New Roman" w:eastAsia="Calibri" w:hAnsi="Times New Roman" w:cs="Times New Roman"/>
          <w:spacing w:val="-4"/>
          <w:sz w:val="28"/>
        </w:rPr>
        <w:t xml:space="preserve">. </w:t>
      </w:r>
      <w:r w:rsidR="0025038D" w:rsidRPr="009A040C">
        <w:rPr>
          <w:rFonts w:ascii="Times New Roman" w:eastAsia="Calibri" w:hAnsi="Times New Roman" w:cs="Times New Roman"/>
          <w:spacing w:val="-4"/>
          <w:sz w:val="28"/>
        </w:rPr>
        <w:t>При этом, анализ объемов</w:t>
      </w:r>
      <w:r w:rsidR="0025038D">
        <w:rPr>
          <w:rFonts w:ascii="Times New Roman" w:eastAsia="Calibri" w:hAnsi="Times New Roman" w:cs="Times New Roman"/>
          <w:spacing w:val="-4"/>
          <w:sz w:val="28"/>
        </w:rPr>
        <w:t xml:space="preserve"> планируемых поступлений по налоговым доходам относительно утвержденных значений</w:t>
      </w:r>
      <w:r w:rsidR="0045153D">
        <w:rPr>
          <w:rStyle w:val="a5"/>
          <w:rFonts w:ascii="Times New Roman" w:eastAsia="Calibri" w:hAnsi="Times New Roman" w:cs="Times New Roman"/>
          <w:spacing w:val="-4"/>
          <w:sz w:val="28"/>
        </w:rPr>
        <w:footnoteReference w:id="11"/>
      </w:r>
      <w:r w:rsidR="0025038D">
        <w:rPr>
          <w:rFonts w:ascii="Times New Roman" w:eastAsia="Calibri" w:hAnsi="Times New Roman" w:cs="Times New Roman"/>
          <w:spacing w:val="-4"/>
          <w:sz w:val="28"/>
        </w:rPr>
        <w:t xml:space="preserve"> в предыдущем бюджетном цикле позволяет констатировать </w:t>
      </w:r>
      <w:r w:rsidR="0025038D" w:rsidRPr="0045153D">
        <w:rPr>
          <w:rFonts w:ascii="Times New Roman" w:eastAsia="Calibri" w:hAnsi="Times New Roman" w:cs="Times New Roman"/>
          <w:spacing w:val="-4"/>
          <w:sz w:val="28"/>
        </w:rPr>
        <w:t>существенное снижение</w:t>
      </w:r>
      <w:r w:rsidR="0025038D">
        <w:rPr>
          <w:rFonts w:ascii="Times New Roman" w:eastAsia="Calibri" w:hAnsi="Times New Roman" w:cs="Times New Roman"/>
          <w:spacing w:val="-4"/>
          <w:sz w:val="28"/>
        </w:rPr>
        <w:t xml:space="preserve"> поступлений по акцизам порядка 432 млн. рублей в 2022 году и поряд</w:t>
      </w:r>
      <w:r w:rsidR="00695EE3">
        <w:rPr>
          <w:rFonts w:ascii="Times New Roman" w:eastAsia="Calibri" w:hAnsi="Times New Roman" w:cs="Times New Roman"/>
          <w:spacing w:val="-4"/>
          <w:sz w:val="28"/>
        </w:rPr>
        <w:t>ка 1 036 млн рублей в 2023 году;</w:t>
      </w:r>
      <w:r w:rsidR="0025038D">
        <w:rPr>
          <w:rFonts w:ascii="Times New Roman" w:eastAsia="Calibri" w:hAnsi="Times New Roman" w:cs="Times New Roman"/>
          <w:spacing w:val="-4"/>
          <w:sz w:val="28"/>
        </w:rPr>
        <w:t xml:space="preserve"> по налогам, сборам и регулярным платежам за пользование природными ресурсами порядка 43 млн. рублей и 62 млн. рублей в 2022 и 2023 годах</w:t>
      </w:r>
      <w:r w:rsidR="004E3904">
        <w:rPr>
          <w:rFonts w:ascii="Times New Roman" w:eastAsia="Calibri" w:hAnsi="Times New Roman" w:cs="Times New Roman"/>
          <w:spacing w:val="-4"/>
          <w:sz w:val="28"/>
        </w:rPr>
        <w:t xml:space="preserve"> (</w:t>
      </w:r>
      <w:proofErr w:type="spellStart"/>
      <w:r w:rsidR="004E3904">
        <w:rPr>
          <w:rFonts w:ascii="Times New Roman" w:eastAsia="Calibri" w:hAnsi="Times New Roman" w:cs="Times New Roman"/>
          <w:spacing w:val="-4"/>
          <w:sz w:val="28"/>
        </w:rPr>
        <w:t>см.таблицу</w:t>
      </w:r>
      <w:proofErr w:type="spellEnd"/>
      <w:r w:rsidR="004E3904">
        <w:rPr>
          <w:rFonts w:ascii="Times New Roman" w:eastAsia="Calibri" w:hAnsi="Times New Roman" w:cs="Times New Roman"/>
          <w:spacing w:val="-4"/>
          <w:sz w:val="28"/>
        </w:rPr>
        <w:t>)</w:t>
      </w:r>
      <w:r w:rsidR="0025038D">
        <w:rPr>
          <w:rFonts w:ascii="Times New Roman" w:eastAsia="Calibri" w:hAnsi="Times New Roman" w:cs="Times New Roman"/>
          <w:spacing w:val="-4"/>
          <w:sz w:val="28"/>
        </w:rPr>
        <w:t xml:space="preserve">. </w:t>
      </w:r>
    </w:p>
    <w:tbl>
      <w:tblPr>
        <w:tblW w:w="5030" w:type="pct"/>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30"/>
        <w:gridCol w:w="1367"/>
        <w:gridCol w:w="1013"/>
        <w:gridCol w:w="866"/>
        <w:gridCol w:w="1303"/>
        <w:gridCol w:w="1012"/>
        <w:gridCol w:w="1010"/>
      </w:tblGrid>
      <w:tr w:rsidR="004E3904" w:rsidRPr="004E3904" w14:paraId="1E08B685" w14:textId="77777777" w:rsidTr="004A4D0B">
        <w:trPr>
          <w:trHeight w:val="101"/>
          <w:jc w:val="right"/>
        </w:trPr>
        <w:tc>
          <w:tcPr>
            <w:tcW w:w="2830" w:type="dxa"/>
            <w:vMerge w:val="restart"/>
            <w:shd w:val="clear" w:color="auto" w:fill="auto"/>
            <w:vAlign w:val="center"/>
            <w:hideMark/>
          </w:tcPr>
          <w:p w14:paraId="29E11815" w14:textId="77777777" w:rsidR="004E3904" w:rsidRPr="004E3904" w:rsidRDefault="004E3904" w:rsidP="00723408">
            <w:pPr>
              <w:spacing w:after="0" w:line="240" w:lineRule="auto"/>
              <w:ind w:left="-255" w:right="-57"/>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Наименование доходов</w:t>
            </w:r>
          </w:p>
        </w:tc>
        <w:tc>
          <w:tcPr>
            <w:tcW w:w="2380" w:type="dxa"/>
            <w:gridSpan w:val="2"/>
            <w:shd w:val="clear" w:color="auto" w:fill="auto"/>
            <w:noWrap/>
            <w:vAlign w:val="center"/>
            <w:hideMark/>
          </w:tcPr>
          <w:p w14:paraId="3B65B931" w14:textId="77777777" w:rsidR="004E3904" w:rsidRPr="004E3904" w:rsidRDefault="004E3904" w:rsidP="00723408">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2022 год, тыс. рублей</w:t>
            </w:r>
          </w:p>
        </w:tc>
        <w:tc>
          <w:tcPr>
            <w:tcW w:w="866" w:type="dxa"/>
            <w:vMerge w:val="restart"/>
            <w:shd w:val="clear" w:color="auto" w:fill="auto"/>
            <w:vAlign w:val="center"/>
            <w:hideMark/>
          </w:tcPr>
          <w:p w14:paraId="487E654A" w14:textId="77777777" w:rsidR="004E3904" w:rsidRPr="004E3904" w:rsidRDefault="004E3904" w:rsidP="004A4D0B">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 xml:space="preserve">Изменение, тыс. </w:t>
            </w:r>
          </w:p>
          <w:p w14:paraId="3400B594" w14:textId="77777777" w:rsidR="004E3904" w:rsidRPr="004E3904" w:rsidRDefault="004E3904" w:rsidP="00723408">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рублей</w:t>
            </w:r>
          </w:p>
        </w:tc>
        <w:tc>
          <w:tcPr>
            <w:tcW w:w="2315" w:type="dxa"/>
            <w:gridSpan w:val="2"/>
            <w:shd w:val="clear" w:color="auto" w:fill="auto"/>
            <w:noWrap/>
            <w:vAlign w:val="center"/>
            <w:hideMark/>
          </w:tcPr>
          <w:p w14:paraId="1A42C59C" w14:textId="77777777" w:rsidR="004E3904" w:rsidRPr="004E3904" w:rsidRDefault="004E3904" w:rsidP="00723408">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2023 год, тыс. рублей</w:t>
            </w:r>
          </w:p>
        </w:tc>
        <w:tc>
          <w:tcPr>
            <w:tcW w:w="1010" w:type="dxa"/>
            <w:vMerge w:val="restart"/>
            <w:shd w:val="clear" w:color="auto" w:fill="auto"/>
            <w:vAlign w:val="center"/>
            <w:hideMark/>
          </w:tcPr>
          <w:p w14:paraId="3A02F1F2" w14:textId="0BA19501" w:rsidR="004E3904" w:rsidRPr="004E3904" w:rsidRDefault="004E3904" w:rsidP="004A4D0B">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Изменение, тыс. рублей</w:t>
            </w:r>
          </w:p>
        </w:tc>
      </w:tr>
      <w:tr w:rsidR="004E3904" w:rsidRPr="004E3904" w14:paraId="66F7EB9E" w14:textId="77777777" w:rsidTr="004A4D0B">
        <w:trPr>
          <w:trHeight w:val="522"/>
          <w:jc w:val="right"/>
        </w:trPr>
        <w:tc>
          <w:tcPr>
            <w:tcW w:w="2830" w:type="dxa"/>
            <w:vMerge/>
            <w:vAlign w:val="center"/>
            <w:hideMark/>
          </w:tcPr>
          <w:p w14:paraId="4F4ECB7B" w14:textId="77777777" w:rsidR="004E3904" w:rsidRPr="004E3904" w:rsidRDefault="004E3904" w:rsidP="00723408">
            <w:pPr>
              <w:spacing w:after="0" w:line="240" w:lineRule="auto"/>
              <w:ind w:left="-113" w:right="-57"/>
              <w:rPr>
                <w:rFonts w:ascii="Times New Roman" w:eastAsia="Times New Roman" w:hAnsi="Times New Roman" w:cs="Times New Roman"/>
                <w:color w:val="000000"/>
                <w:spacing w:val="-4"/>
                <w:w w:val="98"/>
                <w:sz w:val="18"/>
                <w:szCs w:val="18"/>
                <w:lang w:eastAsia="ru-RU"/>
              </w:rPr>
            </w:pPr>
          </w:p>
        </w:tc>
        <w:tc>
          <w:tcPr>
            <w:tcW w:w="1367" w:type="dxa"/>
            <w:shd w:val="clear" w:color="auto" w:fill="auto"/>
            <w:vAlign w:val="center"/>
            <w:hideMark/>
          </w:tcPr>
          <w:p w14:paraId="1CE10C3F" w14:textId="77777777" w:rsidR="004E3904" w:rsidRPr="004E3904" w:rsidRDefault="004E3904" w:rsidP="00723408">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Закон о бюджете области на 2021 г.</w:t>
            </w:r>
          </w:p>
        </w:tc>
        <w:tc>
          <w:tcPr>
            <w:tcW w:w="1013" w:type="dxa"/>
            <w:shd w:val="clear" w:color="auto" w:fill="auto"/>
            <w:vAlign w:val="center"/>
            <w:hideMark/>
          </w:tcPr>
          <w:p w14:paraId="009F8935" w14:textId="27874463" w:rsidR="004E3904" w:rsidRPr="004E3904" w:rsidRDefault="00810744" w:rsidP="00723408">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proofErr w:type="spellStart"/>
            <w:proofErr w:type="gramStart"/>
            <w:r>
              <w:rPr>
                <w:rFonts w:ascii="Times New Roman" w:eastAsia="Times New Roman" w:hAnsi="Times New Roman" w:cs="Times New Roman"/>
                <w:color w:val="000000"/>
                <w:spacing w:val="-4"/>
                <w:w w:val="98"/>
                <w:sz w:val="18"/>
                <w:szCs w:val="18"/>
                <w:lang w:eastAsia="ru-RU"/>
              </w:rPr>
              <w:t>Законо</w:t>
            </w:r>
            <w:proofErr w:type="spellEnd"/>
            <w:r>
              <w:rPr>
                <w:rFonts w:ascii="Times New Roman" w:eastAsia="Times New Roman" w:hAnsi="Times New Roman" w:cs="Times New Roman"/>
                <w:color w:val="000000"/>
                <w:spacing w:val="-4"/>
                <w:w w:val="98"/>
                <w:sz w:val="18"/>
                <w:szCs w:val="18"/>
                <w:lang w:eastAsia="ru-RU"/>
              </w:rPr>
              <w:t>-проект</w:t>
            </w:r>
            <w:proofErr w:type="gramEnd"/>
          </w:p>
        </w:tc>
        <w:tc>
          <w:tcPr>
            <w:tcW w:w="866" w:type="dxa"/>
            <w:vMerge/>
            <w:vAlign w:val="center"/>
            <w:hideMark/>
          </w:tcPr>
          <w:p w14:paraId="035F7233" w14:textId="77777777" w:rsidR="004E3904" w:rsidRPr="004E3904" w:rsidRDefault="004E3904" w:rsidP="00723408">
            <w:pPr>
              <w:spacing w:after="0" w:line="240" w:lineRule="auto"/>
              <w:ind w:left="-113" w:right="-57"/>
              <w:rPr>
                <w:rFonts w:ascii="Times New Roman" w:eastAsia="Times New Roman" w:hAnsi="Times New Roman" w:cs="Times New Roman"/>
                <w:color w:val="000000"/>
                <w:spacing w:val="-4"/>
                <w:w w:val="98"/>
                <w:sz w:val="18"/>
                <w:szCs w:val="18"/>
                <w:lang w:eastAsia="ru-RU"/>
              </w:rPr>
            </w:pPr>
          </w:p>
        </w:tc>
        <w:tc>
          <w:tcPr>
            <w:tcW w:w="1303" w:type="dxa"/>
            <w:shd w:val="clear" w:color="auto" w:fill="auto"/>
            <w:vAlign w:val="center"/>
            <w:hideMark/>
          </w:tcPr>
          <w:p w14:paraId="7FACCDFD" w14:textId="77777777" w:rsidR="004E3904" w:rsidRPr="004E3904" w:rsidRDefault="004E3904" w:rsidP="00723408">
            <w:pPr>
              <w:spacing w:after="0" w:line="240" w:lineRule="auto"/>
              <w:ind w:left="-113" w:right="-113"/>
              <w:jc w:val="center"/>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Закон о бюджете области на 2021 г.</w:t>
            </w:r>
          </w:p>
        </w:tc>
        <w:tc>
          <w:tcPr>
            <w:tcW w:w="1012" w:type="dxa"/>
            <w:shd w:val="clear" w:color="auto" w:fill="auto"/>
            <w:vAlign w:val="center"/>
            <w:hideMark/>
          </w:tcPr>
          <w:p w14:paraId="236768D8" w14:textId="7946B65C" w:rsidR="004E3904" w:rsidRPr="004E3904" w:rsidRDefault="00810744" w:rsidP="00723408">
            <w:pPr>
              <w:spacing w:after="0" w:line="240" w:lineRule="auto"/>
              <w:ind w:left="-113" w:right="-57"/>
              <w:jc w:val="center"/>
              <w:rPr>
                <w:rFonts w:ascii="Times New Roman" w:eastAsia="Times New Roman" w:hAnsi="Times New Roman" w:cs="Times New Roman"/>
                <w:color w:val="000000"/>
                <w:spacing w:val="-4"/>
                <w:w w:val="98"/>
                <w:sz w:val="18"/>
                <w:szCs w:val="18"/>
                <w:lang w:eastAsia="ru-RU"/>
              </w:rPr>
            </w:pPr>
            <w:proofErr w:type="spellStart"/>
            <w:proofErr w:type="gramStart"/>
            <w:r>
              <w:rPr>
                <w:rFonts w:ascii="Times New Roman" w:eastAsia="Times New Roman" w:hAnsi="Times New Roman" w:cs="Times New Roman"/>
                <w:color w:val="000000"/>
                <w:spacing w:val="-4"/>
                <w:w w:val="98"/>
                <w:sz w:val="18"/>
                <w:szCs w:val="18"/>
                <w:lang w:eastAsia="ru-RU"/>
              </w:rPr>
              <w:t>Законо</w:t>
            </w:r>
            <w:proofErr w:type="spellEnd"/>
            <w:r>
              <w:rPr>
                <w:rFonts w:ascii="Times New Roman" w:eastAsia="Times New Roman" w:hAnsi="Times New Roman" w:cs="Times New Roman"/>
                <w:color w:val="000000"/>
                <w:spacing w:val="-4"/>
                <w:w w:val="98"/>
                <w:sz w:val="18"/>
                <w:szCs w:val="18"/>
                <w:lang w:eastAsia="ru-RU"/>
              </w:rPr>
              <w:t>-проект</w:t>
            </w:r>
            <w:proofErr w:type="gramEnd"/>
          </w:p>
        </w:tc>
        <w:tc>
          <w:tcPr>
            <w:tcW w:w="1010" w:type="dxa"/>
            <w:vMerge/>
            <w:vAlign w:val="center"/>
            <w:hideMark/>
          </w:tcPr>
          <w:p w14:paraId="512DD958" w14:textId="77777777" w:rsidR="004E3904" w:rsidRPr="004E3904" w:rsidRDefault="004E3904" w:rsidP="00723408">
            <w:pPr>
              <w:spacing w:after="0" w:line="240" w:lineRule="auto"/>
              <w:ind w:left="-113" w:right="-57"/>
              <w:rPr>
                <w:rFonts w:ascii="Times New Roman" w:eastAsia="Times New Roman" w:hAnsi="Times New Roman" w:cs="Times New Roman"/>
                <w:color w:val="000000"/>
                <w:spacing w:val="-4"/>
                <w:w w:val="98"/>
                <w:sz w:val="18"/>
                <w:szCs w:val="18"/>
                <w:lang w:eastAsia="ru-RU"/>
              </w:rPr>
            </w:pPr>
          </w:p>
        </w:tc>
      </w:tr>
      <w:tr w:rsidR="004E3904" w:rsidRPr="004E3904" w14:paraId="24638456" w14:textId="77777777" w:rsidTr="004A4D0B">
        <w:trPr>
          <w:trHeight w:val="618"/>
          <w:jc w:val="right"/>
        </w:trPr>
        <w:tc>
          <w:tcPr>
            <w:tcW w:w="2830" w:type="dxa"/>
            <w:shd w:val="clear" w:color="000000" w:fill="E7E6E6"/>
            <w:vAlign w:val="bottom"/>
            <w:hideMark/>
          </w:tcPr>
          <w:p w14:paraId="501706C1"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 xml:space="preserve">Акцизы, </w:t>
            </w:r>
            <w:r w:rsidRPr="004E3904">
              <w:rPr>
                <w:rFonts w:ascii="Times New Roman" w:eastAsia="Times New Roman" w:hAnsi="Times New Roman" w:cs="Times New Roman"/>
                <w:color w:val="000000"/>
                <w:spacing w:val="-4"/>
                <w:w w:val="98"/>
                <w:sz w:val="18"/>
                <w:szCs w:val="18"/>
                <w:lang w:eastAsia="ru-RU"/>
              </w:rPr>
              <w:br/>
              <w:t>из них:</w:t>
            </w:r>
          </w:p>
        </w:tc>
        <w:tc>
          <w:tcPr>
            <w:tcW w:w="1367" w:type="dxa"/>
            <w:shd w:val="clear" w:color="000000" w:fill="E7E6E6"/>
            <w:noWrap/>
            <w:vAlign w:val="center"/>
            <w:hideMark/>
          </w:tcPr>
          <w:p w14:paraId="1E6B0BB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16 047 731,5</w:t>
            </w:r>
          </w:p>
        </w:tc>
        <w:tc>
          <w:tcPr>
            <w:tcW w:w="1013" w:type="dxa"/>
            <w:shd w:val="clear" w:color="000000" w:fill="E7E6E6"/>
            <w:noWrap/>
            <w:vAlign w:val="center"/>
            <w:hideMark/>
          </w:tcPr>
          <w:p w14:paraId="0BACE052"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15 615 751,1</w:t>
            </w:r>
          </w:p>
        </w:tc>
        <w:tc>
          <w:tcPr>
            <w:tcW w:w="866" w:type="dxa"/>
            <w:shd w:val="clear" w:color="000000" w:fill="E7E6E6"/>
            <w:noWrap/>
            <w:vAlign w:val="center"/>
            <w:hideMark/>
          </w:tcPr>
          <w:p w14:paraId="02265ACC"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-431 980,4</w:t>
            </w:r>
          </w:p>
        </w:tc>
        <w:tc>
          <w:tcPr>
            <w:tcW w:w="1303" w:type="dxa"/>
            <w:shd w:val="clear" w:color="000000" w:fill="E7E6E6"/>
            <w:noWrap/>
            <w:vAlign w:val="center"/>
            <w:hideMark/>
          </w:tcPr>
          <w:p w14:paraId="1475EFA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17 327 251,6</w:t>
            </w:r>
          </w:p>
        </w:tc>
        <w:tc>
          <w:tcPr>
            <w:tcW w:w="1012" w:type="dxa"/>
            <w:shd w:val="clear" w:color="000000" w:fill="E7E6E6"/>
            <w:noWrap/>
            <w:vAlign w:val="center"/>
            <w:hideMark/>
          </w:tcPr>
          <w:p w14:paraId="0B7754E1"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16 290 917,3</w:t>
            </w:r>
          </w:p>
        </w:tc>
        <w:tc>
          <w:tcPr>
            <w:tcW w:w="1010" w:type="dxa"/>
            <w:shd w:val="clear" w:color="000000" w:fill="E7E6E6"/>
            <w:noWrap/>
            <w:vAlign w:val="center"/>
            <w:hideMark/>
          </w:tcPr>
          <w:p w14:paraId="7BFFEE3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-1 036 334,3</w:t>
            </w:r>
          </w:p>
        </w:tc>
      </w:tr>
      <w:tr w:rsidR="004E3904" w:rsidRPr="004E3904" w14:paraId="1A5B5176" w14:textId="77777777" w:rsidTr="004A4D0B">
        <w:trPr>
          <w:trHeight w:val="202"/>
          <w:jc w:val="right"/>
        </w:trPr>
        <w:tc>
          <w:tcPr>
            <w:tcW w:w="2830" w:type="dxa"/>
            <w:shd w:val="clear" w:color="auto" w:fill="auto"/>
            <w:noWrap/>
            <w:vAlign w:val="bottom"/>
            <w:hideMark/>
          </w:tcPr>
          <w:p w14:paraId="18D8998E"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Акцизы на пиво</w:t>
            </w:r>
          </w:p>
        </w:tc>
        <w:tc>
          <w:tcPr>
            <w:tcW w:w="1367" w:type="dxa"/>
            <w:shd w:val="clear" w:color="auto" w:fill="auto"/>
            <w:noWrap/>
            <w:vAlign w:val="bottom"/>
            <w:hideMark/>
          </w:tcPr>
          <w:p w14:paraId="4887ACE9"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8 927 084,9</w:t>
            </w:r>
          </w:p>
        </w:tc>
        <w:tc>
          <w:tcPr>
            <w:tcW w:w="1013" w:type="dxa"/>
            <w:shd w:val="clear" w:color="auto" w:fill="auto"/>
            <w:noWrap/>
            <w:vAlign w:val="bottom"/>
            <w:hideMark/>
          </w:tcPr>
          <w:p w14:paraId="180135B2"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8 923 786,4</w:t>
            </w:r>
          </w:p>
        </w:tc>
        <w:tc>
          <w:tcPr>
            <w:tcW w:w="866" w:type="dxa"/>
            <w:shd w:val="clear" w:color="auto" w:fill="auto"/>
            <w:noWrap/>
            <w:vAlign w:val="bottom"/>
            <w:hideMark/>
          </w:tcPr>
          <w:p w14:paraId="0175B959"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-3 298,5</w:t>
            </w:r>
          </w:p>
        </w:tc>
        <w:tc>
          <w:tcPr>
            <w:tcW w:w="1303" w:type="dxa"/>
            <w:shd w:val="clear" w:color="auto" w:fill="auto"/>
            <w:noWrap/>
            <w:vAlign w:val="bottom"/>
            <w:hideMark/>
          </w:tcPr>
          <w:p w14:paraId="1C5429FB"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9 300 159,0</w:t>
            </w:r>
          </w:p>
        </w:tc>
        <w:tc>
          <w:tcPr>
            <w:tcW w:w="1012" w:type="dxa"/>
            <w:shd w:val="clear" w:color="auto" w:fill="auto"/>
            <w:noWrap/>
            <w:vAlign w:val="bottom"/>
            <w:hideMark/>
          </w:tcPr>
          <w:p w14:paraId="63DB40D3"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9 325 792,8</w:t>
            </w:r>
          </w:p>
        </w:tc>
        <w:tc>
          <w:tcPr>
            <w:tcW w:w="1010" w:type="dxa"/>
            <w:shd w:val="clear" w:color="auto" w:fill="auto"/>
            <w:noWrap/>
            <w:vAlign w:val="bottom"/>
            <w:hideMark/>
          </w:tcPr>
          <w:p w14:paraId="6D52BE4C"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25 633,8</w:t>
            </w:r>
          </w:p>
        </w:tc>
      </w:tr>
      <w:tr w:rsidR="004E3904" w:rsidRPr="004E3904" w14:paraId="444F6DCA" w14:textId="77777777" w:rsidTr="004A4D0B">
        <w:trPr>
          <w:trHeight w:val="293"/>
          <w:jc w:val="right"/>
        </w:trPr>
        <w:tc>
          <w:tcPr>
            <w:tcW w:w="2830" w:type="dxa"/>
            <w:shd w:val="clear" w:color="auto" w:fill="auto"/>
            <w:vAlign w:val="bottom"/>
            <w:hideMark/>
          </w:tcPr>
          <w:p w14:paraId="3C50EC6A"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 xml:space="preserve">Акцизы на сидр, </w:t>
            </w:r>
            <w:proofErr w:type="spellStart"/>
            <w:r w:rsidRPr="004E3904">
              <w:rPr>
                <w:rFonts w:ascii="Times New Roman" w:eastAsia="Times New Roman" w:hAnsi="Times New Roman" w:cs="Times New Roman"/>
                <w:color w:val="000000"/>
                <w:spacing w:val="-4"/>
                <w:w w:val="98"/>
                <w:sz w:val="18"/>
                <w:szCs w:val="18"/>
                <w:lang w:eastAsia="ru-RU"/>
              </w:rPr>
              <w:t>пуаре</w:t>
            </w:r>
            <w:proofErr w:type="spellEnd"/>
            <w:r w:rsidRPr="004E3904">
              <w:rPr>
                <w:rFonts w:ascii="Times New Roman" w:eastAsia="Times New Roman" w:hAnsi="Times New Roman" w:cs="Times New Roman"/>
                <w:color w:val="000000"/>
                <w:spacing w:val="-4"/>
                <w:w w:val="98"/>
                <w:sz w:val="18"/>
                <w:szCs w:val="18"/>
                <w:lang w:eastAsia="ru-RU"/>
              </w:rPr>
              <w:t>, медовуху</w:t>
            </w:r>
          </w:p>
        </w:tc>
        <w:tc>
          <w:tcPr>
            <w:tcW w:w="1367" w:type="dxa"/>
            <w:shd w:val="clear" w:color="auto" w:fill="auto"/>
            <w:noWrap/>
            <w:vAlign w:val="bottom"/>
            <w:hideMark/>
          </w:tcPr>
          <w:p w14:paraId="078A8277"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20 487,6</w:t>
            </w:r>
          </w:p>
        </w:tc>
        <w:tc>
          <w:tcPr>
            <w:tcW w:w="1013" w:type="dxa"/>
            <w:shd w:val="clear" w:color="auto" w:fill="auto"/>
            <w:noWrap/>
            <w:vAlign w:val="bottom"/>
            <w:hideMark/>
          </w:tcPr>
          <w:p w14:paraId="67BBCE8B"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13 717,8</w:t>
            </w:r>
          </w:p>
        </w:tc>
        <w:tc>
          <w:tcPr>
            <w:tcW w:w="866" w:type="dxa"/>
            <w:shd w:val="clear" w:color="auto" w:fill="auto"/>
            <w:noWrap/>
            <w:vAlign w:val="bottom"/>
            <w:hideMark/>
          </w:tcPr>
          <w:p w14:paraId="2AEF96FE"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-6 769,8</w:t>
            </w:r>
          </w:p>
        </w:tc>
        <w:tc>
          <w:tcPr>
            <w:tcW w:w="1303" w:type="dxa"/>
            <w:shd w:val="clear" w:color="auto" w:fill="auto"/>
            <w:noWrap/>
            <w:vAlign w:val="bottom"/>
            <w:hideMark/>
          </w:tcPr>
          <w:p w14:paraId="448068B6"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21 341,7</w:t>
            </w:r>
          </w:p>
        </w:tc>
        <w:tc>
          <w:tcPr>
            <w:tcW w:w="1012" w:type="dxa"/>
            <w:shd w:val="clear" w:color="auto" w:fill="auto"/>
            <w:noWrap/>
            <w:vAlign w:val="bottom"/>
            <w:hideMark/>
          </w:tcPr>
          <w:p w14:paraId="0D3DF12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14 863,8</w:t>
            </w:r>
          </w:p>
        </w:tc>
        <w:tc>
          <w:tcPr>
            <w:tcW w:w="1010" w:type="dxa"/>
            <w:shd w:val="clear" w:color="auto" w:fill="auto"/>
            <w:noWrap/>
            <w:vAlign w:val="bottom"/>
            <w:hideMark/>
          </w:tcPr>
          <w:p w14:paraId="1C5A03C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-6 477,9</w:t>
            </w:r>
          </w:p>
        </w:tc>
      </w:tr>
      <w:tr w:rsidR="004E3904" w:rsidRPr="004E3904" w14:paraId="46F99899" w14:textId="77777777" w:rsidTr="004A4D0B">
        <w:trPr>
          <w:trHeight w:val="515"/>
          <w:jc w:val="right"/>
        </w:trPr>
        <w:tc>
          <w:tcPr>
            <w:tcW w:w="2830" w:type="dxa"/>
            <w:shd w:val="clear" w:color="auto" w:fill="auto"/>
            <w:vAlign w:val="bottom"/>
            <w:hideMark/>
          </w:tcPr>
          <w:p w14:paraId="3633B454"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 xml:space="preserve">Доходы от уплаты акцизов на этиловый спирт из пищевого сырья </w:t>
            </w:r>
          </w:p>
        </w:tc>
        <w:tc>
          <w:tcPr>
            <w:tcW w:w="1367" w:type="dxa"/>
            <w:shd w:val="clear" w:color="auto" w:fill="auto"/>
            <w:noWrap/>
            <w:vAlign w:val="bottom"/>
            <w:hideMark/>
          </w:tcPr>
          <w:p w14:paraId="7899BB1A"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47 368,8</w:t>
            </w:r>
          </w:p>
        </w:tc>
        <w:tc>
          <w:tcPr>
            <w:tcW w:w="1013" w:type="dxa"/>
            <w:shd w:val="clear" w:color="auto" w:fill="auto"/>
            <w:noWrap/>
            <w:vAlign w:val="bottom"/>
            <w:hideMark/>
          </w:tcPr>
          <w:p w14:paraId="3CABC450"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40 127,8</w:t>
            </w:r>
          </w:p>
        </w:tc>
        <w:tc>
          <w:tcPr>
            <w:tcW w:w="866" w:type="dxa"/>
            <w:shd w:val="clear" w:color="auto" w:fill="auto"/>
            <w:noWrap/>
            <w:vAlign w:val="bottom"/>
            <w:hideMark/>
          </w:tcPr>
          <w:p w14:paraId="2497123F"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-7 240,9</w:t>
            </w:r>
          </w:p>
        </w:tc>
        <w:tc>
          <w:tcPr>
            <w:tcW w:w="1303" w:type="dxa"/>
            <w:shd w:val="clear" w:color="auto" w:fill="auto"/>
            <w:noWrap/>
            <w:vAlign w:val="bottom"/>
            <w:hideMark/>
          </w:tcPr>
          <w:p w14:paraId="52A3C4EA"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50 090,7</w:t>
            </w:r>
          </w:p>
        </w:tc>
        <w:tc>
          <w:tcPr>
            <w:tcW w:w="1012" w:type="dxa"/>
            <w:shd w:val="clear" w:color="auto" w:fill="auto"/>
            <w:noWrap/>
            <w:vAlign w:val="bottom"/>
            <w:hideMark/>
          </w:tcPr>
          <w:p w14:paraId="6FC63087"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42 375,0</w:t>
            </w:r>
          </w:p>
        </w:tc>
        <w:tc>
          <w:tcPr>
            <w:tcW w:w="1010" w:type="dxa"/>
            <w:shd w:val="clear" w:color="auto" w:fill="auto"/>
            <w:noWrap/>
            <w:vAlign w:val="bottom"/>
            <w:hideMark/>
          </w:tcPr>
          <w:p w14:paraId="21409DFC"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-7 715,7</w:t>
            </w:r>
          </w:p>
        </w:tc>
      </w:tr>
      <w:tr w:rsidR="004E3904" w:rsidRPr="004E3904" w14:paraId="507C08CB" w14:textId="77777777" w:rsidTr="004A4D0B">
        <w:trPr>
          <w:trHeight w:val="497"/>
          <w:jc w:val="right"/>
        </w:trPr>
        <w:tc>
          <w:tcPr>
            <w:tcW w:w="2830" w:type="dxa"/>
            <w:shd w:val="clear" w:color="auto" w:fill="auto"/>
            <w:vAlign w:val="bottom"/>
            <w:hideMark/>
          </w:tcPr>
          <w:p w14:paraId="70600D6E"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 xml:space="preserve">Доходы от уплаты акцизов на этиловый спирт из непищевого сырья </w:t>
            </w:r>
          </w:p>
        </w:tc>
        <w:tc>
          <w:tcPr>
            <w:tcW w:w="1367" w:type="dxa"/>
            <w:shd w:val="clear" w:color="auto" w:fill="auto"/>
            <w:noWrap/>
            <w:vAlign w:val="bottom"/>
            <w:hideMark/>
          </w:tcPr>
          <w:p w14:paraId="2FF02BB9"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21 098,3</w:t>
            </w:r>
          </w:p>
        </w:tc>
        <w:tc>
          <w:tcPr>
            <w:tcW w:w="1013" w:type="dxa"/>
            <w:shd w:val="clear" w:color="auto" w:fill="auto"/>
            <w:noWrap/>
            <w:vAlign w:val="bottom"/>
            <w:hideMark/>
          </w:tcPr>
          <w:p w14:paraId="2BCA2E4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10 889,5</w:t>
            </w:r>
          </w:p>
        </w:tc>
        <w:tc>
          <w:tcPr>
            <w:tcW w:w="866" w:type="dxa"/>
            <w:shd w:val="clear" w:color="auto" w:fill="auto"/>
            <w:noWrap/>
            <w:vAlign w:val="bottom"/>
            <w:hideMark/>
          </w:tcPr>
          <w:p w14:paraId="065F0E80"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-10 208,8</w:t>
            </w:r>
          </w:p>
        </w:tc>
        <w:tc>
          <w:tcPr>
            <w:tcW w:w="1303" w:type="dxa"/>
            <w:shd w:val="clear" w:color="auto" w:fill="auto"/>
            <w:noWrap/>
            <w:vAlign w:val="bottom"/>
            <w:hideMark/>
          </w:tcPr>
          <w:p w14:paraId="07BC05C4"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24 237,8</w:t>
            </w:r>
          </w:p>
        </w:tc>
        <w:tc>
          <w:tcPr>
            <w:tcW w:w="1012" w:type="dxa"/>
            <w:shd w:val="clear" w:color="auto" w:fill="auto"/>
            <w:noWrap/>
            <w:vAlign w:val="bottom"/>
            <w:hideMark/>
          </w:tcPr>
          <w:p w14:paraId="5335EBB2"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11 499,3</w:t>
            </w:r>
          </w:p>
        </w:tc>
        <w:tc>
          <w:tcPr>
            <w:tcW w:w="1010" w:type="dxa"/>
            <w:shd w:val="clear" w:color="auto" w:fill="auto"/>
            <w:noWrap/>
            <w:vAlign w:val="bottom"/>
            <w:hideMark/>
          </w:tcPr>
          <w:p w14:paraId="569FEE0B"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-12 738,4</w:t>
            </w:r>
          </w:p>
        </w:tc>
      </w:tr>
      <w:tr w:rsidR="004E3904" w:rsidRPr="004E3904" w14:paraId="06E874C1" w14:textId="77777777" w:rsidTr="004A4D0B">
        <w:trPr>
          <w:trHeight w:val="272"/>
          <w:jc w:val="right"/>
        </w:trPr>
        <w:tc>
          <w:tcPr>
            <w:tcW w:w="2830" w:type="dxa"/>
            <w:shd w:val="clear" w:color="auto" w:fill="auto"/>
            <w:vAlign w:val="bottom"/>
            <w:hideMark/>
          </w:tcPr>
          <w:p w14:paraId="416A23B2" w14:textId="77777777" w:rsidR="004E3904" w:rsidRPr="004E3904" w:rsidRDefault="004E3904" w:rsidP="00723408">
            <w:pPr>
              <w:spacing w:after="0" w:line="240" w:lineRule="auto"/>
              <w:ind w:left="-113" w:right="-113"/>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Доходы от уплаты акцизов на нефтепродукты</w:t>
            </w:r>
          </w:p>
        </w:tc>
        <w:tc>
          <w:tcPr>
            <w:tcW w:w="1367" w:type="dxa"/>
            <w:shd w:val="clear" w:color="auto" w:fill="auto"/>
            <w:noWrap/>
            <w:vAlign w:val="bottom"/>
            <w:hideMark/>
          </w:tcPr>
          <w:p w14:paraId="1FE8363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5 236 047,6</w:t>
            </w:r>
          </w:p>
        </w:tc>
        <w:tc>
          <w:tcPr>
            <w:tcW w:w="1013" w:type="dxa"/>
            <w:shd w:val="clear" w:color="auto" w:fill="auto"/>
            <w:noWrap/>
            <w:vAlign w:val="bottom"/>
            <w:hideMark/>
          </w:tcPr>
          <w:p w14:paraId="2A757C1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4 744 552,4</w:t>
            </w:r>
          </w:p>
        </w:tc>
        <w:tc>
          <w:tcPr>
            <w:tcW w:w="866" w:type="dxa"/>
            <w:shd w:val="clear" w:color="auto" w:fill="auto"/>
            <w:noWrap/>
            <w:vAlign w:val="bottom"/>
            <w:hideMark/>
          </w:tcPr>
          <w:p w14:paraId="7825F4C3"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-491 495,2</w:t>
            </w:r>
          </w:p>
        </w:tc>
        <w:tc>
          <w:tcPr>
            <w:tcW w:w="1303" w:type="dxa"/>
            <w:shd w:val="clear" w:color="auto" w:fill="auto"/>
            <w:noWrap/>
            <w:vAlign w:val="bottom"/>
            <w:hideMark/>
          </w:tcPr>
          <w:p w14:paraId="632BD373"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5 923 672,8</w:t>
            </w:r>
          </w:p>
        </w:tc>
        <w:tc>
          <w:tcPr>
            <w:tcW w:w="1012" w:type="dxa"/>
            <w:shd w:val="clear" w:color="auto" w:fill="auto"/>
            <w:noWrap/>
            <w:vAlign w:val="bottom"/>
            <w:hideMark/>
          </w:tcPr>
          <w:p w14:paraId="235BD14C"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4 781 387,5</w:t>
            </w:r>
          </w:p>
        </w:tc>
        <w:tc>
          <w:tcPr>
            <w:tcW w:w="1010" w:type="dxa"/>
            <w:shd w:val="clear" w:color="auto" w:fill="auto"/>
            <w:noWrap/>
            <w:vAlign w:val="bottom"/>
            <w:hideMark/>
          </w:tcPr>
          <w:p w14:paraId="14792761"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-1 142 285,3</w:t>
            </w:r>
          </w:p>
        </w:tc>
      </w:tr>
      <w:tr w:rsidR="004E3904" w:rsidRPr="004E3904" w14:paraId="24799757" w14:textId="77777777" w:rsidTr="004A4D0B">
        <w:trPr>
          <w:trHeight w:val="625"/>
          <w:jc w:val="right"/>
        </w:trPr>
        <w:tc>
          <w:tcPr>
            <w:tcW w:w="2830" w:type="dxa"/>
            <w:shd w:val="clear" w:color="000000" w:fill="E7E6E6"/>
            <w:vAlign w:val="center"/>
            <w:hideMark/>
          </w:tcPr>
          <w:p w14:paraId="1ED3D2A7" w14:textId="77777777" w:rsidR="004E3904" w:rsidRPr="004E3904" w:rsidRDefault="004E3904" w:rsidP="00723408">
            <w:pPr>
              <w:spacing w:after="0" w:line="240" w:lineRule="auto"/>
              <w:ind w:left="-113" w:right="-113"/>
              <w:rPr>
                <w:rFonts w:ascii="Times New Roman" w:eastAsia="Times New Roman" w:hAnsi="Times New Roman" w:cs="Times New Roman"/>
                <w:spacing w:val="-4"/>
                <w:w w:val="98"/>
                <w:sz w:val="18"/>
                <w:szCs w:val="18"/>
                <w:lang w:eastAsia="ru-RU"/>
              </w:rPr>
            </w:pPr>
            <w:r w:rsidRPr="004E3904">
              <w:rPr>
                <w:rFonts w:ascii="Times New Roman" w:eastAsia="Times New Roman" w:hAnsi="Times New Roman" w:cs="Times New Roman"/>
                <w:spacing w:val="-4"/>
                <w:w w:val="98"/>
                <w:sz w:val="18"/>
                <w:szCs w:val="18"/>
                <w:lang w:eastAsia="ru-RU"/>
              </w:rPr>
              <w:t xml:space="preserve">Налоги, сборы и регулярные платежи за пользование природными ресурсами, </w:t>
            </w:r>
            <w:r w:rsidRPr="004E3904">
              <w:rPr>
                <w:rFonts w:ascii="Times New Roman" w:eastAsia="Times New Roman" w:hAnsi="Times New Roman" w:cs="Times New Roman"/>
                <w:spacing w:val="-4"/>
                <w:w w:val="98"/>
                <w:sz w:val="18"/>
                <w:szCs w:val="18"/>
                <w:lang w:eastAsia="ru-RU"/>
              </w:rPr>
              <w:br/>
              <w:t>в том числе:</w:t>
            </w:r>
          </w:p>
        </w:tc>
        <w:tc>
          <w:tcPr>
            <w:tcW w:w="1367" w:type="dxa"/>
            <w:shd w:val="clear" w:color="000000" w:fill="E7E6E6"/>
            <w:noWrap/>
            <w:vAlign w:val="center"/>
            <w:hideMark/>
          </w:tcPr>
          <w:p w14:paraId="3F450F88"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273 839,6</w:t>
            </w:r>
          </w:p>
        </w:tc>
        <w:tc>
          <w:tcPr>
            <w:tcW w:w="1013" w:type="dxa"/>
            <w:shd w:val="clear" w:color="000000" w:fill="E7E6E6"/>
            <w:noWrap/>
            <w:vAlign w:val="center"/>
            <w:hideMark/>
          </w:tcPr>
          <w:p w14:paraId="5771BD74"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231 006,9</w:t>
            </w:r>
          </w:p>
        </w:tc>
        <w:tc>
          <w:tcPr>
            <w:tcW w:w="866" w:type="dxa"/>
            <w:shd w:val="clear" w:color="000000" w:fill="E7E6E6"/>
            <w:noWrap/>
            <w:vAlign w:val="center"/>
            <w:hideMark/>
          </w:tcPr>
          <w:p w14:paraId="417DFE4E"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-42 832,7</w:t>
            </w:r>
          </w:p>
        </w:tc>
        <w:tc>
          <w:tcPr>
            <w:tcW w:w="1303" w:type="dxa"/>
            <w:shd w:val="clear" w:color="000000" w:fill="E7E6E6"/>
            <w:noWrap/>
            <w:vAlign w:val="center"/>
            <w:hideMark/>
          </w:tcPr>
          <w:p w14:paraId="1991D72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301 725,9</w:t>
            </w:r>
          </w:p>
        </w:tc>
        <w:tc>
          <w:tcPr>
            <w:tcW w:w="1012" w:type="dxa"/>
            <w:shd w:val="clear" w:color="000000" w:fill="E7E6E6"/>
            <w:noWrap/>
            <w:vAlign w:val="center"/>
            <w:hideMark/>
          </w:tcPr>
          <w:p w14:paraId="0AF773FF"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239 520,1</w:t>
            </w:r>
          </w:p>
        </w:tc>
        <w:tc>
          <w:tcPr>
            <w:tcW w:w="1010" w:type="dxa"/>
            <w:shd w:val="clear" w:color="000000" w:fill="E7E6E6"/>
            <w:noWrap/>
            <w:vAlign w:val="center"/>
            <w:hideMark/>
          </w:tcPr>
          <w:p w14:paraId="5229B109"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-62 205,8</w:t>
            </w:r>
          </w:p>
        </w:tc>
      </w:tr>
      <w:tr w:rsidR="004E3904" w:rsidRPr="004E3904" w14:paraId="5438B3A8" w14:textId="77777777" w:rsidTr="004A4D0B">
        <w:trPr>
          <w:trHeight w:val="336"/>
          <w:jc w:val="right"/>
        </w:trPr>
        <w:tc>
          <w:tcPr>
            <w:tcW w:w="2830" w:type="dxa"/>
            <w:shd w:val="clear" w:color="auto" w:fill="auto"/>
            <w:vAlign w:val="center"/>
            <w:hideMark/>
          </w:tcPr>
          <w:p w14:paraId="67AF9BC0" w14:textId="77777777" w:rsidR="004E3904" w:rsidRPr="004E3904" w:rsidRDefault="004E3904" w:rsidP="00723408">
            <w:pPr>
              <w:spacing w:after="0" w:line="240" w:lineRule="auto"/>
              <w:ind w:left="-113" w:right="-113"/>
              <w:rPr>
                <w:rFonts w:ascii="Times New Roman" w:eastAsia="Times New Roman" w:hAnsi="Times New Roman" w:cs="Times New Roman"/>
                <w:spacing w:val="-4"/>
                <w:w w:val="98"/>
                <w:sz w:val="18"/>
                <w:szCs w:val="18"/>
                <w:lang w:eastAsia="ru-RU"/>
              </w:rPr>
            </w:pPr>
            <w:r w:rsidRPr="004E3904">
              <w:rPr>
                <w:rFonts w:ascii="Times New Roman" w:eastAsia="Times New Roman" w:hAnsi="Times New Roman" w:cs="Times New Roman"/>
                <w:spacing w:val="-4"/>
                <w:w w:val="98"/>
                <w:sz w:val="18"/>
                <w:szCs w:val="18"/>
                <w:lang w:eastAsia="ru-RU"/>
              </w:rPr>
              <w:t>Налог на добычу полезных ископаемых</w:t>
            </w:r>
          </w:p>
        </w:tc>
        <w:tc>
          <w:tcPr>
            <w:tcW w:w="1367" w:type="dxa"/>
            <w:shd w:val="clear" w:color="auto" w:fill="auto"/>
            <w:noWrap/>
            <w:vAlign w:val="bottom"/>
            <w:hideMark/>
          </w:tcPr>
          <w:p w14:paraId="56F708F6"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272 491,4</w:t>
            </w:r>
          </w:p>
        </w:tc>
        <w:tc>
          <w:tcPr>
            <w:tcW w:w="1013" w:type="dxa"/>
            <w:shd w:val="clear" w:color="auto" w:fill="auto"/>
            <w:noWrap/>
            <w:vAlign w:val="bottom"/>
            <w:hideMark/>
          </w:tcPr>
          <w:p w14:paraId="5E1FBB01"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229 756,2</w:t>
            </w:r>
          </w:p>
        </w:tc>
        <w:tc>
          <w:tcPr>
            <w:tcW w:w="866" w:type="dxa"/>
            <w:shd w:val="clear" w:color="auto" w:fill="auto"/>
            <w:noWrap/>
            <w:vAlign w:val="bottom"/>
            <w:hideMark/>
          </w:tcPr>
          <w:p w14:paraId="0255F5F3"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-42 735,3</w:t>
            </w:r>
          </w:p>
        </w:tc>
        <w:tc>
          <w:tcPr>
            <w:tcW w:w="1303" w:type="dxa"/>
            <w:shd w:val="clear" w:color="auto" w:fill="auto"/>
            <w:noWrap/>
            <w:vAlign w:val="bottom"/>
            <w:hideMark/>
          </w:tcPr>
          <w:p w14:paraId="36C923E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300 340,0</w:t>
            </w:r>
          </w:p>
        </w:tc>
        <w:tc>
          <w:tcPr>
            <w:tcW w:w="1012" w:type="dxa"/>
            <w:shd w:val="clear" w:color="auto" w:fill="auto"/>
            <w:noWrap/>
            <w:vAlign w:val="bottom"/>
            <w:hideMark/>
          </w:tcPr>
          <w:p w14:paraId="5D73FADD"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238 241,9</w:t>
            </w:r>
          </w:p>
        </w:tc>
        <w:tc>
          <w:tcPr>
            <w:tcW w:w="1010" w:type="dxa"/>
            <w:shd w:val="clear" w:color="auto" w:fill="auto"/>
            <w:noWrap/>
            <w:vAlign w:val="bottom"/>
            <w:hideMark/>
          </w:tcPr>
          <w:p w14:paraId="456BD0DE"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-62 098,2</w:t>
            </w:r>
          </w:p>
        </w:tc>
      </w:tr>
      <w:tr w:rsidR="004E3904" w:rsidRPr="004E3904" w14:paraId="1668E917" w14:textId="77777777" w:rsidTr="004A4D0B">
        <w:trPr>
          <w:trHeight w:val="668"/>
          <w:jc w:val="right"/>
        </w:trPr>
        <w:tc>
          <w:tcPr>
            <w:tcW w:w="2830" w:type="dxa"/>
            <w:shd w:val="clear" w:color="auto" w:fill="auto"/>
            <w:vAlign w:val="center"/>
            <w:hideMark/>
          </w:tcPr>
          <w:p w14:paraId="1E511A29" w14:textId="77777777" w:rsidR="004E3904" w:rsidRPr="004E3904" w:rsidRDefault="004E3904" w:rsidP="00723408">
            <w:pPr>
              <w:spacing w:after="0" w:line="240" w:lineRule="auto"/>
              <w:ind w:left="-113" w:right="-113"/>
              <w:rPr>
                <w:rFonts w:ascii="Times New Roman" w:eastAsia="Times New Roman" w:hAnsi="Times New Roman" w:cs="Times New Roman"/>
                <w:spacing w:val="-4"/>
                <w:w w:val="98"/>
                <w:sz w:val="18"/>
                <w:szCs w:val="18"/>
                <w:lang w:eastAsia="ru-RU"/>
              </w:rPr>
            </w:pPr>
            <w:r w:rsidRPr="004E3904">
              <w:rPr>
                <w:rFonts w:ascii="Times New Roman" w:eastAsia="Times New Roman" w:hAnsi="Times New Roman" w:cs="Times New Roman"/>
                <w:spacing w:val="-4"/>
                <w:w w:val="98"/>
                <w:sz w:val="18"/>
                <w:szCs w:val="18"/>
                <w:lang w:eastAsia="ru-RU"/>
              </w:rPr>
              <w:t>Сборы за пользование объектами животного мира и за пользование объектами водных биологических ресурсов</w:t>
            </w:r>
          </w:p>
        </w:tc>
        <w:tc>
          <w:tcPr>
            <w:tcW w:w="1367" w:type="dxa"/>
            <w:shd w:val="clear" w:color="auto" w:fill="auto"/>
            <w:noWrap/>
            <w:vAlign w:val="bottom"/>
            <w:hideMark/>
          </w:tcPr>
          <w:p w14:paraId="2865607A"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1 348,2</w:t>
            </w:r>
          </w:p>
        </w:tc>
        <w:tc>
          <w:tcPr>
            <w:tcW w:w="1013" w:type="dxa"/>
            <w:shd w:val="clear" w:color="auto" w:fill="auto"/>
            <w:noWrap/>
            <w:vAlign w:val="bottom"/>
            <w:hideMark/>
          </w:tcPr>
          <w:p w14:paraId="5432EA08"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1 250,7</w:t>
            </w:r>
          </w:p>
        </w:tc>
        <w:tc>
          <w:tcPr>
            <w:tcW w:w="866" w:type="dxa"/>
            <w:shd w:val="clear" w:color="auto" w:fill="auto"/>
            <w:noWrap/>
            <w:vAlign w:val="bottom"/>
            <w:hideMark/>
          </w:tcPr>
          <w:p w14:paraId="40491A36"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-97,5</w:t>
            </w:r>
          </w:p>
        </w:tc>
        <w:tc>
          <w:tcPr>
            <w:tcW w:w="1303" w:type="dxa"/>
            <w:shd w:val="clear" w:color="auto" w:fill="auto"/>
            <w:noWrap/>
            <w:vAlign w:val="bottom"/>
            <w:hideMark/>
          </w:tcPr>
          <w:p w14:paraId="4F7F5345"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1 385,9</w:t>
            </w:r>
          </w:p>
        </w:tc>
        <w:tc>
          <w:tcPr>
            <w:tcW w:w="1012" w:type="dxa"/>
            <w:shd w:val="clear" w:color="auto" w:fill="auto"/>
            <w:noWrap/>
            <w:vAlign w:val="bottom"/>
            <w:hideMark/>
          </w:tcPr>
          <w:p w14:paraId="62AA6D1C"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1 278,3</w:t>
            </w:r>
          </w:p>
        </w:tc>
        <w:tc>
          <w:tcPr>
            <w:tcW w:w="1010" w:type="dxa"/>
            <w:shd w:val="clear" w:color="auto" w:fill="auto"/>
            <w:noWrap/>
            <w:vAlign w:val="bottom"/>
            <w:hideMark/>
          </w:tcPr>
          <w:p w14:paraId="3F28AC5B" w14:textId="77777777" w:rsidR="004E3904" w:rsidRPr="004E3904" w:rsidRDefault="004E3904" w:rsidP="00723408">
            <w:pPr>
              <w:spacing w:after="0" w:line="240" w:lineRule="auto"/>
              <w:ind w:left="-113" w:right="-57"/>
              <w:jc w:val="right"/>
              <w:rPr>
                <w:rFonts w:ascii="Times New Roman" w:eastAsia="Times New Roman" w:hAnsi="Times New Roman" w:cs="Times New Roman"/>
                <w:color w:val="000000"/>
                <w:spacing w:val="-4"/>
                <w:w w:val="98"/>
                <w:sz w:val="18"/>
                <w:szCs w:val="18"/>
                <w:lang w:eastAsia="ru-RU"/>
              </w:rPr>
            </w:pPr>
            <w:r w:rsidRPr="004E3904">
              <w:rPr>
                <w:rFonts w:ascii="Times New Roman" w:eastAsia="Times New Roman" w:hAnsi="Times New Roman" w:cs="Times New Roman"/>
                <w:color w:val="000000"/>
                <w:spacing w:val="-4"/>
                <w:w w:val="98"/>
                <w:sz w:val="18"/>
                <w:szCs w:val="18"/>
                <w:lang w:eastAsia="ru-RU"/>
              </w:rPr>
              <w:t>-107,6</w:t>
            </w:r>
          </w:p>
        </w:tc>
      </w:tr>
    </w:tbl>
    <w:p w14:paraId="48DEECBC" w14:textId="54790094" w:rsidR="00C51AEF" w:rsidRDefault="00C51AEF" w:rsidP="004A4D0B">
      <w:pPr>
        <w:widowControl w:val="0"/>
        <w:spacing w:before="240" w:after="0" w:line="240" w:lineRule="auto"/>
        <w:ind w:firstLine="709"/>
        <w:jc w:val="both"/>
        <w:rPr>
          <w:rFonts w:ascii="Times New Roman" w:eastAsia="Calibri" w:hAnsi="Times New Roman" w:cs="Times New Roman"/>
          <w:spacing w:val="-4"/>
          <w:sz w:val="28"/>
        </w:rPr>
      </w:pPr>
      <w:proofErr w:type="spellStart"/>
      <w:r w:rsidRPr="00E35EA0">
        <w:rPr>
          <w:rFonts w:ascii="Times New Roman" w:eastAsia="Calibri" w:hAnsi="Times New Roman" w:cs="Times New Roman"/>
          <w:spacing w:val="-4"/>
          <w:sz w:val="28"/>
        </w:rPr>
        <w:t>Бюджетообразующими</w:t>
      </w:r>
      <w:proofErr w:type="spellEnd"/>
      <w:r w:rsidRPr="00E35EA0">
        <w:rPr>
          <w:rFonts w:ascii="Times New Roman" w:eastAsia="Calibri" w:hAnsi="Times New Roman" w:cs="Times New Roman"/>
          <w:spacing w:val="-4"/>
          <w:sz w:val="28"/>
        </w:rPr>
        <w:t xml:space="preserve"> налогами, как и в предыдущие годы, являются налог на прибыль организаций, налог на доходы физических лиц, акцизы, налог на имущество организаций. В объеме налоговых доходов их доля в 202</w:t>
      </w:r>
      <w:r w:rsidR="004A0979" w:rsidRPr="00E35EA0">
        <w:rPr>
          <w:rFonts w:ascii="Times New Roman" w:eastAsia="Calibri" w:hAnsi="Times New Roman" w:cs="Times New Roman"/>
          <w:spacing w:val="-4"/>
          <w:sz w:val="28"/>
        </w:rPr>
        <w:t>2</w:t>
      </w:r>
      <w:r w:rsidRPr="00E35EA0">
        <w:rPr>
          <w:rFonts w:ascii="Times New Roman" w:eastAsia="Calibri" w:hAnsi="Times New Roman" w:cs="Times New Roman"/>
          <w:spacing w:val="-4"/>
          <w:sz w:val="28"/>
        </w:rPr>
        <w:t xml:space="preserve"> году составит </w:t>
      </w:r>
      <w:r w:rsidR="004A0979" w:rsidRPr="00E35EA0">
        <w:rPr>
          <w:rFonts w:ascii="Times New Roman" w:eastAsia="Calibri" w:hAnsi="Times New Roman" w:cs="Times New Roman"/>
          <w:spacing w:val="-4"/>
          <w:sz w:val="28"/>
        </w:rPr>
        <w:t>93,9</w:t>
      </w:r>
      <w:r w:rsidRPr="00E35EA0">
        <w:rPr>
          <w:rFonts w:ascii="Times New Roman" w:eastAsia="Calibri" w:hAnsi="Times New Roman" w:cs="Times New Roman"/>
          <w:spacing w:val="-4"/>
          <w:sz w:val="28"/>
        </w:rPr>
        <w:t>%</w:t>
      </w:r>
      <w:r w:rsidR="00993DB8">
        <w:rPr>
          <w:rFonts w:ascii="Times New Roman" w:eastAsia="Calibri" w:hAnsi="Times New Roman" w:cs="Times New Roman"/>
          <w:spacing w:val="-4"/>
          <w:sz w:val="28"/>
        </w:rPr>
        <w:t xml:space="preserve"> </w:t>
      </w:r>
      <w:r w:rsidR="00993DB8" w:rsidRPr="00E35EA0">
        <w:rPr>
          <w:rFonts w:ascii="Times New Roman" w:eastAsia="Calibri" w:hAnsi="Times New Roman" w:cs="Times New Roman"/>
          <w:spacing w:val="-4"/>
          <w:sz w:val="28"/>
        </w:rPr>
        <w:t>(</w:t>
      </w:r>
      <w:proofErr w:type="gramStart"/>
      <w:r w:rsidR="00993DB8" w:rsidRPr="00E35EA0">
        <w:rPr>
          <w:rFonts w:ascii="Times New Roman" w:eastAsia="Calibri" w:hAnsi="Times New Roman" w:cs="Times New Roman"/>
          <w:spacing w:val="-4"/>
          <w:sz w:val="28"/>
        </w:rPr>
        <w:t>по ожидаемой оценке</w:t>
      </w:r>
      <w:proofErr w:type="gramEnd"/>
      <w:r w:rsidR="00993DB8" w:rsidRPr="00E35EA0">
        <w:rPr>
          <w:rFonts w:ascii="Times New Roman" w:eastAsia="Calibri" w:hAnsi="Times New Roman" w:cs="Times New Roman"/>
          <w:spacing w:val="-4"/>
          <w:sz w:val="28"/>
        </w:rPr>
        <w:t xml:space="preserve"> 2021 года – 93,6%)</w:t>
      </w:r>
      <w:r w:rsidRPr="00E35EA0">
        <w:rPr>
          <w:rFonts w:ascii="Times New Roman" w:eastAsia="Calibri" w:hAnsi="Times New Roman" w:cs="Times New Roman"/>
          <w:spacing w:val="-4"/>
          <w:sz w:val="28"/>
        </w:rPr>
        <w:t>, в 202</w:t>
      </w:r>
      <w:r w:rsidR="004A0979" w:rsidRPr="00E35EA0">
        <w:rPr>
          <w:rFonts w:ascii="Times New Roman" w:eastAsia="Calibri" w:hAnsi="Times New Roman" w:cs="Times New Roman"/>
          <w:spacing w:val="-4"/>
          <w:sz w:val="28"/>
        </w:rPr>
        <w:t>3</w:t>
      </w:r>
      <w:r w:rsidRPr="00E35EA0">
        <w:rPr>
          <w:rFonts w:ascii="Times New Roman" w:eastAsia="Calibri" w:hAnsi="Times New Roman" w:cs="Times New Roman"/>
          <w:spacing w:val="-4"/>
          <w:sz w:val="28"/>
        </w:rPr>
        <w:t xml:space="preserve"> </w:t>
      </w:r>
      <w:r w:rsidR="00CB5F22" w:rsidRPr="00E35EA0">
        <w:rPr>
          <w:rFonts w:ascii="Times New Roman" w:eastAsia="Calibri" w:hAnsi="Times New Roman" w:cs="Times New Roman"/>
          <w:spacing w:val="-4"/>
          <w:sz w:val="28"/>
        </w:rPr>
        <w:t>и 202</w:t>
      </w:r>
      <w:r w:rsidR="004A0979" w:rsidRPr="00E35EA0">
        <w:rPr>
          <w:rFonts w:ascii="Times New Roman" w:eastAsia="Calibri" w:hAnsi="Times New Roman" w:cs="Times New Roman"/>
          <w:spacing w:val="-4"/>
          <w:sz w:val="28"/>
        </w:rPr>
        <w:t>4</w:t>
      </w:r>
      <w:r w:rsidR="00CB5F22" w:rsidRPr="00E35EA0">
        <w:rPr>
          <w:rFonts w:ascii="Times New Roman" w:eastAsia="Calibri" w:hAnsi="Times New Roman" w:cs="Times New Roman"/>
          <w:spacing w:val="-4"/>
          <w:sz w:val="28"/>
        </w:rPr>
        <w:t xml:space="preserve"> годах</w:t>
      </w:r>
      <w:r w:rsidRPr="00E35EA0">
        <w:rPr>
          <w:rFonts w:ascii="Times New Roman" w:eastAsia="Calibri" w:hAnsi="Times New Roman" w:cs="Times New Roman"/>
          <w:spacing w:val="-4"/>
          <w:sz w:val="28"/>
        </w:rPr>
        <w:t xml:space="preserve"> </w:t>
      </w:r>
      <w:r w:rsidR="00E35EA0" w:rsidRPr="00E35EA0">
        <w:rPr>
          <w:rFonts w:ascii="Times New Roman" w:eastAsia="Calibri" w:hAnsi="Times New Roman" w:cs="Times New Roman"/>
          <w:spacing w:val="-4"/>
          <w:sz w:val="28"/>
        </w:rPr>
        <w:t>соответственно 93,8%, 93,4%</w:t>
      </w:r>
      <w:r w:rsidRPr="00E35EA0">
        <w:rPr>
          <w:rFonts w:ascii="Times New Roman" w:eastAsia="Calibri" w:hAnsi="Times New Roman" w:cs="Times New Roman"/>
          <w:spacing w:val="-4"/>
          <w:sz w:val="28"/>
        </w:rPr>
        <w:t>.</w:t>
      </w:r>
    </w:p>
    <w:p w14:paraId="001E9B63" w14:textId="77777777" w:rsidR="00284576" w:rsidRDefault="00284576" w:rsidP="004A4D0B">
      <w:pPr>
        <w:widowControl w:val="0"/>
        <w:spacing w:before="240" w:after="0" w:line="240" w:lineRule="auto"/>
        <w:ind w:firstLine="709"/>
        <w:jc w:val="center"/>
        <w:rPr>
          <w:rFonts w:ascii="Times New Roman" w:eastAsia="Calibri" w:hAnsi="Times New Roman" w:cs="Times New Roman"/>
          <w:i/>
          <w:sz w:val="28"/>
          <w:szCs w:val="28"/>
        </w:rPr>
      </w:pPr>
    </w:p>
    <w:p w14:paraId="414503B3" w14:textId="55F4C68A" w:rsidR="0011402E" w:rsidRPr="009A040C" w:rsidRDefault="002B257B" w:rsidP="004A4D0B">
      <w:pPr>
        <w:widowControl w:val="0"/>
        <w:spacing w:before="240" w:after="0" w:line="240" w:lineRule="auto"/>
        <w:ind w:firstLine="709"/>
        <w:jc w:val="center"/>
        <w:rPr>
          <w:rFonts w:ascii="Times New Roman" w:eastAsia="Calibri" w:hAnsi="Times New Roman" w:cs="Times New Roman"/>
          <w:sz w:val="28"/>
          <w:szCs w:val="28"/>
        </w:rPr>
      </w:pPr>
      <w:r w:rsidRPr="009A040C">
        <w:rPr>
          <w:rFonts w:ascii="Times New Roman" w:eastAsia="Calibri" w:hAnsi="Times New Roman" w:cs="Times New Roman"/>
          <w:i/>
          <w:sz w:val="28"/>
          <w:szCs w:val="28"/>
        </w:rPr>
        <w:lastRenderedPageBreak/>
        <w:t>Неналоговые доходы</w:t>
      </w:r>
      <w:r w:rsidRPr="009A040C">
        <w:rPr>
          <w:rFonts w:ascii="Times New Roman" w:eastAsia="Calibri" w:hAnsi="Times New Roman" w:cs="Times New Roman"/>
          <w:sz w:val="28"/>
          <w:szCs w:val="28"/>
        </w:rPr>
        <w:t xml:space="preserve"> бюджета области</w:t>
      </w:r>
    </w:p>
    <w:p w14:paraId="2B2CCB6E" w14:textId="38C62FB7" w:rsidR="00FA7FC9" w:rsidRDefault="0011402E" w:rsidP="004A4D0B">
      <w:pPr>
        <w:widowControl w:val="0"/>
        <w:spacing w:after="0" w:line="240" w:lineRule="auto"/>
        <w:ind w:firstLine="709"/>
        <w:jc w:val="center"/>
        <w:rPr>
          <w:rFonts w:ascii="Times New Roman" w:eastAsia="Calibri" w:hAnsi="Times New Roman" w:cs="Times New Roman"/>
          <w:sz w:val="24"/>
          <w:szCs w:val="24"/>
        </w:rPr>
      </w:pPr>
      <w:r w:rsidRPr="009A040C">
        <w:rPr>
          <w:rFonts w:ascii="Times New Roman" w:eastAsia="Calibri" w:hAnsi="Times New Roman" w:cs="Times New Roman"/>
          <w:sz w:val="28"/>
          <w:szCs w:val="28"/>
        </w:rPr>
        <w:t>и их доли в объеме неналоговых доходов</w:t>
      </w:r>
      <w:r w:rsidRPr="009A040C">
        <w:rPr>
          <w:rFonts w:ascii="Times New Roman" w:eastAsia="Calibri" w:hAnsi="Times New Roman" w:cs="Times New Roman"/>
          <w:sz w:val="24"/>
          <w:szCs w:val="24"/>
        </w:rPr>
        <w:t xml:space="preserve"> </w:t>
      </w:r>
      <w:r w:rsidR="002B257B" w:rsidRPr="009A040C">
        <w:rPr>
          <w:rFonts w:ascii="Times New Roman" w:eastAsia="Calibri" w:hAnsi="Times New Roman" w:cs="Times New Roman"/>
          <w:sz w:val="24"/>
          <w:szCs w:val="24"/>
        </w:rPr>
        <w:t>(млн. рублей)</w:t>
      </w:r>
    </w:p>
    <w:p w14:paraId="698E76C2" w14:textId="77777777" w:rsidR="004973E7" w:rsidRDefault="004973E7" w:rsidP="00F57A8A">
      <w:pPr>
        <w:keepNext/>
        <w:widowControl w:val="0"/>
        <w:spacing w:after="0" w:line="240" w:lineRule="auto"/>
        <w:ind w:firstLine="709"/>
        <w:jc w:val="center"/>
        <w:rPr>
          <w:rFonts w:ascii="Times New Roman" w:eastAsia="Calibri" w:hAnsi="Times New Roman" w:cs="Times New Roman"/>
          <w:sz w:val="24"/>
          <w:szCs w:val="24"/>
        </w:rPr>
      </w:pPr>
    </w:p>
    <w:p w14:paraId="196EEDAF" w14:textId="3A5B27FE" w:rsidR="004973E7" w:rsidRDefault="004973E7" w:rsidP="00F57A8A">
      <w:pPr>
        <w:keepNext/>
        <w:widowControl w:val="0"/>
        <w:spacing w:after="0" w:line="240" w:lineRule="auto"/>
        <w:jc w:val="center"/>
        <w:rPr>
          <w:rFonts w:ascii="Times New Roman" w:eastAsia="Calibri" w:hAnsi="Times New Roman" w:cs="Times New Roman"/>
          <w:sz w:val="24"/>
          <w:szCs w:val="24"/>
        </w:rPr>
      </w:pPr>
      <w:r w:rsidRPr="00DC750D">
        <w:rPr>
          <w:noProof/>
          <w:color w:val="FF0000"/>
          <w:lang w:eastAsia="ru-RU"/>
        </w:rPr>
        <w:drawing>
          <wp:inline distT="0" distB="0" distL="0" distR="0" wp14:anchorId="561A19D5" wp14:editId="75D3369E">
            <wp:extent cx="5940425" cy="3494405"/>
            <wp:effectExtent l="57150" t="57150" r="41275" b="488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A11A0E" w14:textId="77777777" w:rsidR="004973E7" w:rsidRDefault="004973E7" w:rsidP="0011402E">
      <w:pPr>
        <w:widowControl w:val="0"/>
        <w:spacing w:after="0" w:line="240" w:lineRule="auto"/>
        <w:ind w:firstLine="709"/>
        <w:jc w:val="center"/>
        <w:rPr>
          <w:rFonts w:ascii="Times New Roman" w:eastAsia="Calibri" w:hAnsi="Times New Roman" w:cs="Times New Roman"/>
          <w:sz w:val="24"/>
          <w:szCs w:val="24"/>
        </w:rPr>
      </w:pPr>
    </w:p>
    <w:p w14:paraId="47DA6D8B" w14:textId="1F42D315" w:rsidR="00D46E70" w:rsidRPr="00A92FF4" w:rsidRDefault="00D46E70" w:rsidP="00FB7390">
      <w:pPr>
        <w:spacing w:after="0" w:line="240" w:lineRule="auto"/>
        <w:ind w:firstLine="709"/>
        <w:jc w:val="both"/>
        <w:rPr>
          <w:rFonts w:ascii="Times New Roman" w:eastAsia="Calibri" w:hAnsi="Times New Roman" w:cs="Times New Roman"/>
          <w:spacing w:val="-4"/>
          <w:sz w:val="28"/>
          <w:szCs w:val="28"/>
        </w:rPr>
      </w:pPr>
      <w:r w:rsidRPr="00A92FF4">
        <w:rPr>
          <w:rFonts w:ascii="Times New Roman" w:eastAsia="Calibri" w:hAnsi="Times New Roman" w:cs="Times New Roman"/>
          <w:spacing w:val="-4"/>
          <w:sz w:val="28"/>
          <w:szCs w:val="28"/>
        </w:rPr>
        <w:t>Темпы роста (снижения) объемов неналоговых доходов представлены в таблице.</w:t>
      </w:r>
    </w:p>
    <w:tbl>
      <w:tblPr>
        <w:tblStyle w:val="af2"/>
        <w:tblW w:w="5032" w:type="pct"/>
        <w:jc w:val="center"/>
        <w:tblLook w:val="04A0" w:firstRow="1" w:lastRow="0" w:firstColumn="1" w:lastColumn="0" w:noHBand="0" w:noVBand="1"/>
      </w:tblPr>
      <w:tblGrid>
        <w:gridCol w:w="4276"/>
        <w:gridCol w:w="1854"/>
        <w:gridCol w:w="1711"/>
        <w:gridCol w:w="1564"/>
      </w:tblGrid>
      <w:tr w:rsidR="00D46E70" w:rsidRPr="009A040C" w14:paraId="38136A77" w14:textId="77777777" w:rsidTr="00810744">
        <w:trPr>
          <w:trHeight w:val="199"/>
          <w:jc w:val="center"/>
        </w:trPr>
        <w:tc>
          <w:tcPr>
            <w:tcW w:w="4275" w:type="dxa"/>
            <w:vMerge w:val="restart"/>
            <w:shd w:val="clear" w:color="auto" w:fill="F2F2F2" w:themeFill="background1" w:themeFillShade="F2"/>
            <w:vAlign w:val="center"/>
          </w:tcPr>
          <w:p w14:paraId="21A94ED5" w14:textId="18A35958" w:rsidR="00D46E70" w:rsidRPr="009A040C" w:rsidRDefault="00D46E70" w:rsidP="00695EE3">
            <w:pPr>
              <w:jc w:val="center"/>
              <w:rPr>
                <w:rFonts w:eastAsia="Calibri"/>
                <w:spacing w:val="-4"/>
              </w:rPr>
            </w:pPr>
            <w:r w:rsidRPr="00810744">
              <w:rPr>
                <w:rFonts w:eastAsia="Calibri"/>
                <w:spacing w:val="-4"/>
              </w:rPr>
              <w:t xml:space="preserve">Наименование </w:t>
            </w:r>
            <w:r w:rsidR="00695EE3" w:rsidRPr="00810744">
              <w:rPr>
                <w:rFonts w:eastAsia="Calibri"/>
                <w:spacing w:val="-4"/>
              </w:rPr>
              <w:t xml:space="preserve">неналоговых </w:t>
            </w:r>
            <w:r w:rsidRPr="00810744">
              <w:rPr>
                <w:rFonts w:eastAsia="Calibri"/>
                <w:spacing w:val="-4"/>
              </w:rPr>
              <w:t>доходов</w:t>
            </w:r>
          </w:p>
        </w:tc>
        <w:tc>
          <w:tcPr>
            <w:tcW w:w="5129" w:type="dxa"/>
            <w:gridSpan w:val="3"/>
            <w:shd w:val="clear" w:color="auto" w:fill="F2F2F2" w:themeFill="background1" w:themeFillShade="F2"/>
            <w:vAlign w:val="center"/>
          </w:tcPr>
          <w:p w14:paraId="7741F2FA" w14:textId="306AB0A9" w:rsidR="00D46E70" w:rsidRPr="009A040C" w:rsidRDefault="00D46E70" w:rsidP="00DF6A62">
            <w:pPr>
              <w:jc w:val="center"/>
              <w:rPr>
                <w:rFonts w:eastAsia="Calibri"/>
                <w:spacing w:val="-4"/>
              </w:rPr>
            </w:pPr>
            <w:r w:rsidRPr="009A040C">
              <w:rPr>
                <w:rFonts w:eastAsia="Calibri"/>
                <w:spacing w:val="-4"/>
              </w:rPr>
              <w:t>Темпы роста (снижения) доходов к предыдущему году, %</w:t>
            </w:r>
          </w:p>
        </w:tc>
      </w:tr>
      <w:tr w:rsidR="00D46E70" w:rsidRPr="009A040C" w14:paraId="5F8DA217" w14:textId="77777777" w:rsidTr="00FB7390">
        <w:trPr>
          <w:trHeight w:val="212"/>
          <w:jc w:val="center"/>
        </w:trPr>
        <w:tc>
          <w:tcPr>
            <w:tcW w:w="4275" w:type="dxa"/>
            <w:vMerge/>
            <w:shd w:val="clear" w:color="auto" w:fill="F2F2F2" w:themeFill="background1" w:themeFillShade="F2"/>
          </w:tcPr>
          <w:p w14:paraId="5BE824A1" w14:textId="77777777" w:rsidR="00D46E70" w:rsidRPr="009A040C" w:rsidRDefault="00D46E70" w:rsidP="00DF6A62">
            <w:pPr>
              <w:jc w:val="both"/>
              <w:rPr>
                <w:rFonts w:eastAsia="Calibri"/>
                <w:spacing w:val="-4"/>
              </w:rPr>
            </w:pPr>
          </w:p>
        </w:tc>
        <w:tc>
          <w:tcPr>
            <w:tcW w:w="1854" w:type="dxa"/>
            <w:shd w:val="clear" w:color="auto" w:fill="F2F2F2" w:themeFill="background1" w:themeFillShade="F2"/>
            <w:vAlign w:val="center"/>
          </w:tcPr>
          <w:p w14:paraId="6022B428" w14:textId="77777777" w:rsidR="00D46E70" w:rsidRPr="009A040C" w:rsidRDefault="00D46E70" w:rsidP="00DF6A62">
            <w:pPr>
              <w:jc w:val="center"/>
              <w:rPr>
                <w:rFonts w:eastAsia="Calibri"/>
                <w:spacing w:val="-4"/>
              </w:rPr>
            </w:pPr>
            <w:r w:rsidRPr="009A040C">
              <w:rPr>
                <w:rFonts w:eastAsia="Calibri"/>
                <w:spacing w:val="-4"/>
              </w:rPr>
              <w:t>2022 год</w:t>
            </w:r>
          </w:p>
        </w:tc>
        <w:tc>
          <w:tcPr>
            <w:tcW w:w="1711" w:type="dxa"/>
            <w:shd w:val="clear" w:color="auto" w:fill="F2F2F2" w:themeFill="background1" w:themeFillShade="F2"/>
            <w:vAlign w:val="center"/>
          </w:tcPr>
          <w:p w14:paraId="2E663F5E" w14:textId="77777777" w:rsidR="00D46E70" w:rsidRPr="009A040C" w:rsidRDefault="00D46E70" w:rsidP="00DF6A62">
            <w:pPr>
              <w:jc w:val="center"/>
              <w:rPr>
                <w:rFonts w:eastAsia="Calibri"/>
                <w:spacing w:val="-4"/>
              </w:rPr>
            </w:pPr>
            <w:r w:rsidRPr="009A040C">
              <w:rPr>
                <w:rFonts w:eastAsia="Calibri"/>
                <w:spacing w:val="-4"/>
              </w:rPr>
              <w:t>2023 год</w:t>
            </w:r>
          </w:p>
        </w:tc>
        <w:tc>
          <w:tcPr>
            <w:tcW w:w="1562" w:type="dxa"/>
            <w:shd w:val="clear" w:color="auto" w:fill="F2F2F2" w:themeFill="background1" w:themeFillShade="F2"/>
            <w:vAlign w:val="center"/>
          </w:tcPr>
          <w:p w14:paraId="2399D503" w14:textId="77777777" w:rsidR="00D46E70" w:rsidRPr="009A040C" w:rsidRDefault="00D46E70" w:rsidP="00DF6A62">
            <w:pPr>
              <w:jc w:val="center"/>
              <w:rPr>
                <w:rFonts w:eastAsia="Calibri"/>
                <w:spacing w:val="-4"/>
              </w:rPr>
            </w:pPr>
            <w:r w:rsidRPr="009A040C">
              <w:rPr>
                <w:rFonts w:eastAsia="Calibri"/>
                <w:spacing w:val="-4"/>
              </w:rPr>
              <w:t>2024 год</w:t>
            </w:r>
          </w:p>
        </w:tc>
      </w:tr>
      <w:tr w:rsidR="00D46E70" w:rsidRPr="009A040C" w14:paraId="2BD1CC16" w14:textId="77777777" w:rsidTr="00FB7390">
        <w:trPr>
          <w:trHeight w:val="199"/>
          <w:jc w:val="center"/>
        </w:trPr>
        <w:tc>
          <w:tcPr>
            <w:tcW w:w="4275" w:type="dxa"/>
          </w:tcPr>
          <w:p w14:paraId="57902991" w14:textId="77777777" w:rsidR="00D46E70" w:rsidRPr="009A040C" w:rsidRDefault="00D46E70" w:rsidP="00FB7390">
            <w:pPr>
              <w:ind w:left="-57" w:right="-113"/>
              <w:rPr>
                <w:rFonts w:eastAsia="Calibri"/>
                <w:spacing w:val="-4"/>
              </w:rPr>
            </w:pPr>
            <w:r w:rsidRPr="009A040C">
              <w:rPr>
                <w:rFonts w:eastAsia="Calibri"/>
                <w:spacing w:val="-4"/>
              </w:rPr>
              <w:t>Доходы от продажи материальных и нематериальных активов</w:t>
            </w:r>
          </w:p>
        </w:tc>
        <w:tc>
          <w:tcPr>
            <w:tcW w:w="1854" w:type="dxa"/>
            <w:vAlign w:val="bottom"/>
          </w:tcPr>
          <w:p w14:paraId="5DE41136" w14:textId="77777777" w:rsidR="00D46E70" w:rsidRPr="009A040C" w:rsidRDefault="00D46E70" w:rsidP="00DF6A62">
            <w:pPr>
              <w:jc w:val="center"/>
              <w:rPr>
                <w:rFonts w:eastAsia="Calibri"/>
                <w:spacing w:val="-4"/>
              </w:rPr>
            </w:pPr>
            <w:r w:rsidRPr="009A040C">
              <w:rPr>
                <w:rFonts w:eastAsia="Calibri"/>
                <w:spacing w:val="-4"/>
              </w:rPr>
              <w:t>-91,9</w:t>
            </w:r>
          </w:p>
        </w:tc>
        <w:tc>
          <w:tcPr>
            <w:tcW w:w="1711" w:type="dxa"/>
            <w:vAlign w:val="bottom"/>
          </w:tcPr>
          <w:p w14:paraId="117523B4" w14:textId="77777777" w:rsidR="00D46E70" w:rsidRPr="009A040C" w:rsidRDefault="00D46E70" w:rsidP="00DF6A62">
            <w:pPr>
              <w:jc w:val="center"/>
              <w:rPr>
                <w:rFonts w:eastAsia="Calibri"/>
                <w:spacing w:val="-4"/>
              </w:rPr>
            </w:pPr>
            <w:r w:rsidRPr="009A040C">
              <w:rPr>
                <w:rFonts w:eastAsia="Calibri"/>
                <w:spacing w:val="-4"/>
              </w:rPr>
              <w:t>-99,3</w:t>
            </w:r>
          </w:p>
        </w:tc>
        <w:tc>
          <w:tcPr>
            <w:tcW w:w="1562" w:type="dxa"/>
            <w:vAlign w:val="bottom"/>
          </w:tcPr>
          <w:p w14:paraId="55E7771F" w14:textId="77777777" w:rsidR="00D46E70" w:rsidRPr="009A040C" w:rsidRDefault="00D46E70" w:rsidP="00DF6A62">
            <w:pPr>
              <w:jc w:val="center"/>
              <w:rPr>
                <w:rFonts w:eastAsia="Calibri"/>
                <w:spacing w:val="-4"/>
              </w:rPr>
            </w:pPr>
            <w:r w:rsidRPr="009A040C">
              <w:rPr>
                <w:rFonts w:eastAsia="Calibri"/>
                <w:spacing w:val="-4"/>
              </w:rPr>
              <w:t>0,0</w:t>
            </w:r>
          </w:p>
        </w:tc>
      </w:tr>
      <w:tr w:rsidR="00D46E70" w:rsidRPr="009A040C" w14:paraId="257979DB" w14:textId="77777777" w:rsidTr="00FB7390">
        <w:trPr>
          <w:trHeight w:val="199"/>
          <w:jc w:val="center"/>
        </w:trPr>
        <w:tc>
          <w:tcPr>
            <w:tcW w:w="4275" w:type="dxa"/>
          </w:tcPr>
          <w:p w14:paraId="2A8F2A15" w14:textId="77777777" w:rsidR="00D46E70" w:rsidRPr="009A040C" w:rsidRDefault="00D46E70" w:rsidP="00FB7390">
            <w:pPr>
              <w:ind w:left="-57" w:right="-113"/>
              <w:rPr>
                <w:rFonts w:eastAsia="Calibri"/>
                <w:spacing w:val="-4"/>
              </w:rPr>
            </w:pPr>
            <w:r w:rsidRPr="009A040C">
              <w:rPr>
                <w:rFonts w:eastAsia="Calibri"/>
                <w:spacing w:val="-4"/>
              </w:rPr>
              <w:t>Доходы от использования государственного имущества</w:t>
            </w:r>
          </w:p>
        </w:tc>
        <w:tc>
          <w:tcPr>
            <w:tcW w:w="1854" w:type="dxa"/>
            <w:vAlign w:val="bottom"/>
          </w:tcPr>
          <w:p w14:paraId="3DA35EC6" w14:textId="77777777" w:rsidR="00D46E70" w:rsidRPr="009A040C" w:rsidRDefault="00D46E70" w:rsidP="00DF6A62">
            <w:pPr>
              <w:jc w:val="center"/>
              <w:rPr>
                <w:rFonts w:eastAsia="Calibri"/>
                <w:spacing w:val="-4"/>
              </w:rPr>
            </w:pPr>
            <w:r w:rsidRPr="009A040C">
              <w:rPr>
                <w:rFonts w:eastAsia="Calibri"/>
                <w:spacing w:val="-4"/>
              </w:rPr>
              <w:t>-53,4</w:t>
            </w:r>
          </w:p>
        </w:tc>
        <w:tc>
          <w:tcPr>
            <w:tcW w:w="1711" w:type="dxa"/>
            <w:vAlign w:val="bottom"/>
          </w:tcPr>
          <w:p w14:paraId="3F779C7C" w14:textId="77777777" w:rsidR="00D46E70" w:rsidRPr="009A040C" w:rsidRDefault="00D46E70" w:rsidP="00DF6A62">
            <w:pPr>
              <w:jc w:val="center"/>
              <w:rPr>
                <w:rFonts w:eastAsia="Calibri"/>
                <w:spacing w:val="-4"/>
              </w:rPr>
            </w:pPr>
            <w:r w:rsidRPr="009A040C">
              <w:rPr>
                <w:rFonts w:eastAsia="Calibri"/>
                <w:spacing w:val="-4"/>
              </w:rPr>
              <w:t>-25,1</w:t>
            </w:r>
          </w:p>
        </w:tc>
        <w:tc>
          <w:tcPr>
            <w:tcW w:w="1562" w:type="dxa"/>
            <w:vAlign w:val="bottom"/>
          </w:tcPr>
          <w:p w14:paraId="6ABB109E" w14:textId="77777777" w:rsidR="00D46E70" w:rsidRPr="009A040C" w:rsidRDefault="00D46E70" w:rsidP="00DF6A62">
            <w:pPr>
              <w:jc w:val="center"/>
              <w:rPr>
                <w:rFonts w:eastAsia="Calibri"/>
                <w:spacing w:val="-4"/>
              </w:rPr>
            </w:pPr>
            <w:r w:rsidRPr="009A040C">
              <w:rPr>
                <w:rFonts w:eastAsia="Calibri"/>
                <w:spacing w:val="-4"/>
              </w:rPr>
              <w:t>-9,9</w:t>
            </w:r>
          </w:p>
        </w:tc>
      </w:tr>
      <w:tr w:rsidR="00D46E70" w:rsidRPr="009A040C" w14:paraId="79B1E48F" w14:textId="77777777" w:rsidTr="00FB7390">
        <w:trPr>
          <w:trHeight w:val="199"/>
          <w:jc w:val="center"/>
        </w:trPr>
        <w:tc>
          <w:tcPr>
            <w:tcW w:w="4275" w:type="dxa"/>
          </w:tcPr>
          <w:p w14:paraId="40449515" w14:textId="77777777" w:rsidR="00D46E70" w:rsidRPr="009A040C" w:rsidRDefault="00D46E70" w:rsidP="00FB7390">
            <w:pPr>
              <w:ind w:left="-57" w:right="-113"/>
              <w:rPr>
                <w:rFonts w:eastAsia="Calibri"/>
                <w:spacing w:val="-4"/>
              </w:rPr>
            </w:pPr>
            <w:r w:rsidRPr="009A040C">
              <w:rPr>
                <w:rFonts w:eastAsia="Calibri"/>
                <w:spacing w:val="-4"/>
              </w:rPr>
              <w:t>Доходы от оказания платных услуг, компенсации затрат государства</w:t>
            </w:r>
          </w:p>
        </w:tc>
        <w:tc>
          <w:tcPr>
            <w:tcW w:w="1854" w:type="dxa"/>
            <w:vAlign w:val="bottom"/>
          </w:tcPr>
          <w:p w14:paraId="14B35579" w14:textId="77777777" w:rsidR="00D46E70" w:rsidRPr="009A040C" w:rsidRDefault="00D46E70" w:rsidP="00DF6A62">
            <w:pPr>
              <w:jc w:val="center"/>
              <w:rPr>
                <w:rFonts w:eastAsia="Calibri"/>
                <w:spacing w:val="-4"/>
              </w:rPr>
            </w:pPr>
            <w:r w:rsidRPr="009A040C">
              <w:rPr>
                <w:rFonts w:eastAsia="Calibri"/>
                <w:spacing w:val="-4"/>
              </w:rPr>
              <w:t>-32,3</w:t>
            </w:r>
          </w:p>
        </w:tc>
        <w:tc>
          <w:tcPr>
            <w:tcW w:w="1711" w:type="dxa"/>
            <w:vAlign w:val="bottom"/>
          </w:tcPr>
          <w:p w14:paraId="3EE2BEFA" w14:textId="77777777" w:rsidR="00D46E70" w:rsidRPr="009A040C" w:rsidRDefault="00D46E70" w:rsidP="00DF6A62">
            <w:pPr>
              <w:jc w:val="center"/>
              <w:rPr>
                <w:rFonts w:eastAsia="Calibri"/>
                <w:spacing w:val="-4"/>
              </w:rPr>
            </w:pPr>
            <w:r w:rsidRPr="009A040C">
              <w:rPr>
                <w:rFonts w:eastAsia="Calibri"/>
                <w:spacing w:val="-4"/>
              </w:rPr>
              <w:t>-0,03</w:t>
            </w:r>
          </w:p>
        </w:tc>
        <w:tc>
          <w:tcPr>
            <w:tcW w:w="1562" w:type="dxa"/>
            <w:vAlign w:val="bottom"/>
          </w:tcPr>
          <w:p w14:paraId="1BC54341" w14:textId="77777777" w:rsidR="00D46E70" w:rsidRPr="009A040C" w:rsidRDefault="00D46E70" w:rsidP="00DF6A62">
            <w:pPr>
              <w:jc w:val="center"/>
              <w:rPr>
                <w:rFonts w:eastAsia="Calibri"/>
                <w:spacing w:val="-4"/>
              </w:rPr>
            </w:pPr>
            <w:r w:rsidRPr="009A040C">
              <w:rPr>
                <w:rFonts w:eastAsia="Calibri"/>
                <w:spacing w:val="-4"/>
              </w:rPr>
              <w:t>+1,1</w:t>
            </w:r>
          </w:p>
        </w:tc>
      </w:tr>
      <w:tr w:rsidR="00D46E70" w:rsidRPr="009A040C" w14:paraId="08C70BDF" w14:textId="77777777" w:rsidTr="00FB7390">
        <w:trPr>
          <w:trHeight w:val="199"/>
          <w:jc w:val="center"/>
        </w:trPr>
        <w:tc>
          <w:tcPr>
            <w:tcW w:w="4275" w:type="dxa"/>
          </w:tcPr>
          <w:p w14:paraId="389A3AE2" w14:textId="77777777" w:rsidR="00D46E70" w:rsidRPr="009A040C" w:rsidRDefault="00D46E70" w:rsidP="009C11EA">
            <w:pPr>
              <w:ind w:left="-57" w:right="-113"/>
              <w:rPr>
                <w:rFonts w:eastAsia="Calibri"/>
                <w:spacing w:val="-4"/>
              </w:rPr>
            </w:pPr>
            <w:r w:rsidRPr="009A040C">
              <w:rPr>
                <w:rFonts w:eastAsia="Calibri"/>
                <w:spacing w:val="-4"/>
              </w:rPr>
              <w:t>Платежи при пользовании природными ресурсами</w:t>
            </w:r>
          </w:p>
        </w:tc>
        <w:tc>
          <w:tcPr>
            <w:tcW w:w="1854" w:type="dxa"/>
            <w:vAlign w:val="bottom"/>
          </w:tcPr>
          <w:p w14:paraId="7F39E8D7" w14:textId="77777777" w:rsidR="00D46E70" w:rsidRPr="009A040C" w:rsidRDefault="00D46E70" w:rsidP="00DF6A62">
            <w:pPr>
              <w:jc w:val="center"/>
              <w:rPr>
                <w:rFonts w:eastAsia="Calibri"/>
                <w:spacing w:val="-4"/>
              </w:rPr>
            </w:pPr>
            <w:r w:rsidRPr="009A040C">
              <w:rPr>
                <w:rFonts w:eastAsia="Calibri"/>
                <w:spacing w:val="-4"/>
              </w:rPr>
              <w:t>-7,1</w:t>
            </w:r>
          </w:p>
        </w:tc>
        <w:tc>
          <w:tcPr>
            <w:tcW w:w="1711" w:type="dxa"/>
            <w:vAlign w:val="bottom"/>
          </w:tcPr>
          <w:p w14:paraId="6BA66E79" w14:textId="77777777" w:rsidR="00D46E70" w:rsidRPr="009A040C" w:rsidRDefault="00D46E70" w:rsidP="00DF6A62">
            <w:pPr>
              <w:jc w:val="center"/>
              <w:rPr>
                <w:rFonts w:eastAsia="Calibri"/>
                <w:spacing w:val="-4"/>
              </w:rPr>
            </w:pPr>
            <w:r w:rsidRPr="009A040C">
              <w:rPr>
                <w:rFonts w:eastAsia="Calibri"/>
                <w:spacing w:val="-4"/>
              </w:rPr>
              <w:t>0,01</w:t>
            </w:r>
          </w:p>
        </w:tc>
        <w:tc>
          <w:tcPr>
            <w:tcW w:w="1562" w:type="dxa"/>
            <w:vAlign w:val="bottom"/>
          </w:tcPr>
          <w:p w14:paraId="6AE90739" w14:textId="77777777" w:rsidR="00D46E70" w:rsidRPr="009A040C" w:rsidRDefault="00D46E70" w:rsidP="00DF6A62">
            <w:pPr>
              <w:jc w:val="center"/>
              <w:rPr>
                <w:rFonts w:eastAsia="Calibri"/>
                <w:spacing w:val="-4"/>
              </w:rPr>
            </w:pPr>
            <w:r w:rsidRPr="009A040C">
              <w:rPr>
                <w:rFonts w:eastAsia="Calibri"/>
                <w:spacing w:val="-4"/>
              </w:rPr>
              <w:t>0,01</w:t>
            </w:r>
          </w:p>
        </w:tc>
      </w:tr>
      <w:tr w:rsidR="00D46E70" w:rsidRPr="009A040C" w14:paraId="32A82A49" w14:textId="77777777" w:rsidTr="00FB7390">
        <w:trPr>
          <w:trHeight w:val="199"/>
          <w:jc w:val="center"/>
        </w:trPr>
        <w:tc>
          <w:tcPr>
            <w:tcW w:w="4275" w:type="dxa"/>
          </w:tcPr>
          <w:p w14:paraId="571F2EB8" w14:textId="77777777" w:rsidR="00D46E70" w:rsidRPr="009A040C" w:rsidRDefault="00D46E70" w:rsidP="009C11EA">
            <w:pPr>
              <w:ind w:left="-57" w:right="-113"/>
              <w:rPr>
                <w:rFonts w:eastAsia="Calibri"/>
                <w:spacing w:val="-4"/>
              </w:rPr>
            </w:pPr>
            <w:r w:rsidRPr="009A040C">
              <w:rPr>
                <w:rFonts w:eastAsia="Calibri"/>
                <w:spacing w:val="-4"/>
              </w:rPr>
              <w:t>Штрафы, санкции, возмещение ущерба</w:t>
            </w:r>
          </w:p>
        </w:tc>
        <w:tc>
          <w:tcPr>
            <w:tcW w:w="1854" w:type="dxa"/>
            <w:vAlign w:val="bottom"/>
          </w:tcPr>
          <w:p w14:paraId="3A8E1FDF" w14:textId="77777777" w:rsidR="00D46E70" w:rsidRPr="009A040C" w:rsidRDefault="00D46E70" w:rsidP="00DF6A62">
            <w:pPr>
              <w:jc w:val="center"/>
              <w:rPr>
                <w:rFonts w:eastAsia="Calibri"/>
                <w:spacing w:val="-4"/>
              </w:rPr>
            </w:pPr>
            <w:r w:rsidRPr="009A040C">
              <w:rPr>
                <w:rFonts w:eastAsia="Calibri"/>
                <w:spacing w:val="-4"/>
              </w:rPr>
              <w:t>-38,1</w:t>
            </w:r>
          </w:p>
        </w:tc>
        <w:tc>
          <w:tcPr>
            <w:tcW w:w="1711" w:type="dxa"/>
            <w:vAlign w:val="bottom"/>
          </w:tcPr>
          <w:p w14:paraId="796985AD" w14:textId="77777777" w:rsidR="00D46E70" w:rsidRPr="009A040C" w:rsidRDefault="00D46E70" w:rsidP="00DF6A62">
            <w:pPr>
              <w:jc w:val="center"/>
              <w:rPr>
                <w:rFonts w:eastAsia="Calibri"/>
                <w:spacing w:val="-4"/>
              </w:rPr>
            </w:pPr>
            <w:r w:rsidRPr="009A040C">
              <w:rPr>
                <w:rFonts w:eastAsia="Calibri"/>
                <w:spacing w:val="-4"/>
              </w:rPr>
              <w:t>-2,6</w:t>
            </w:r>
          </w:p>
        </w:tc>
        <w:tc>
          <w:tcPr>
            <w:tcW w:w="1562" w:type="dxa"/>
            <w:vAlign w:val="bottom"/>
          </w:tcPr>
          <w:p w14:paraId="603A2B9E" w14:textId="77777777" w:rsidR="00D46E70" w:rsidRPr="009A040C" w:rsidRDefault="00D46E70" w:rsidP="00DF6A62">
            <w:pPr>
              <w:jc w:val="center"/>
              <w:rPr>
                <w:rFonts w:eastAsia="Calibri"/>
                <w:spacing w:val="-4"/>
              </w:rPr>
            </w:pPr>
            <w:r w:rsidRPr="009A040C">
              <w:rPr>
                <w:rFonts w:eastAsia="Calibri"/>
                <w:spacing w:val="-4"/>
              </w:rPr>
              <w:t>+1,8</w:t>
            </w:r>
          </w:p>
        </w:tc>
      </w:tr>
      <w:tr w:rsidR="00D46E70" w:rsidRPr="009A040C" w14:paraId="30AE2CBF" w14:textId="77777777" w:rsidTr="00FB7390">
        <w:trPr>
          <w:trHeight w:val="199"/>
          <w:jc w:val="center"/>
        </w:trPr>
        <w:tc>
          <w:tcPr>
            <w:tcW w:w="4275" w:type="dxa"/>
          </w:tcPr>
          <w:p w14:paraId="786AFCD8" w14:textId="77777777" w:rsidR="00D46E70" w:rsidRPr="009A040C" w:rsidRDefault="00D46E70" w:rsidP="009C11EA">
            <w:pPr>
              <w:ind w:left="-57" w:right="-113"/>
              <w:rPr>
                <w:rFonts w:eastAsia="Calibri"/>
                <w:spacing w:val="-4"/>
              </w:rPr>
            </w:pPr>
            <w:r w:rsidRPr="009A040C">
              <w:rPr>
                <w:rFonts w:eastAsia="Calibri"/>
                <w:spacing w:val="-4"/>
              </w:rPr>
              <w:t>Другие неналоговые доходы</w:t>
            </w:r>
          </w:p>
        </w:tc>
        <w:tc>
          <w:tcPr>
            <w:tcW w:w="1854" w:type="dxa"/>
            <w:vAlign w:val="bottom"/>
          </w:tcPr>
          <w:p w14:paraId="43B58DD1" w14:textId="77777777" w:rsidR="00D46E70" w:rsidRPr="009A040C" w:rsidRDefault="00D46E70" w:rsidP="00DF6A62">
            <w:pPr>
              <w:jc w:val="center"/>
              <w:rPr>
                <w:rFonts w:eastAsia="Calibri"/>
                <w:spacing w:val="-4"/>
              </w:rPr>
            </w:pPr>
            <w:r w:rsidRPr="009A040C">
              <w:rPr>
                <w:rFonts w:eastAsia="Calibri"/>
                <w:spacing w:val="-4"/>
              </w:rPr>
              <w:t>0,0</w:t>
            </w:r>
          </w:p>
        </w:tc>
        <w:tc>
          <w:tcPr>
            <w:tcW w:w="1711" w:type="dxa"/>
            <w:vAlign w:val="bottom"/>
          </w:tcPr>
          <w:p w14:paraId="270E5F4C" w14:textId="77777777" w:rsidR="00D46E70" w:rsidRPr="009A040C" w:rsidRDefault="00D46E70" w:rsidP="00DF6A62">
            <w:pPr>
              <w:jc w:val="center"/>
              <w:rPr>
                <w:rFonts w:eastAsia="Calibri"/>
                <w:spacing w:val="-4"/>
              </w:rPr>
            </w:pPr>
            <w:r w:rsidRPr="009A040C">
              <w:rPr>
                <w:rFonts w:eastAsia="Calibri"/>
                <w:spacing w:val="-4"/>
              </w:rPr>
              <w:t>+4,7</w:t>
            </w:r>
          </w:p>
        </w:tc>
        <w:tc>
          <w:tcPr>
            <w:tcW w:w="1562" w:type="dxa"/>
            <w:vAlign w:val="bottom"/>
          </w:tcPr>
          <w:p w14:paraId="6D6AAE50" w14:textId="77777777" w:rsidR="00D46E70" w:rsidRPr="009A040C" w:rsidRDefault="00D46E70" w:rsidP="00DF6A62">
            <w:pPr>
              <w:jc w:val="center"/>
              <w:rPr>
                <w:rFonts w:eastAsia="Calibri"/>
                <w:spacing w:val="-4"/>
              </w:rPr>
            </w:pPr>
            <w:r w:rsidRPr="009A040C">
              <w:rPr>
                <w:rFonts w:eastAsia="Calibri"/>
                <w:spacing w:val="-4"/>
              </w:rPr>
              <w:t>0,0</w:t>
            </w:r>
          </w:p>
        </w:tc>
      </w:tr>
    </w:tbl>
    <w:p w14:paraId="38851BCC" w14:textId="7A42CBF2" w:rsidR="00122DFB" w:rsidRPr="00B420E0" w:rsidRDefault="002C5B62" w:rsidP="009C11EA">
      <w:pPr>
        <w:widowControl w:val="0"/>
        <w:spacing w:before="40" w:after="0" w:line="240" w:lineRule="auto"/>
        <w:ind w:firstLine="709"/>
        <w:jc w:val="both"/>
        <w:rPr>
          <w:rFonts w:ascii="Times New Roman" w:eastAsia="Times New Roman" w:hAnsi="Times New Roman" w:cs="Times New Roman"/>
          <w:sz w:val="28"/>
          <w:szCs w:val="28"/>
          <w:lang w:eastAsia="ru-RU"/>
        </w:rPr>
      </w:pPr>
      <w:r w:rsidRPr="00B420E0">
        <w:rPr>
          <w:rFonts w:ascii="Times New Roman" w:eastAsia="Calibri" w:hAnsi="Times New Roman" w:cs="Times New Roman"/>
          <w:sz w:val="28"/>
        </w:rPr>
        <w:t xml:space="preserve">Из представленной диаграммы и таблицы видно, что неналоговые доходы прогнозируются в целом со снижением к предыдущему году. </w:t>
      </w:r>
      <w:r w:rsidR="00122DFB" w:rsidRPr="00B420E0">
        <w:rPr>
          <w:rFonts w:ascii="Times New Roman" w:eastAsia="Calibri" w:hAnsi="Times New Roman" w:cs="Times New Roman"/>
          <w:sz w:val="28"/>
        </w:rPr>
        <w:t xml:space="preserve">В структуре доходов бюджета области доля неналоговых доходов составляет незначительную часть, </w:t>
      </w:r>
      <w:r w:rsidR="00445D5A" w:rsidRPr="00B420E0">
        <w:rPr>
          <w:rFonts w:ascii="Times New Roman" w:eastAsia="Calibri" w:hAnsi="Times New Roman" w:cs="Times New Roman"/>
          <w:sz w:val="28"/>
        </w:rPr>
        <w:t xml:space="preserve">которая </w:t>
      </w:r>
      <w:r w:rsidR="00122DFB" w:rsidRPr="00B420E0">
        <w:rPr>
          <w:rFonts w:ascii="Times New Roman" w:eastAsia="Calibri" w:hAnsi="Times New Roman" w:cs="Times New Roman"/>
          <w:sz w:val="28"/>
        </w:rPr>
        <w:t xml:space="preserve">из года в год снижается: </w:t>
      </w:r>
      <w:proofErr w:type="gramStart"/>
      <w:r w:rsidR="00122DFB" w:rsidRPr="00B420E0">
        <w:rPr>
          <w:rFonts w:ascii="Times New Roman" w:eastAsia="Calibri" w:hAnsi="Times New Roman" w:cs="Times New Roman"/>
          <w:sz w:val="28"/>
        </w:rPr>
        <w:t>по ожидаемой оценке</w:t>
      </w:r>
      <w:proofErr w:type="gramEnd"/>
      <w:r w:rsidR="00122DFB" w:rsidRPr="00B420E0">
        <w:rPr>
          <w:rFonts w:ascii="Times New Roman" w:eastAsia="Calibri" w:hAnsi="Times New Roman" w:cs="Times New Roman"/>
          <w:sz w:val="28"/>
        </w:rPr>
        <w:t xml:space="preserve"> исполнения в 202</w:t>
      </w:r>
      <w:r w:rsidR="005075D5" w:rsidRPr="00B420E0">
        <w:rPr>
          <w:rFonts w:ascii="Times New Roman" w:eastAsia="Calibri" w:hAnsi="Times New Roman" w:cs="Times New Roman"/>
          <w:sz w:val="28"/>
        </w:rPr>
        <w:t>1</w:t>
      </w:r>
      <w:r w:rsidR="00122DFB" w:rsidRPr="00B420E0">
        <w:rPr>
          <w:rFonts w:ascii="Times New Roman" w:eastAsia="Calibri" w:hAnsi="Times New Roman" w:cs="Times New Roman"/>
          <w:sz w:val="28"/>
        </w:rPr>
        <w:t xml:space="preserve"> году – </w:t>
      </w:r>
      <w:r w:rsidR="005075D5" w:rsidRPr="00B420E0">
        <w:rPr>
          <w:rFonts w:ascii="Times New Roman" w:eastAsia="Calibri" w:hAnsi="Times New Roman" w:cs="Times New Roman"/>
          <w:sz w:val="28"/>
        </w:rPr>
        <w:t>2,2</w:t>
      </w:r>
      <w:r w:rsidR="00122DFB" w:rsidRPr="00B420E0">
        <w:rPr>
          <w:rFonts w:ascii="Times New Roman" w:eastAsia="Calibri" w:hAnsi="Times New Roman" w:cs="Times New Roman"/>
          <w:sz w:val="28"/>
        </w:rPr>
        <w:t>% (</w:t>
      </w:r>
      <w:r w:rsidR="00B32F92" w:rsidRPr="00B420E0">
        <w:rPr>
          <w:rFonts w:ascii="Times New Roman" w:eastAsia="Calibri" w:hAnsi="Times New Roman" w:cs="Times New Roman"/>
          <w:sz w:val="28"/>
        </w:rPr>
        <w:t>2 371,9</w:t>
      </w:r>
      <w:r w:rsidR="00122DFB" w:rsidRPr="00B420E0">
        <w:rPr>
          <w:rFonts w:ascii="Times New Roman" w:eastAsia="Calibri" w:hAnsi="Times New Roman" w:cs="Times New Roman"/>
          <w:sz w:val="28"/>
        </w:rPr>
        <w:t xml:space="preserve"> млн. рублей), в 202</w:t>
      </w:r>
      <w:r w:rsidR="00B32F92" w:rsidRPr="00B420E0">
        <w:rPr>
          <w:rFonts w:ascii="Times New Roman" w:eastAsia="Calibri" w:hAnsi="Times New Roman" w:cs="Times New Roman"/>
          <w:sz w:val="28"/>
        </w:rPr>
        <w:t>2</w:t>
      </w:r>
      <w:r w:rsidR="00122DFB" w:rsidRPr="00B420E0">
        <w:rPr>
          <w:rFonts w:ascii="Times New Roman" w:eastAsia="Calibri" w:hAnsi="Times New Roman" w:cs="Times New Roman"/>
          <w:sz w:val="28"/>
        </w:rPr>
        <w:t xml:space="preserve"> году – 1</w:t>
      </w:r>
      <w:r w:rsidR="009E5E6D" w:rsidRPr="00B420E0">
        <w:rPr>
          <w:rFonts w:ascii="Times New Roman" w:eastAsia="Calibri" w:hAnsi="Times New Roman" w:cs="Times New Roman"/>
          <w:sz w:val="28"/>
        </w:rPr>
        <w:t>,</w:t>
      </w:r>
      <w:r w:rsidR="00B32F92" w:rsidRPr="00B420E0">
        <w:rPr>
          <w:rFonts w:ascii="Times New Roman" w:eastAsia="Calibri" w:hAnsi="Times New Roman" w:cs="Times New Roman"/>
          <w:sz w:val="28"/>
        </w:rPr>
        <w:t>4</w:t>
      </w:r>
      <w:r w:rsidR="00122DFB" w:rsidRPr="00B420E0">
        <w:rPr>
          <w:rFonts w:ascii="Times New Roman" w:eastAsia="Calibri" w:hAnsi="Times New Roman" w:cs="Times New Roman"/>
          <w:sz w:val="28"/>
        </w:rPr>
        <w:t>% (</w:t>
      </w:r>
      <w:r w:rsidR="009E5E6D" w:rsidRPr="00B420E0">
        <w:rPr>
          <w:rFonts w:ascii="Times New Roman" w:eastAsia="Calibri" w:hAnsi="Times New Roman" w:cs="Times New Roman"/>
          <w:sz w:val="28"/>
        </w:rPr>
        <w:t>1</w:t>
      </w:r>
      <w:r w:rsidR="00B32F92" w:rsidRPr="00B420E0">
        <w:rPr>
          <w:rFonts w:ascii="Times New Roman" w:eastAsia="Calibri" w:hAnsi="Times New Roman" w:cs="Times New Roman"/>
          <w:sz w:val="28"/>
        </w:rPr>
        <w:t> 363,2</w:t>
      </w:r>
      <w:r w:rsidR="00652962" w:rsidRPr="00B420E0">
        <w:rPr>
          <w:rFonts w:ascii="Times New Roman" w:eastAsia="Calibri" w:hAnsi="Times New Roman" w:cs="Times New Roman"/>
          <w:sz w:val="28"/>
        </w:rPr>
        <w:t xml:space="preserve"> </w:t>
      </w:r>
      <w:r w:rsidR="009E5E6D" w:rsidRPr="00B420E0">
        <w:rPr>
          <w:rFonts w:ascii="Times New Roman" w:eastAsia="Calibri" w:hAnsi="Times New Roman" w:cs="Times New Roman"/>
          <w:sz w:val="28"/>
        </w:rPr>
        <w:t>млн</w:t>
      </w:r>
      <w:r w:rsidR="00122DFB" w:rsidRPr="00B420E0">
        <w:rPr>
          <w:rFonts w:ascii="Times New Roman" w:eastAsia="Calibri" w:hAnsi="Times New Roman" w:cs="Times New Roman"/>
          <w:sz w:val="28"/>
        </w:rPr>
        <w:t>. рублей), в 202</w:t>
      </w:r>
      <w:r w:rsidR="00B32F92" w:rsidRPr="00B420E0">
        <w:rPr>
          <w:rFonts w:ascii="Times New Roman" w:eastAsia="Calibri" w:hAnsi="Times New Roman" w:cs="Times New Roman"/>
          <w:sz w:val="28"/>
        </w:rPr>
        <w:t>3</w:t>
      </w:r>
      <w:r w:rsidR="00A656B6" w:rsidRPr="00B420E0">
        <w:rPr>
          <w:rFonts w:ascii="Times New Roman" w:eastAsia="Calibri" w:hAnsi="Times New Roman" w:cs="Times New Roman"/>
          <w:sz w:val="28"/>
        </w:rPr>
        <w:t xml:space="preserve"> и </w:t>
      </w:r>
      <w:r w:rsidR="00122DFB" w:rsidRPr="00B420E0">
        <w:rPr>
          <w:rFonts w:ascii="Times New Roman" w:eastAsia="Calibri" w:hAnsi="Times New Roman" w:cs="Times New Roman"/>
          <w:sz w:val="28"/>
        </w:rPr>
        <w:t>202</w:t>
      </w:r>
      <w:r w:rsidR="00B32F92" w:rsidRPr="00B420E0">
        <w:rPr>
          <w:rFonts w:ascii="Times New Roman" w:eastAsia="Calibri" w:hAnsi="Times New Roman" w:cs="Times New Roman"/>
          <w:sz w:val="28"/>
        </w:rPr>
        <w:t>4</w:t>
      </w:r>
      <w:r w:rsidR="00122DFB" w:rsidRPr="00B420E0">
        <w:rPr>
          <w:rFonts w:ascii="Times New Roman" w:eastAsia="Calibri" w:hAnsi="Times New Roman" w:cs="Times New Roman"/>
          <w:sz w:val="28"/>
        </w:rPr>
        <w:t xml:space="preserve"> годах </w:t>
      </w:r>
      <w:r w:rsidR="00B32F92" w:rsidRPr="00B420E0">
        <w:rPr>
          <w:rFonts w:ascii="Times New Roman" w:eastAsia="Calibri" w:hAnsi="Times New Roman" w:cs="Times New Roman"/>
          <w:sz w:val="28"/>
        </w:rPr>
        <w:t>–</w:t>
      </w:r>
      <w:r w:rsidR="00122DFB" w:rsidRPr="00B420E0">
        <w:rPr>
          <w:rFonts w:ascii="Times New Roman" w:eastAsia="Calibri" w:hAnsi="Times New Roman" w:cs="Times New Roman"/>
          <w:sz w:val="28"/>
        </w:rPr>
        <w:t xml:space="preserve"> </w:t>
      </w:r>
      <w:r w:rsidR="009E5E6D" w:rsidRPr="00B420E0">
        <w:rPr>
          <w:rFonts w:ascii="Times New Roman" w:eastAsia="Calibri" w:hAnsi="Times New Roman" w:cs="Times New Roman"/>
          <w:sz w:val="28"/>
        </w:rPr>
        <w:t>1,</w:t>
      </w:r>
      <w:r w:rsidR="00A656B6" w:rsidRPr="00B420E0">
        <w:rPr>
          <w:rFonts w:ascii="Times New Roman" w:eastAsia="Calibri" w:hAnsi="Times New Roman" w:cs="Times New Roman"/>
          <w:sz w:val="28"/>
        </w:rPr>
        <w:t>3</w:t>
      </w:r>
      <w:r w:rsidR="00122DFB" w:rsidRPr="00B420E0">
        <w:rPr>
          <w:rFonts w:ascii="Times New Roman" w:eastAsia="Calibri" w:hAnsi="Times New Roman" w:cs="Times New Roman"/>
          <w:sz w:val="28"/>
        </w:rPr>
        <w:t>%</w:t>
      </w:r>
      <w:r w:rsidR="00B32F92" w:rsidRPr="00B420E0">
        <w:rPr>
          <w:rFonts w:ascii="Times New Roman" w:eastAsia="Calibri" w:hAnsi="Times New Roman" w:cs="Times New Roman"/>
          <w:sz w:val="28"/>
        </w:rPr>
        <w:t xml:space="preserve"> ежегодно</w:t>
      </w:r>
      <w:r w:rsidR="00122DFB" w:rsidRPr="00B420E0">
        <w:rPr>
          <w:rFonts w:ascii="Times New Roman" w:eastAsia="Calibri" w:hAnsi="Times New Roman" w:cs="Times New Roman"/>
          <w:sz w:val="28"/>
        </w:rPr>
        <w:t xml:space="preserve"> (</w:t>
      </w:r>
      <w:r w:rsidR="009E5E6D" w:rsidRPr="00B420E0">
        <w:rPr>
          <w:rFonts w:ascii="Times New Roman" w:eastAsia="Calibri" w:hAnsi="Times New Roman" w:cs="Times New Roman"/>
          <w:sz w:val="28"/>
        </w:rPr>
        <w:t>1</w:t>
      </w:r>
      <w:r w:rsidR="00B32F92" w:rsidRPr="00B420E0">
        <w:rPr>
          <w:rFonts w:ascii="Times New Roman" w:eastAsia="Calibri" w:hAnsi="Times New Roman" w:cs="Times New Roman"/>
          <w:sz w:val="28"/>
        </w:rPr>
        <w:t> 301,7</w:t>
      </w:r>
      <w:r w:rsidR="00652962" w:rsidRPr="00B420E0">
        <w:rPr>
          <w:rFonts w:ascii="Times New Roman" w:eastAsia="Calibri" w:hAnsi="Times New Roman" w:cs="Times New Roman"/>
          <w:sz w:val="28"/>
        </w:rPr>
        <w:t xml:space="preserve"> </w:t>
      </w:r>
      <w:r w:rsidR="009E5E6D" w:rsidRPr="00B420E0">
        <w:rPr>
          <w:rFonts w:ascii="Times New Roman" w:eastAsia="Calibri" w:hAnsi="Times New Roman" w:cs="Times New Roman"/>
          <w:sz w:val="28"/>
        </w:rPr>
        <w:t>млн</w:t>
      </w:r>
      <w:r w:rsidR="00122DFB" w:rsidRPr="00B420E0">
        <w:rPr>
          <w:rFonts w:ascii="Times New Roman" w:eastAsia="Calibri" w:hAnsi="Times New Roman" w:cs="Times New Roman"/>
          <w:sz w:val="28"/>
        </w:rPr>
        <w:t>. рублей</w:t>
      </w:r>
      <w:r w:rsidR="00B32F92" w:rsidRPr="00B420E0">
        <w:rPr>
          <w:rFonts w:ascii="Times New Roman" w:eastAsia="Calibri" w:hAnsi="Times New Roman" w:cs="Times New Roman"/>
          <w:sz w:val="28"/>
        </w:rPr>
        <w:t xml:space="preserve"> в 2023 году и 1 317,9 </w:t>
      </w:r>
      <w:r w:rsidR="009E5E6D" w:rsidRPr="00B420E0">
        <w:rPr>
          <w:rFonts w:ascii="Times New Roman" w:eastAsia="Calibri" w:hAnsi="Times New Roman" w:cs="Times New Roman"/>
          <w:sz w:val="28"/>
        </w:rPr>
        <w:t>млн.</w:t>
      </w:r>
      <w:r w:rsidR="00122DFB" w:rsidRPr="00B420E0">
        <w:rPr>
          <w:rFonts w:ascii="Times New Roman" w:eastAsia="Calibri" w:hAnsi="Times New Roman" w:cs="Times New Roman"/>
          <w:sz w:val="28"/>
        </w:rPr>
        <w:t xml:space="preserve"> рублей</w:t>
      </w:r>
      <w:r w:rsidR="00B32F92" w:rsidRPr="00B420E0">
        <w:rPr>
          <w:rFonts w:ascii="Times New Roman" w:eastAsia="Calibri" w:hAnsi="Times New Roman" w:cs="Times New Roman"/>
          <w:sz w:val="28"/>
        </w:rPr>
        <w:t xml:space="preserve"> в 2024 году</w:t>
      </w:r>
      <w:r w:rsidR="00122DFB" w:rsidRPr="00B420E0">
        <w:rPr>
          <w:rFonts w:ascii="Times New Roman" w:eastAsia="Calibri" w:hAnsi="Times New Roman" w:cs="Times New Roman"/>
          <w:sz w:val="28"/>
        </w:rPr>
        <w:t>).</w:t>
      </w:r>
    </w:p>
    <w:p w14:paraId="17AC3F6C" w14:textId="77777777" w:rsidR="0000546A" w:rsidRPr="00FB7390" w:rsidRDefault="00C51AEF" w:rsidP="00FB7390">
      <w:pPr>
        <w:spacing w:after="0" w:line="240" w:lineRule="auto"/>
        <w:ind w:firstLine="709"/>
        <w:jc w:val="both"/>
        <w:rPr>
          <w:rFonts w:ascii="Times New Roman" w:eastAsia="Calibri" w:hAnsi="Times New Roman" w:cs="Times New Roman"/>
          <w:spacing w:val="-4"/>
          <w:sz w:val="28"/>
          <w:szCs w:val="28"/>
        </w:rPr>
      </w:pPr>
      <w:r w:rsidRPr="00FB7390">
        <w:rPr>
          <w:rFonts w:ascii="Times New Roman" w:eastAsia="Calibri" w:hAnsi="Times New Roman" w:cs="Times New Roman"/>
          <w:spacing w:val="-4"/>
          <w:sz w:val="28"/>
          <w:szCs w:val="28"/>
        </w:rPr>
        <w:t xml:space="preserve">Неналоговые доходы </w:t>
      </w:r>
      <w:r w:rsidR="007A13D0" w:rsidRPr="00FB7390">
        <w:rPr>
          <w:rFonts w:ascii="Times New Roman" w:hAnsi="Times New Roman"/>
          <w:spacing w:val="-4"/>
          <w:sz w:val="28"/>
          <w:szCs w:val="28"/>
        </w:rPr>
        <w:t xml:space="preserve">более чем </w:t>
      </w:r>
      <w:r w:rsidRPr="00FB7390">
        <w:rPr>
          <w:rFonts w:ascii="Times New Roman" w:eastAsia="Calibri" w:hAnsi="Times New Roman" w:cs="Times New Roman"/>
          <w:spacing w:val="-4"/>
          <w:sz w:val="28"/>
          <w:szCs w:val="28"/>
        </w:rPr>
        <w:t>на 80% сформированы за счет штрафов, санкций и возмещения ущерба (</w:t>
      </w:r>
      <w:r w:rsidR="009746D2" w:rsidRPr="00FB7390">
        <w:rPr>
          <w:rFonts w:ascii="Times New Roman" w:eastAsia="Calibri" w:hAnsi="Times New Roman" w:cs="Times New Roman"/>
          <w:spacing w:val="-4"/>
          <w:sz w:val="28"/>
          <w:szCs w:val="28"/>
        </w:rPr>
        <w:t>83,1</w:t>
      </w:r>
      <w:r w:rsidRPr="00FB7390">
        <w:rPr>
          <w:rFonts w:ascii="Times New Roman" w:eastAsia="Calibri" w:hAnsi="Times New Roman" w:cs="Times New Roman"/>
          <w:spacing w:val="-4"/>
          <w:sz w:val="28"/>
          <w:szCs w:val="28"/>
        </w:rPr>
        <w:t xml:space="preserve">%, </w:t>
      </w:r>
      <w:r w:rsidR="009746D2" w:rsidRPr="00FB7390">
        <w:rPr>
          <w:rFonts w:ascii="Times New Roman" w:eastAsia="Calibri" w:hAnsi="Times New Roman" w:cs="Times New Roman"/>
          <w:spacing w:val="-4"/>
          <w:sz w:val="28"/>
          <w:szCs w:val="28"/>
        </w:rPr>
        <w:t>84,7</w:t>
      </w:r>
      <w:r w:rsidRPr="00FB7390">
        <w:rPr>
          <w:rFonts w:ascii="Times New Roman" w:eastAsia="Calibri" w:hAnsi="Times New Roman" w:cs="Times New Roman"/>
          <w:spacing w:val="-4"/>
          <w:sz w:val="28"/>
          <w:szCs w:val="28"/>
        </w:rPr>
        <w:t xml:space="preserve">%, </w:t>
      </w:r>
      <w:r w:rsidR="009746D2" w:rsidRPr="00FB7390">
        <w:rPr>
          <w:rFonts w:ascii="Times New Roman" w:eastAsia="Calibri" w:hAnsi="Times New Roman" w:cs="Times New Roman"/>
          <w:spacing w:val="-4"/>
          <w:sz w:val="28"/>
          <w:szCs w:val="28"/>
        </w:rPr>
        <w:t>85,2</w:t>
      </w:r>
      <w:r w:rsidRPr="00FB7390">
        <w:rPr>
          <w:rFonts w:ascii="Times New Roman" w:eastAsia="Calibri" w:hAnsi="Times New Roman" w:cs="Times New Roman"/>
          <w:spacing w:val="-4"/>
          <w:sz w:val="28"/>
          <w:szCs w:val="28"/>
        </w:rPr>
        <w:t>% от объема неналоговых доходов соответственно на 202</w:t>
      </w:r>
      <w:r w:rsidR="009746D2" w:rsidRPr="00FB7390">
        <w:rPr>
          <w:rFonts w:ascii="Times New Roman" w:eastAsia="Calibri" w:hAnsi="Times New Roman" w:cs="Times New Roman"/>
          <w:spacing w:val="-4"/>
          <w:sz w:val="28"/>
          <w:szCs w:val="28"/>
        </w:rPr>
        <w:t>2</w:t>
      </w:r>
      <w:r w:rsidRPr="00FB7390">
        <w:rPr>
          <w:rFonts w:ascii="Times New Roman" w:eastAsia="Calibri" w:hAnsi="Times New Roman" w:cs="Times New Roman"/>
          <w:spacing w:val="-4"/>
          <w:sz w:val="28"/>
          <w:szCs w:val="28"/>
        </w:rPr>
        <w:t>, 202</w:t>
      </w:r>
      <w:r w:rsidR="009746D2" w:rsidRPr="00FB7390">
        <w:rPr>
          <w:rFonts w:ascii="Times New Roman" w:eastAsia="Calibri" w:hAnsi="Times New Roman" w:cs="Times New Roman"/>
          <w:spacing w:val="-4"/>
          <w:sz w:val="28"/>
          <w:szCs w:val="28"/>
        </w:rPr>
        <w:t>3</w:t>
      </w:r>
      <w:r w:rsidRPr="00FB7390">
        <w:rPr>
          <w:rFonts w:ascii="Times New Roman" w:eastAsia="Calibri" w:hAnsi="Times New Roman" w:cs="Times New Roman"/>
          <w:spacing w:val="-4"/>
          <w:sz w:val="28"/>
          <w:szCs w:val="28"/>
        </w:rPr>
        <w:t>, 202</w:t>
      </w:r>
      <w:r w:rsidR="009746D2" w:rsidRPr="00FB7390">
        <w:rPr>
          <w:rFonts w:ascii="Times New Roman" w:eastAsia="Calibri" w:hAnsi="Times New Roman" w:cs="Times New Roman"/>
          <w:spacing w:val="-4"/>
          <w:sz w:val="28"/>
          <w:szCs w:val="28"/>
        </w:rPr>
        <w:t>4</w:t>
      </w:r>
      <w:r w:rsidRPr="00FB7390">
        <w:rPr>
          <w:rFonts w:ascii="Times New Roman" w:eastAsia="Calibri" w:hAnsi="Times New Roman" w:cs="Times New Roman"/>
          <w:spacing w:val="-4"/>
          <w:sz w:val="28"/>
          <w:szCs w:val="28"/>
        </w:rPr>
        <w:t xml:space="preserve"> годы).</w:t>
      </w:r>
    </w:p>
    <w:p w14:paraId="7B971FDD" w14:textId="314379A7" w:rsidR="004E4D45" w:rsidRPr="00FB7390" w:rsidRDefault="00E05091" w:rsidP="00FB7390">
      <w:pPr>
        <w:spacing w:after="0" w:line="240" w:lineRule="auto"/>
        <w:ind w:firstLine="709"/>
        <w:jc w:val="both"/>
        <w:rPr>
          <w:rFonts w:ascii="Times New Roman" w:eastAsia="Calibri" w:hAnsi="Times New Roman" w:cs="Times New Roman"/>
          <w:spacing w:val="-4"/>
          <w:sz w:val="28"/>
          <w:szCs w:val="28"/>
        </w:rPr>
      </w:pPr>
      <w:r w:rsidRPr="00FB7390">
        <w:rPr>
          <w:rFonts w:ascii="Times New Roman" w:eastAsia="Calibri" w:hAnsi="Times New Roman" w:cs="Times New Roman"/>
          <w:spacing w:val="-4"/>
          <w:sz w:val="28"/>
          <w:szCs w:val="28"/>
        </w:rPr>
        <w:t>Доля д</w:t>
      </w:r>
      <w:r w:rsidR="00C51AEF" w:rsidRPr="00FB7390">
        <w:rPr>
          <w:rFonts w:ascii="Times New Roman" w:eastAsia="Calibri" w:hAnsi="Times New Roman" w:cs="Times New Roman"/>
          <w:spacing w:val="-4"/>
          <w:sz w:val="28"/>
          <w:szCs w:val="28"/>
        </w:rPr>
        <w:t>оход</w:t>
      </w:r>
      <w:r w:rsidRPr="00FB7390">
        <w:rPr>
          <w:rFonts w:ascii="Times New Roman" w:eastAsia="Calibri" w:hAnsi="Times New Roman" w:cs="Times New Roman"/>
          <w:spacing w:val="-4"/>
          <w:sz w:val="28"/>
          <w:szCs w:val="28"/>
        </w:rPr>
        <w:t>ов</w:t>
      </w:r>
      <w:r w:rsidR="00E82BD5" w:rsidRPr="00FB7390">
        <w:rPr>
          <w:rFonts w:ascii="Times New Roman" w:eastAsia="Calibri" w:hAnsi="Times New Roman" w:cs="Times New Roman"/>
          <w:spacing w:val="-4"/>
          <w:sz w:val="28"/>
          <w:szCs w:val="28"/>
        </w:rPr>
        <w:t xml:space="preserve"> </w:t>
      </w:r>
      <w:r w:rsidRPr="00FB7390">
        <w:rPr>
          <w:rFonts w:ascii="Times New Roman" w:eastAsia="Calibri" w:hAnsi="Times New Roman" w:cs="Times New Roman"/>
          <w:spacing w:val="-4"/>
          <w:sz w:val="28"/>
          <w:szCs w:val="28"/>
        </w:rPr>
        <w:t xml:space="preserve">от использования имущества и доходов </w:t>
      </w:r>
      <w:r w:rsidR="00C51AEF" w:rsidRPr="00FB7390">
        <w:rPr>
          <w:rFonts w:ascii="Times New Roman" w:eastAsia="Calibri" w:hAnsi="Times New Roman" w:cs="Times New Roman"/>
          <w:spacing w:val="-4"/>
          <w:sz w:val="28"/>
          <w:szCs w:val="28"/>
        </w:rPr>
        <w:t>от продажи материальных и нематериальных активов</w:t>
      </w:r>
      <w:r w:rsidR="00EC0249" w:rsidRPr="00FB7390">
        <w:rPr>
          <w:rFonts w:ascii="Times New Roman" w:eastAsia="Calibri" w:hAnsi="Times New Roman" w:cs="Times New Roman"/>
          <w:spacing w:val="-4"/>
          <w:sz w:val="28"/>
          <w:szCs w:val="28"/>
        </w:rPr>
        <w:t xml:space="preserve"> в объеме неналоговых доходов </w:t>
      </w:r>
      <w:r w:rsidR="00C87B03" w:rsidRPr="00FB7390">
        <w:rPr>
          <w:rFonts w:ascii="Times New Roman" w:eastAsia="Calibri" w:hAnsi="Times New Roman" w:cs="Times New Roman"/>
          <w:spacing w:val="-4"/>
          <w:sz w:val="28"/>
          <w:szCs w:val="28"/>
        </w:rPr>
        <w:t>по оценке исполнения бюджета в 2021 году составит 14,3%</w:t>
      </w:r>
      <w:r w:rsidR="003D4735" w:rsidRPr="00FB7390">
        <w:rPr>
          <w:rFonts w:ascii="Times New Roman" w:eastAsia="Calibri" w:hAnsi="Times New Roman" w:cs="Times New Roman"/>
          <w:spacing w:val="-4"/>
          <w:sz w:val="28"/>
          <w:szCs w:val="28"/>
        </w:rPr>
        <w:t xml:space="preserve"> (</w:t>
      </w:r>
      <w:r w:rsidR="00C87B03" w:rsidRPr="00FB7390">
        <w:rPr>
          <w:rFonts w:ascii="Times New Roman" w:eastAsia="Calibri" w:hAnsi="Times New Roman" w:cs="Times New Roman"/>
          <w:spacing w:val="-4"/>
          <w:sz w:val="28"/>
          <w:szCs w:val="28"/>
        </w:rPr>
        <w:t>338,9 млн. рублей</w:t>
      </w:r>
      <w:r w:rsidR="003D4735" w:rsidRPr="00FB7390">
        <w:rPr>
          <w:rFonts w:ascii="Times New Roman" w:eastAsia="Calibri" w:hAnsi="Times New Roman" w:cs="Times New Roman"/>
          <w:spacing w:val="-4"/>
          <w:sz w:val="28"/>
          <w:szCs w:val="28"/>
        </w:rPr>
        <w:t xml:space="preserve">). </w:t>
      </w:r>
      <w:r w:rsidR="003D4735" w:rsidRPr="00FB7390">
        <w:rPr>
          <w:rFonts w:ascii="Times New Roman" w:eastAsia="Calibri" w:hAnsi="Times New Roman" w:cs="Times New Roman"/>
          <w:spacing w:val="-4"/>
          <w:sz w:val="28"/>
          <w:szCs w:val="28"/>
        </w:rPr>
        <w:lastRenderedPageBreak/>
        <w:t>С</w:t>
      </w:r>
      <w:r w:rsidR="00C87B03" w:rsidRPr="00FB7390">
        <w:rPr>
          <w:rFonts w:ascii="Times New Roman" w:eastAsia="Calibri" w:hAnsi="Times New Roman" w:cs="Times New Roman"/>
          <w:spacing w:val="-4"/>
          <w:sz w:val="28"/>
          <w:szCs w:val="28"/>
        </w:rPr>
        <w:t xml:space="preserve">огласно </w:t>
      </w:r>
      <w:proofErr w:type="gramStart"/>
      <w:r w:rsidR="00C87B03" w:rsidRPr="00FB7390">
        <w:rPr>
          <w:rFonts w:ascii="Times New Roman" w:eastAsia="Calibri" w:hAnsi="Times New Roman" w:cs="Times New Roman"/>
          <w:spacing w:val="-4"/>
          <w:sz w:val="28"/>
          <w:szCs w:val="28"/>
        </w:rPr>
        <w:t>Законопроекту</w:t>
      </w:r>
      <w:proofErr w:type="gramEnd"/>
      <w:r w:rsidR="00C87B03" w:rsidRPr="00FB7390">
        <w:rPr>
          <w:rFonts w:ascii="Times New Roman" w:eastAsia="Calibri" w:hAnsi="Times New Roman" w:cs="Times New Roman"/>
          <w:spacing w:val="-4"/>
          <w:sz w:val="28"/>
          <w:szCs w:val="28"/>
        </w:rPr>
        <w:t xml:space="preserve"> </w:t>
      </w:r>
      <w:r w:rsidR="00E82BD5" w:rsidRPr="00FB7390">
        <w:rPr>
          <w:rFonts w:ascii="Times New Roman" w:eastAsia="Calibri" w:hAnsi="Times New Roman" w:cs="Times New Roman"/>
          <w:spacing w:val="-4"/>
          <w:sz w:val="28"/>
          <w:szCs w:val="28"/>
        </w:rPr>
        <w:t xml:space="preserve">в </w:t>
      </w:r>
      <w:r w:rsidR="00C87B03" w:rsidRPr="00FB7390">
        <w:rPr>
          <w:rFonts w:ascii="Times New Roman" w:eastAsia="Calibri" w:hAnsi="Times New Roman" w:cs="Times New Roman"/>
          <w:spacing w:val="-4"/>
          <w:sz w:val="28"/>
          <w:szCs w:val="28"/>
        </w:rPr>
        <w:t xml:space="preserve">новом бюджетном цикле </w:t>
      </w:r>
      <w:r w:rsidR="003D4735" w:rsidRPr="00FB7390">
        <w:rPr>
          <w:rFonts w:ascii="Times New Roman" w:eastAsia="Calibri" w:hAnsi="Times New Roman" w:cs="Times New Roman"/>
          <w:spacing w:val="-4"/>
          <w:sz w:val="28"/>
          <w:szCs w:val="28"/>
        </w:rPr>
        <w:t>доля</w:t>
      </w:r>
      <w:r w:rsidR="001724A8" w:rsidRPr="00FB7390">
        <w:rPr>
          <w:rFonts w:ascii="Times New Roman" w:eastAsia="Calibri" w:hAnsi="Times New Roman" w:cs="Times New Roman"/>
          <w:spacing w:val="-4"/>
          <w:sz w:val="28"/>
          <w:szCs w:val="28"/>
        </w:rPr>
        <w:t xml:space="preserve"> указанных доходов существенно снижается и </w:t>
      </w:r>
      <w:r w:rsidR="00C87B03" w:rsidRPr="00FB7390">
        <w:rPr>
          <w:rFonts w:ascii="Times New Roman" w:eastAsia="Calibri" w:hAnsi="Times New Roman" w:cs="Times New Roman"/>
          <w:spacing w:val="-4"/>
          <w:sz w:val="28"/>
          <w:szCs w:val="28"/>
        </w:rPr>
        <w:t>составит</w:t>
      </w:r>
      <w:r w:rsidR="00FD47E7" w:rsidRPr="00FB7390">
        <w:rPr>
          <w:rFonts w:ascii="Times New Roman" w:eastAsia="Calibri" w:hAnsi="Times New Roman" w:cs="Times New Roman"/>
          <w:spacing w:val="-4"/>
          <w:sz w:val="28"/>
          <w:szCs w:val="28"/>
        </w:rPr>
        <w:t xml:space="preserve"> в 202</w:t>
      </w:r>
      <w:r w:rsidR="00C87B03" w:rsidRPr="00FB7390">
        <w:rPr>
          <w:rFonts w:ascii="Times New Roman" w:eastAsia="Calibri" w:hAnsi="Times New Roman" w:cs="Times New Roman"/>
          <w:spacing w:val="-4"/>
          <w:sz w:val="28"/>
          <w:szCs w:val="28"/>
        </w:rPr>
        <w:t>2</w:t>
      </w:r>
      <w:r w:rsidR="003D4735" w:rsidRPr="00FB7390">
        <w:rPr>
          <w:rFonts w:ascii="Times New Roman" w:eastAsia="Calibri" w:hAnsi="Times New Roman" w:cs="Times New Roman"/>
          <w:spacing w:val="-4"/>
          <w:sz w:val="28"/>
          <w:szCs w:val="28"/>
        </w:rPr>
        <w:t xml:space="preserve"> году 5,5%</w:t>
      </w:r>
      <w:r w:rsidR="00FD47E7" w:rsidRPr="00FB7390">
        <w:rPr>
          <w:rFonts w:ascii="Times New Roman" w:eastAsia="Calibri" w:hAnsi="Times New Roman" w:cs="Times New Roman"/>
          <w:spacing w:val="-4"/>
          <w:sz w:val="28"/>
          <w:szCs w:val="28"/>
        </w:rPr>
        <w:t>,</w:t>
      </w:r>
      <w:r w:rsidR="003D4735" w:rsidRPr="00FB7390">
        <w:rPr>
          <w:rFonts w:ascii="Times New Roman" w:eastAsia="Calibri" w:hAnsi="Times New Roman" w:cs="Times New Roman"/>
          <w:spacing w:val="-4"/>
          <w:sz w:val="28"/>
          <w:szCs w:val="28"/>
        </w:rPr>
        <w:t xml:space="preserve"> или 74,9 млн. рублей, в том числе</w:t>
      </w:r>
      <w:r w:rsidR="00B677AD" w:rsidRPr="00FB7390">
        <w:rPr>
          <w:rFonts w:ascii="Times New Roman" w:eastAsia="Calibri" w:hAnsi="Times New Roman" w:cs="Times New Roman"/>
          <w:spacing w:val="-4"/>
          <w:sz w:val="28"/>
          <w:szCs w:val="28"/>
        </w:rPr>
        <w:t>:</w:t>
      </w:r>
      <w:r w:rsidR="003D4735" w:rsidRPr="00FB7390">
        <w:rPr>
          <w:rFonts w:ascii="Times New Roman" w:eastAsia="Calibri" w:hAnsi="Times New Roman" w:cs="Times New Roman"/>
          <w:spacing w:val="-4"/>
          <w:sz w:val="28"/>
          <w:szCs w:val="28"/>
        </w:rPr>
        <w:t xml:space="preserve"> доходы от использования имущества – </w:t>
      </w:r>
      <w:r w:rsidR="00B677AD" w:rsidRPr="00FB7390">
        <w:rPr>
          <w:rFonts w:ascii="Times New Roman" w:eastAsia="Calibri" w:hAnsi="Times New Roman" w:cs="Times New Roman"/>
          <w:spacing w:val="-4"/>
          <w:sz w:val="28"/>
          <w:szCs w:val="28"/>
        </w:rPr>
        <w:t>57,3 млн. рублей</w:t>
      </w:r>
      <w:r w:rsidR="00B677AD" w:rsidRPr="00FB7390">
        <w:rPr>
          <w:rStyle w:val="a5"/>
          <w:rFonts w:ascii="Times New Roman" w:eastAsia="Calibri" w:hAnsi="Times New Roman" w:cs="Times New Roman"/>
          <w:spacing w:val="-4"/>
          <w:sz w:val="28"/>
          <w:szCs w:val="28"/>
        </w:rPr>
        <w:footnoteReference w:id="12"/>
      </w:r>
      <w:r w:rsidR="00B677AD" w:rsidRPr="00FB7390">
        <w:rPr>
          <w:rFonts w:ascii="Times New Roman" w:eastAsia="Calibri" w:hAnsi="Times New Roman" w:cs="Times New Roman"/>
          <w:spacing w:val="-4"/>
          <w:sz w:val="28"/>
          <w:szCs w:val="28"/>
        </w:rPr>
        <w:t xml:space="preserve">; доходы от продажи материальных и нематериальных активов </w:t>
      </w:r>
      <w:r w:rsidR="009D4F89" w:rsidRPr="00FB7390">
        <w:rPr>
          <w:rFonts w:ascii="Times New Roman" w:eastAsia="Calibri" w:hAnsi="Times New Roman" w:cs="Times New Roman"/>
          <w:spacing w:val="-4"/>
          <w:sz w:val="28"/>
          <w:szCs w:val="28"/>
        </w:rPr>
        <w:t xml:space="preserve">– </w:t>
      </w:r>
      <w:r w:rsidR="00B677AD" w:rsidRPr="00FB7390">
        <w:rPr>
          <w:rFonts w:ascii="Times New Roman" w:eastAsia="Calibri" w:hAnsi="Times New Roman" w:cs="Times New Roman"/>
          <w:spacing w:val="-4"/>
          <w:sz w:val="28"/>
          <w:szCs w:val="28"/>
        </w:rPr>
        <w:t>17,6 млн. рублей</w:t>
      </w:r>
      <w:r w:rsidR="009D4F89" w:rsidRPr="00FB7390">
        <w:rPr>
          <w:rStyle w:val="a5"/>
          <w:rFonts w:ascii="Times New Roman" w:eastAsia="Calibri" w:hAnsi="Times New Roman" w:cs="Times New Roman"/>
          <w:spacing w:val="-4"/>
          <w:sz w:val="28"/>
          <w:szCs w:val="28"/>
        </w:rPr>
        <w:footnoteReference w:id="13"/>
      </w:r>
      <w:r w:rsidR="009D4F89" w:rsidRPr="00FB7390">
        <w:rPr>
          <w:rFonts w:ascii="Times New Roman" w:eastAsia="Calibri" w:hAnsi="Times New Roman" w:cs="Times New Roman"/>
          <w:spacing w:val="-4"/>
          <w:sz w:val="28"/>
          <w:szCs w:val="28"/>
        </w:rPr>
        <w:t>. Доли указанных доходов в 2023, 2024 годах составят соответственно 3,3%, 2,9%.</w:t>
      </w:r>
    </w:p>
    <w:p w14:paraId="0AF635B3" w14:textId="77777777" w:rsidR="00AB6B0A" w:rsidRPr="009A040C" w:rsidRDefault="000B6292" w:rsidP="00FB7390">
      <w:pPr>
        <w:spacing w:before="120" w:after="0" w:line="240" w:lineRule="auto"/>
        <w:ind w:firstLine="709"/>
        <w:jc w:val="both"/>
        <w:rPr>
          <w:rFonts w:ascii="Times New Roman" w:eastAsia="Times New Roman" w:hAnsi="Times New Roman" w:cs="Times New Roman"/>
          <w:i/>
          <w:sz w:val="28"/>
          <w:szCs w:val="28"/>
          <w:lang w:eastAsia="ru-RU"/>
        </w:rPr>
      </w:pPr>
      <w:r w:rsidRPr="009A040C">
        <w:rPr>
          <w:rFonts w:ascii="Times New Roman" w:eastAsia="Times New Roman" w:hAnsi="Times New Roman" w:cs="Times New Roman"/>
          <w:i/>
          <w:sz w:val="28"/>
          <w:szCs w:val="28"/>
          <w:lang w:eastAsia="ru-RU"/>
        </w:rPr>
        <w:t>Безвозмездные поступления</w:t>
      </w:r>
    </w:p>
    <w:p w14:paraId="2276D105" w14:textId="600D165B" w:rsidR="0084474C" w:rsidRPr="00FB7390" w:rsidRDefault="005C4B1A" w:rsidP="00FB7390">
      <w:pPr>
        <w:spacing w:after="0" w:line="240" w:lineRule="auto"/>
        <w:ind w:firstLine="709"/>
        <w:jc w:val="both"/>
        <w:rPr>
          <w:rFonts w:ascii="Times New Roman" w:eastAsia="Calibri" w:hAnsi="Times New Roman" w:cs="Times New Roman"/>
          <w:sz w:val="28"/>
          <w:szCs w:val="28"/>
        </w:rPr>
      </w:pPr>
      <w:r w:rsidRPr="00FB7390">
        <w:rPr>
          <w:rFonts w:ascii="Times New Roman" w:eastAsia="Calibri" w:hAnsi="Times New Roman" w:cs="Times New Roman"/>
          <w:sz w:val="28"/>
          <w:szCs w:val="28"/>
        </w:rPr>
        <w:t>Статьей 6 Законопроекта предусматриваются к утверждению безвозмездные поступления</w:t>
      </w:r>
      <w:r w:rsidR="004973E7" w:rsidRPr="00FB7390">
        <w:rPr>
          <w:rFonts w:ascii="Times New Roman" w:eastAsia="Calibri" w:hAnsi="Times New Roman" w:cs="Times New Roman"/>
          <w:sz w:val="28"/>
          <w:szCs w:val="28"/>
        </w:rPr>
        <w:t>. Н</w:t>
      </w:r>
      <w:r w:rsidR="003F6346" w:rsidRPr="00FB7390">
        <w:rPr>
          <w:rFonts w:ascii="Times New Roman" w:eastAsia="Calibri" w:hAnsi="Times New Roman" w:cs="Times New Roman"/>
          <w:sz w:val="28"/>
          <w:szCs w:val="28"/>
        </w:rPr>
        <w:t>а 202</w:t>
      </w:r>
      <w:r w:rsidR="00DA1B8E" w:rsidRPr="00FB7390">
        <w:rPr>
          <w:rFonts w:ascii="Times New Roman" w:eastAsia="Calibri" w:hAnsi="Times New Roman" w:cs="Times New Roman"/>
          <w:sz w:val="28"/>
          <w:szCs w:val="28"/>
        </w:rPr>
        <w:t>2</w:t>
      </w:r>
      <w:r w:rsidR="003F6346" w:rsidRPr="00FB7390">
        <w:rPr>
          <w:rFonts w:ascii="Times New Roman" w:eastAsia="Calibri" w:hAnsi="Times New Roman" w:cs="Times New Roman"/>
          <w:sz w:val="28"/>
          <w:szCs w:val="28"/>
        </w:rPr>
        <w:t xml:space="preserve"> год</w:t>
      </w:r>
      <w:r w:rsidR="00652962" w:rsidRPr="00FB7390">
        <w:rPr>
          <w:rFonts w:ascii="Times New Roman" w:eastAsia="Calibri" w:hAnsi="Times New Roman" w:cs="Times New Roman"/>
          <w:sz w:val="28"/>
          <w:szCs w:val="28"/>
        </w:rPr>
        <w:t xml:space="preserve"> </w:t>
      </w:r>
      <w:r w:rsidR="0084474C" w:rsidRPr="00FB7390">
        <w:rPr>
          <w:rFonts w:ascii="Times New Roman" w:eastAsia="Calibri" w:hAnsi="Times New Roman" w:cs="Times New Roman"/>
          <w:sz w:val="28"/>
          <w:szCs w:val="28"/>
        </w:rPr>
        <w:t>учтены поступления из федерального бюджета</w:t>
      </w:r>
      <w:r w:rsidR="00ED499B" w:rsidRPr="00FB7390">
        <w:rPr>
          <w:rFonts w:ascii="Times New Roman" w:eastAsia="Calibri" w:hAnsi="Times New Roman" w:cs="Times New Roman"/>
          <w:sz w:val="28"/>
          <w:szCs w:val="28"/>
        </w:rPr>
        <w:t xml:space="preserve"> </w:t>
      </w:r>
      <w:r w:rsidR="006268F6" w:rsidRPr="00FB7390">
        <w:rPr>
          <w:rFonts w:ascii="Times New Roman" w:eastAsia="Calibri" w:hAnsi="Times New Roman" w:cs="Times New Roman"/>
          <w:sz w:val="28"/>
          <w:szCs w:val="28"/>
        </w:rPr>
        <w:t xml:space="preserve">в сумме </w:t>
      </w:r>
      <w:r w:rsidR="00DA1B8E" w:rsidRPr="00FB7390">
        <w:rPr>
          <w:rFonts w:ascii="Times New Roman" w:eastAsia="Calibri" w:hAnsi="Times New Roman" w:cs="Times New Roman"/>
          <w:sz w:val="28"/>
          <w:szCs w:val="28"/>
        </w:rPr>
        <w:t>14 207,8</w:t>
      </w:r>
      <w:r w:rsidR="009E5E6D" w:rsidRPr="00FB7390">
        <w:rPr>
          <w:rFonts w:ascii="Times New Roman" w:eastAsia="Calibri" w:hAnsi="Times New Roman" w:cs="Times New Roman"/>
          <w:sz w:val="28"/>
          <w:szCs w:val="28"/>
        </w:rPr>
        <w:t xml:space="preserve"> </w:t>
      </w:r>
      <w:r w:rsidR="00DA1B8E" w:rsidRPr="00FB7390">
        <w:rPr>
          <w:rFonts w:ascii="Times New Roman" w:eastAsia="Calibri" w:hAnsi="Times New Roman" w:cs="Times New Roman"/>
          <w:sz w:val="28"/>
          <w:szCs w:val="28"/>
        </w:rPr>
        <w:t>млн</w:t>
      </w:r>
      <w:r w:rsidR="00ED499B" w:rsidRPr="00FB7390">
        <w:rPr>
          <w:rFonts w:ascii="Times New Roman" w:eastAsia="Calibri" w:hAnsi="Times New Roman" w:cs="Times New Roman"/>
          <w:sz w:val="28"/>
          <w:szCs w:val="28"/>
        </w:rPr>
        <w:t>. рублей</w:t>
      </w:r>
      <w:r w:rsidR="0084474C" w:rsidRPr="00FB7390">
        <w:rPr>
          <w:rFonts w:ascii="Times New Roman" w:eastAsia="Calibri" w:hAnsi="Times New Roman" w:cs="Times New Roman"/>
          <w:sz w:val="28"/>
          <w:szCs w:val="28"/>
        </w:rPr>
        <w:t>, субсидии из бюджета МО город Тула</w:t>
      </w:r>
      <w:r w:rsidR="00ED499B" w:rsidRPr="00FB7390">
        <w:rPr>
          <w:rFonts w:ascii="Times New Roman" w:eastAsia="Calibri" w:hAnsi="Times New Roman" w:cs="Times New Roman"/>
          <w:sz w:val="28"/>
          <w:szCs w:val="28"/>
        </w:rPr>
        <w:t xml:space="preserve"> </w:t>
      </w:r>
      <w:r w:rsidR="006268F6" w:rsidRPr="00FB7390">
        <w:rPr>
          <w:rFonts w:ascii="Times New Roman" w:eastAsia="Calibri" w:hAnsi="Times New Roman" w:cs="Times New Roman"/>
          <w:sz w:val="28"/>
          <w:szCs w:val="28"/>
        </w:rPr>
        <w:t xml:space="preserve">– </w:t>
      </w:r>
      <w:r w:rsidR="00DA1B8E" w:rsidRPr="00FB7390">
        <w:rPr>
          <w:rFonts w:ascii="Times New Roman" w:eastAsia="Calibri" w:hAnsi="Times New Roman" w:cs="Times New Roman"/>
          <w:sz w:val="28"/>
          <w:szCs w:val="28"/>
        </w:rPr>
        <w:t>72,1 млн</w:t>
      </w:r>
      <w:r w:rsidR="00ED499B" w:rsidRPr="00FB7390">
        <w:rPr>
          <w:rFonts w:ascii="Times New Roman" w:eastAsia="Calibri" w:hAnsi="Times New Roman" w:cs="Times New Roman"/>
          <w:sz w:val="28"/>
          <w:szCs w:val="28"/>
        </w:rPr>
        <w:t>. рублей</w:t>
      </w:r>
      <w:r w:rsidR="0084474C" w:rsidRPr="00FB7390">
        <w:rPr>
          <w:rFonts w:ascii="Times New Roman" w:eastAsia="Calibri" w:hAnsi="Times New Roman" w:cs="Times New Roman"/>
          <w:sz w:val="28"/>
          <w:szCs w:val="28"/>
        </w:rPr>
        <w:t xml:space="preserve">, </w:t>
      </w:r>
      <w:r w:rsidR="00984FFB" w:rsidRPr="00FB7390">
        <w:rPr>
          <w:rFonts w:ascii="Times New Roman" w:eastAsia="Calibri" w:hAnsi="Times New Roman" w:cs="Times New Roman"/>
          <w:sz w:val="28"/>
          <w:szCs w:val="28"/>
        </w:rPr>
        <w:t xml:space="preserve">прочие безвозмездные поступления от государственных организаций </w:t>
      </w:r>
      <w:r w:rsidR="006268F6" w:rsidRPr="00FB7390">
        <w:rPr>
          <w:rFonts w:ascii="Times New Roman" w:eastAsia="Calibri" w:hAnsi="Times New Roman" w:cs="Times New Roman"/>
          <w:sz w:val="28"/>
          <w:szCs w:val="28"/>
        </w:rPr>
        <w:t xml:space="preserve">– </w:t>
      </w:r>
      <w:r w:rsidR="00714B6B" w:rsidRPr="00FB7390">
        <w:rPr>
          <w:rFonts w:ascii="Times New Roman" w:eastAsia="Calibri" w:hAnsi="Times New Roman" w:cs="Times New Roman"/>
          <w:sz w:val="28"/>
          <w:szCs w:val="28"/>
        </w:rPr>
        <w:t>4</w:t>
      </w:r>
      <w:r w:rsidR="00DA1B8E" w:rsidRPr="00FB7390">
        <w:rPr>
          <w:rFonts w:ascii="Times New Roman" w:eastAsia="Calibri" w:hAnsi="Times New Roman" w:cs="Times New Roman"/>
          <w:sz w:val="28"/>
          <w:szCs w:val="28"/>
        </w:rPr>
        <w:t>,5 млн</w:t>
      </w:r>
      <w:r w:rsidR="00984FFB" w:rsidRPr="00FB7390">
        <w:rPr>
          <w:rFonts w:ascii="Times New Roman" w:eastAsia="Calibri" w:hAnsi="Times New Roman" w:cs="Times New Roman"/>
          <w:sz w:val="28"/>
          <w:szCs w:val="28"/>
        </w:rPr>
        <w:t>. рублей</w:t>
      </w:r>
      <w:r w:rsidR="00984FFB" w:rsidRPr="00FB7390">
        <w:rPr>
          <w:rFonts w:ascii="Times New Roman" w:eastAsia="Calibri" w:hAnsi="Times New Roman" w:cs="Times New Roman"/>
          <w:sz w:val="28"/>
          <w:szCs w:val="28"/>
          <w:vertAlign w:val="superscript"/>
        </w:rPr>
        <w:footnoteReference w:id="14"/>
      </w:r>
      <w:r w:rsidR="00984FFB" w:rsidRPr="00FB7390">
        <w:rPr>
          <w:rFonts w:ascii="Times New Roman" w:eastAsia="Calibri" w:hAnsi="Times New Roman" w:cs="Times New Roman"/>
          <w:sz w:val="28"/>
          <w:szCs w:val="28"/>
        </w:rPr>
        <w:t xml:space="preserve">, </w:t>
      </w:r>
      <w:r w:rsidR="0084474C" w:rsidRPr="00FB7390">
        <w:rPr>
          <w:rFonts w:ascii="Times New Roman" w:eastAsia="Calibri" w:hAnsi="Times New Roman" w:cs="Times New Roman"/>
          <w:sz w:val="28"/>
          <w:szCs w:val="28"/>
        </w:rPr>
        <w:t>прочие безвозмездные поступления</w:t>
      </w:r>
      <w:r w:rsidR="00984FFB" w:rsidRPr="00FB7390">
        <w:rPr>
          <w:rFonts w:ascii="Times New Roman" w:eastAsia="Calibri" w:hAnsi="Times New Roman" w:cs="Times New Roman"/>
          <w:sz w:val="28"/>
          <w:szCs w:val="28"/>
        </w:rPr>
        <w:t xml:space="preserve"> </w:t>
      </w:r>
      <w:r w:rsidR="006268F6" w:rsidRPr="00FB7390">
        <w:rPr>
          <w:rFonts w:ascii="Times New Roman" w:eastAsia="Calibri" w:hAnsi="Times New Roman" w:cs="Times New Roman"/>
          <w:sz w:val="28"/>
          <w:szCs w:val="28"/>
        </w:rPr>
        <w:t xml:space="preserve">– </w:t>
      </w:r>
      <w:r w:rsidR="00DA1B8E" w:rsidRPr="00FB7390">
        <w:rPr>
          <w:rFonts w:ascii="Times New Roman" w:eastAsia="Calibri" w:hAnsi="Times New Roman" w:cs="Times New Roman"/>
          <w:sz w:val="28"/>
          <w:szCs w:val="28"/>
        </w:rPr>
        <w:t>62,4 млн</w:t>
      </w:r>
      <w:r w:rsidR="00984FFB" w:rsidRPr="00FB7390">
        <w:rPr>
          <w:rFonts w:ascii="Times New Roman" w:eastAsia="Calibri" w:hAnsi="Times New Roman" w:cs="Times New Roman"/>
          <w:sz w:val="28"/>
          <w:szCs w:val="28"/>
        </w:rPr>
        <w:t>. рублей</w:t>
      </w:r>
      <w:r w:rsidR="00984FFB" w:rsidRPr="00FB7390">
        <w:rPr>
          <w:rFonts w:ascii="Times New Roman" w:eastAsia="Calibri" w:hAnsi="Times New Roman" w:cs="Times New Roman"/>
          <w:sz w:val="28"/>
          <w:szCs w:val="28"/>
          <w:vertAlign w:val="superscript"/>
        </w:rPr>
        <w:footnoteReference w:id="15"/>
      </w:r>
      <w:r w:rsidR="0084474C" w:rsidRPr="00FB7390">
        <w:rPr>
          <w:rFonts w:ascii="Times New Roman" w:eastAsia="Calibri" w:hAnsi="Times New Roman" w:cs="Times New Roman"/>
          <w:sz w:val="28"/>
          <w:szCs w:val="28"/>
        </w:rPr>
        <w:t>.</w:t>
      </w:r>
    </w:p>
    <w:p w14:paraId="2269EAF9" w14:textId="24993E70" w:rsidR="006268F6" w:rsidRPr="006268F6" w:rsidRDefault="006268F6" w:rsidP="00FB7390">
      <w:pPr>
        <w:spacing w:after="0" w:line="240" w:lineRule="auto"/>
        <w:ind w:firstLine="709"/>
        <w:jc w:val="both"/>
        <w:rPr>
          <w:rFonts w:ascii="PT Astra Serif" w:hAnsi="PT Astra Serif"/>
          <w:sz w:val="28"/>
          <w:szCs w:val="28"/>
        </w:rPr>
      </w:pPr>
      <w:r w:rsidRPr="006268F6">
        <w:rPr>
          <w:rFonts w:ascii="Times New Roman" w:eastAsia="Calibri" w:hAnsi="Times New Roman" w:cs="Times New Roman"/>
          <w:spacing w:val="-6"/>
          <w:sz w:val="28"/>
          <w:szCs w:val="28"/>
        </w:rPr>
        <w:t xml:space="preserve">В соответствии с пояснительной запиской к Законопроекту </w:t>
      </w:r>
      <w:r w:rsidRPr="006268F6">
        <w:rPr>
          <w:rFonts w:ascii="PT Astra Serif" w:hAnsi="PT Astra Serif"/>
          <w:sz w:val="28"/>
          <w:szCs w:val="28"/>
        </w:rPr>
        <w:t xml:space="preserve">безвозмездные поступления учитываются в доходах бюджета области в соответствии с </w:t>
      </w:r>
      <w:r w:rsidR="00445D5A">
        <w:rPr>
          <w:rFonts w:ascii="PT Astra Serif" w:hAnsi="PT Astra Serif"/>
          <w:sz w:val="28"/>
          <w:szCs w:val="28"/>
        </w:rPr>
        <w:t>П</w:t>
      </w:r>
      <w:r w:rsidRPr="006268F6">
        <w:rPr>
          <w:rFonts w:ascii="PT Astra Serif" w:hAnsi="PT Astra Serif"/>
          <w:sz w:val="28"/>
          <w:szCs w:val="28"/>
        </w:rPr>
        <w:t xml:space="preserve">роектом закона о федеральном бюджете на 2022 – 2024 годы и на основании сведений главных администраторов доходов. </w:t>
      </w:r>
    </w:p>
    <w:p w14:paraId="54682780" w14:textId="4DA74D93" w:rsidR="006268F6" w:rsidRPr="00170822" w:rsidRDefault="00814BE8" w:rsidP="00FB7390">
      <w:pPr>
        <w:spacing w:after="0" w:line="240" w:lineRule="auto"/>
        <w:ind w:firstLine="709"/>
        <w:jc w:val="both"/>
        <w:rPr>
          <w:rFonts w:ascii="Times New Roman" w:eastAsia="Calibri" w:hAnsi="Times New Roman" w:cs="Times New Roman"/>
          <w:sz w:val="28"/>
          <w:szCs w:val="28"/>
        </w:rPr>
      </w:pPr>
      <w:r w:rsidRPr="00170822">
        <w:rPr>
          <w:rFonts w:ascii="PT Astra Serif" w:hAnsi="PT Astra Serif"/>
          <w:sz w:val="28"/>
          <w:szCs w:val="28"/>
        </w:rPr>
        <w:t xml:space="preserve">Счетной палатой области проведен </w:t>
      </w:r>
      <w:r w:rsidR="006268F6" w:rsidRPr="00170822">
        <w:rPr>
          <w:rFonts w:ascii="PT Astra Serif" w:hAnsi="PT Astra Serif"/>
          <w:sz w:val="28"/>
          <w:szCs w:val="28"/>
        </w:rPr>
        <w:t>а</w:t>
      </w:r>
      <w:r w:rsidR="006268F6" w:rsidRPr="00170822">
        <w:rPr>
          <w:rFonts w:ascii="Times New Roman" w:eastAsia="Calibri" w:hAnsi="Times New Roman" w:cs="Times New Roman"/>
          <w:sz w:val="28"/>
          <w:szCs w:val="28"/>
        </w:rPr>
        <w:t xml:space="preserve">нализ прогнозного объема безвозмездных поступлений, формируемого за счет средств федерального бюджета, </w:t>
      </w:r>
      <w:r w:rsidRPr="00170822">
        <w:rPr>
          <w:rFonts w:ascii="Times New Roman" w:eastAsia="Calibri" w:hAnsi="Times New Roman" w:cs="Times New Roman"/>
          <w:sz w:val="28"/>
          <w:szCs w:val="28"/>
        </w:rPr>
        <w:t xml:space="preserve">который </w:t>
      </w:r>
      <w:r w:rsidR="006268F6" w:rsidRPr="00170822">
        <w:rPr>
          <w:rFonts w:ascii="Times New Roman" w:eastAsia="Calibri" w:hAnsi="Times New Roman" w:cs="Times New Roman"/>
          <w:sz w:val="28"/>
          <w:szCs w:val="28"/>
        </w:rPr>
        <w:t>показал, что в доходах бюджета области представленного Законопроекта не учтены федеральные средства, распределенные дл</w:t>
      </w:r>
      <w:r w:rsidR="004C2844">
        <w:rPr>
          <w:rFonts w:ascii="Times New Roman" w:eastAsia="Calibri" w:hAnsi="Times New Roman" w:cs="Times New Roman"/>
          <w:sz w:val="28"/>
          <w:szCs w:val="28"/>
        </w:rPr>
        <w:t>я Тульской области, в объеме 1 5</w:t>
      </w:r>
      <w:r w:rsidR="006268F6" w:rsidRPr="00170822">
        <w:rPr>
          <w:rFonts w:ascii="Times New Roman" w:eastAsia="Calibri" w:hAnsi="Times New Roman" w:cs="Times New Roman"/>
          <w:sz w:val="28"/>
          <w:szCs w:val="28"/>
        </w:rPr>
        <w:t>81,5 млн. рублей</w:t>
      </w:r>
      <w:r w:rsidR="006268F6" w:rsidRPr="00170822">
        <w:rPr>
          <w:rStyle w:val="a5"/>
          <w:rFonts w:ascii="Times New Roman" w:eastAsia="Calibri" w:hAnsi="Times New Roman" w:cs="Times New Roman"/>
          <w:sz w:val="28"/>
          <w:szCs w:val="28"/>
        </w:rPr>
        <w:footnoteReference w:id="16"/>
      </w:r>
      <w:r w:rsidR="006268F6" w:rsidRPr="00170822">
        <w:rPr>
          <w:rFonts w:ascii="Times New Roman" w:eastAsia="Calibri" w:hAnsi="Times New Roman" w:cs="Times New Roman"/>
          <w:sz w:val="28"/>
          <w:szCs w:val="28"/>
        </w:rPr>
        <w:t>, в том числе:</w:t>
      </w:r>
      <w:r w:rsidR="004C2844">
        <w:rPr>
          <w:rFonts w:ascii="Times New Roman" w:eastAsia="Calibri" w:hAnsi="Times New Roman" w:cs="Times New Roman"/>
          <w:sz w:val="28"/>
          <w:szCs w:val="28"/>
        </w:rPr>
        <w:t xml:space="preserve"> в объеме </w:t>
      </w:r>
      <w:r w:rsidR="004C2844">
        <w:rPr>
          <w:rFonts w:ascii="Times New Roman" w:eastAsia="Calibri" w:hAnsi="Times New Roman" w:cs="Times New Roman"/>
          <w:sz w:val="28"/>
          <w:szCs w:val="28"/>
        </w:rPr>
        <w:lastRenderedPageBreak/>
        <w:t>доходов на 2022 год –</w:t>
      </w:r>
      <w:r w:rsidR="00695EE3">
        <w:rPr>
          <w:rFonts w:ascii="Times New Roman" w:eastAsia="Calibri" w:hAnsi="Times New Roman" w:cs="Times New Roman"/>
          <w:sz w:val="28"/>
          <w:szCs w:val="28"/>
        </w:rPr>
        <w:t xml:space="preserve"> </w:t>
      </w:r>
      <w:r w:rsidR="004C2844">
        <w:rPr>
          <w:rFonts w:ascii="Times New Roman" w:eastAsia="Calibri" w:hAnsi="Times New Roman" w:cs="Times New Roman"/>
          <w:sz w:val="28"/>
          <w:szCs w:val="28"/>
        </w:rPr>
        <w:t>4</w:t>
      </w:r>
      <w:r w:rsidR="006268F6" w:rsidRPr="00170822">
        <w:rPr>
          <w:rFonts w:ascii="Times New Roman" w:eastAsia="Calibri" w:hAnsi="Times New Roman" w:cs="Times New Roman"/>
          <w:sz w:val="28"/>
          <w:szCs w:val="28"/>
        </w:rPr>
        <w:t>03,5 млн рублей</w:t>
      </w:r>
      <w:r w:rsidR="004C2844">
        <w:rPr>
          <w:rFonts w:ascii="Times New Roman" w:eastAsia="Calibri" w:hAnsi="Times New Roman" w:cs="Times New Roman"/>
          <w:sz w:val="28"/>
          <w:szCs w:val="28"/>
        </w:rPr>
        <w:t>; на 2023 год – 5</w:t>
      </w:r>
      <w:r w:rsidR="006268F6" w:rsidRPr="00170822">
        <w:rPr>
          <w:rFonts w:ascii="Times New Roman" w:eastAsia="Calibri" w:hAnsi="Times New Roman" w:cs="Times New Roman"/>
          <w:sz w:val="28"/>
          <w:szCs w:val="28"/>
        </w:rPr>
        <w:t xml:space="preserve">43,2 млн. рублей, на 2024 год – 634,8 млн. рублей.  </w:t>
      </w:r>
    </w:p>
    <w:p w14:paraId="433D811C" w14:textId="12A452DF" w:rsidR="00515EDE" w:rsidRPr="002B6005" w:rsidRDefault="00984FFB" w:rsidP="00333524">
      <w:pPr>
        <w:spacing w:after="0" w:line="240" w:lineRule="auto"/>
        <w:ind w:firstLine="709"/>
        <w:jc w:val="both"/>
        <w:rPr>
          <w:rFonts w:ascii="Times New Roman" w:eastAsia="Calibri" w:hAnsi="Times New Roman" w:cs="Times New Roman"/>
          <w:spacing w:val="-6"/>
          <w:sz w:val="28"/>
          <w:szCs w:val="28"/>
        </w:rPr>
      </w:pPr>
      <w:r w:rsidRPr="009A040C">
        <w:rPr>
          <w:rFonts w:ascii="Times New Roman" w:eastAsia="Calibri" w:hAnsi="Times New Roman" w:cs="Times New Roman"/>
          <w:spacing w:val="-6"/>
          <w:sz w:val="28"/>
          <w:szCs w:val="28"/>
        </w:rPr>
        <w:t>Д</w:t>
      </w:r>
      <w:r w:rsidR="0084474C" w:rsidRPr="009A040C">
        <w:rPr>
          <w:rFonts w:ascii="Times New Roman" w:eastAsia="Calibri" w:hAnsi="Times New Roman" w:cs="Times New Roman"/>
          <w:spacing w:val="-6"/>
          <w:sz w:val="28"/>
          <w:szCs w:val="28"/>
        </w:rPr>
        <w:t xml:space="preserve">оля средств </w:t>
      </w:r>
      <w:r w:rsidRPr="009A040C">
        <w:rPr>
          <w:rFonts w:ascii="Times New Roman" w:eastAsia="Calibri" w:hAnsi="Times New Roman" w:cs="Times New Roman"/>
          <w:spacing w:val="-6"/>
          <w:sz w:val="28"/>
          <w:szCs w:val="28"/>
        </w:rPr>
        <w:t xml:space="preserve">из </w:t>
      </w:r>
      <w:r w:rsidR="0084474C" w:rsidRPr="009A040C">
        <w:rPr>
          <w:rFonts w:ascii="Times New Roman" w:eastAsia="Calibri" w:hAnsi="Times New Roman" w:cs="Times New Roman"/>
          <w:spacing w:val="-6"/>
          <w:sz w:val="28"/>
          <w:szCs w:val="28"/>
        </w:rPr>
        <w:t xml:space="preserve">федерального бюджета </w:t>
      </w:r>
      <w:r w:rsidRPr="009A040C">
        <w:rPr>
          <w:rFonts w:ascii="Times New Roman" w:eastAsia="Calibri" w:hAnsi="Times New Roman" w:cs="Times New Roman"/>
          <w:spacing w:val="-6"/>
          <w:sz w:val="28"/>
          <w:szCs w:val="28"/>
        </w:rPr>
        <w:t xml:space="preserve">в объеме безвозмездных поступлений </w:t>
      </w:r>
      <w:r w:rsidR="0084474C" w:rsidRPr="009A040C">
        <w:rPr>
          <w:rFonts w:ascii="Times New Roman" w:eastAsia="Calibri" w:hAnsi="Times New Roman" w:cs="Times New Roman"/>
          <w:spacing w:val="-6"/>
          <w:sz w:val="28"/>
          <w:szCs w:val="28"/>
        </w:rPr>
        <w:t>состав</w:t>
      </w:r>
      <w:r w:rsidR="00D62D1F" w:rsidRPr="009A040C">
        <w:rPr>
          <w:rFonts w:ascii="Times New Roman" w:eastAsia="Calibri" w:hAnsi="Times New Roman" w:cs="Times New Roman"/>
          <w:spacing w:val="-6"/>
          <w:sz w:val="28"/>
          <w:szCs w:val="28"/>
        </w:rPr>
        <w:t>ит</w:t>
      </w:r>
      <w:r w:rsidR="00652962" w:rsidRPr="009A040C">
        <w:rPr>
          <w:rFonts w:ascii="Times New Roman" w:eastAsia="Calibri" w:hAnsi="Times New Roman" w:cs="Times New Roman"/>
          <w:spacing w:val="-6"/>
          <w:sz w:val="28"/>
          <w:szCs w:val="28"/>
        </w:rPr>
        <w:t xml:space="preserve"> </w:t>
      </w:r>
      <w:r w:rsidR="00E32DD0" w:rsidRPr="009A040C">
        <w:rPr>
          <w:rFonts w:ascii="Times New Roman" w:eastAsia="Calibri" w:hAnsi="Times New Roman" w:cs="Times New Roman"/>
          <w:spacing w:val="-6"/>
          <w:sz w:val="28"/>
          <w:szCs w:val="28"/>
        </w:rPr>
        <w:t>99</w:t>
      </w:r>
      <w:r w:rsidR="0084474C" w:rsidRPr="009A040C">
        <w:rPr>
          <w:rFonts w:ascii="Times New Roman" w:eastAsia="Calibri" w:hAnsi="Times New Roman" w:cs="Times New Roman"/>
          <w:spacing w:val="-6"/>
          <w:sz w:val="28"/>
          <w:szCs w:val="28"/>
        </w:rPr>
        <w:t>%</w:t>
      </w:r>
      <w:r w:rsidR="002D03AA" w:rsidRPr="009A040C">
        <w:rPr>
          <w:rFonts w:ascii="Times New Roman" w:eastAsia="Calibri" w:hAnsi="Times New Roman" w:cs="Times New Roman"/>
          <w:spacing w:val="-6"/>
          <w:sz w:val="28"/>
          <w:szCs w:val="28"/>
        </w:rPr>
        <w:t xml:space="preserve"> в 202</w:t>
      </w:r>
      <w:r w:rsidR="00E32DD0" w:rsidRPr="009A040C">
        <w:rPr>
          <w:rFonts w:ascii="Times New Roman" w:eastAsia="Calibri" w:hAnsi="Times New Roman" w:cs="Times New Roman"/>
          <w:spacing w:val="-6"/>
          <w:sz w:val="28"/>
          <w:szCs w:val="28"/>
        </w:rPr>
        <w:t>2</w:t>
      </w:r>
      <w:r w:rsidR="002D03AA" w:rsidRPr="009A040C">
        <w:rPr>
          <w:rFonts w:ascii="Times New Roman" w:eastAsia="Calibri" w:hAnsi="Times New Roman" w:cs="Times New Roman"/>
          <w:spacing w:val="-6"/>
          <w:sz w:val="28"/>
          <w:szCs w:val="28"/>
        </w:rPr>
        <w:t xml:space="preserve"> году, 98,</w:t>
      </w:r>
      <w:r w:rsidR="00E32DD0" w:rsidRPr="009A040C">
        <w:rPr>
          <w:rFonts w:ascii="Times New Roman" w:eastAsia="Calibri" w:hAnsi="Times New Roman" w:cs="Times New Roman"/>
          <w:spacing w:val="-6"/>
          <w:sz w:val="28"/>
          <w:szCs w:val="28"/>
        </w:rPr>
        <w:t>7</w:t>
      </w:r>
      <w:r w:rsidR="002D03AA" w:rsidRPr="009A040C">
        <w:rPr>
          <w:rFonts w:ascii="Times New Roman" w:eastAsia="Calibri" w:hAnsi="Times New Roman" w:cs="Times New Roman"/>
          <w:spacing w:val="-6"/>
          <w:sz w:val="28"/>
          <w:szCs w:val="28"/>
        </w:rPr>
        <w:t>% в 202</w:t>
      </w:r>
      <w:r w:rsidR="00E32DD0" w:rsidRPr="009A040C">
        <w:rPr>
          <w:rFonts w:ascii="Times New Roman" w:eastAsia="Calibri" w:hAnsi="Times New Roman" w:cs="Times New Roman"/>
          <w:spacing w:val="-6"/>
          <w:sz w:val="28"/>
          <w:szCs w:val="28"/>
        </w:rPr>
        <w:t>3</w:t>
      </w:r>
      <w:r w:rsidR="002B6005" w:rsidRPr="009A040C">
        <w:rPr>
          <w:rFonts w:ascii="Times New Roman" w:eastAsia="Calibri" w:hAnsi="Times New Roman" w:cs="Times New Roman"/>
          <w:spacing w:val="-6"/>
          <w:sz w:val="28"/>
          <w:szCs w:val="28"/>
        </w:rPr>
        <w:t xml:space="preserve"> году</w:t>
      </w:r>
      <w:r w:rsidR="002D03AA" w:rsidRPr="002B6005">
        <w:rPr>
          <w:rFonts w:ascii="Times New Roman" w:eastAsia="Calibri" w:hAnsi="Times New Roman" w:cs="Times New Roman"/>
          <w:spacing w:val="-6"/>
          <w:sz w:val="28"/>
          <w:szCs w:val="28"/>
        </w:rPr>
        <w:t xml:space="preserve"> и </w:t>
      </w:r>
      <w:r w:rsidR="002B6005" w:rsidRPr="002B6005">
        <w:rPr>
          <w:rFonts w:ascii="Times New Roman" w:eastAsia="Calibri" w:hAnsi="Times New Roman" w:cs="Times New Roman"/>
          <w:spacing w:val="-6"/>
          <w:sz w:val="28"/>
          <w:szCs w:val="28"/>
        </w:rPr>
        <w:t xml:space="preserve">98,3% – в </w:t>
      </w:r>
      <w:r w:rsidR="002D03AA" w:rsidRPr="002B6005">
        <w:rPr>
          <w:rFonts w:ascii="Times New Roman" w:eastAsia="Calibri" w:hAnsi="Times New Roman" w:cs="Times New Roman"/>
          <w:spacing w:val="-6"/>
          <w:sz w:val="28"/>
          <w:szCs w:val="28"/>
        </w:rPr>
        <w:t>202</w:t>
      </w:r>
      <w:r w:rsidR="002B6005" w:rsidRPr="002B6005">
        <w:rPr>
          <w:rFonts w:ascii="Times New Roman" w:eastAsia="Calibri" w:hAnsi="Times New Roman" w:cs="Times New Roman"/>
          <w:spacing w:val="-6"/>
          <w:sz w:val="28"/>
          <w:szCs w:val="28"/>
        </w:rPr>
        <w:t>4</w:t>
      </w:r>
      <w:r w:rsidR="002D03AA" w:rsidRPr="002B6005">
        <w:rPr>
          <w:rFonts w:ascii="Times New Roman" w:eastAsia="Calibri" w:hAnsi="Times New Roman" w:cs="Times New Roman"/>
          <w:spacing w:val="-6"/>
          <w:sz w:val="28"/>
          <w:szCs w:val="28"/>
        </w:rPr>
        <w:t xml:space="preserve"> год</w:t>
      </w:r>
      <w:r w:rsidR="002B6005" w:rsidRPr="002B6005">
        <w:rPr>
          <w:rFonts w:ascii="Times New Roman" w:eastAsia="Calibri" w:hAnsi="Times New Roman" w:cs="Times New Roman"/>
          <w:spacing w:val="-6"/>
          <w:sz w:val="28"/>
          <w:szCs w:val="28"/>
        </w:rPr>
        <w:t>у</w:t>
      </w:r>
      <w:r w:rsidR="0084474C" w:rsidRPr="002B6005">
        <w:rPr>
          <w:rFonts w:ascii="Times New Roman" w:eastAsia="Calibri" w:hAnsi="Times New Roman" w:cs="Times New Roman"/>
          <w:spacing w:val="-6"/>
          <w:sz w:val="28"/>
          <w:szCs w:val="28"/>
        </w:rPr>
        <w:t xml:space="preserve">. </w:t>
      </w:r>
    </w:p>
    <w:p w14:paraId="298EF646" w14:textId="77777777" w:rsidR="00B855F0" w:rsidRPr="00B32F92" w:rsidRDefault="00B855F0" w:rsidP="00810744">
      <w:pPr>
        <w:pStyle w:val="af5"/>
        <w:pBdr>
          <w:top w:val="none" w:sz="0" w:space="0" w:color="auto"/>
          <w:bottom w:val="thinThickSmallGap" w:sz="18" w:space="10" w:color="auto"/>
        </w:pBdr>
        <w:spacing w:before="600"/>
        <w:contextualSpacing w:val="0"/>
        <w:rPr>
          <w:rFonts w:ascii="Times New Roman" w:hAnsi="Times New Roman"/>
          <w:spacing w:val="30"/>
          <w:w w:val="150"/>
          <w:sz w:val="24"/>
          <w:szCs w:val="24"/>
        </w:rPr>
      </w:pPr>
      <w:r w:rsidRPr="00B32F92">
        <w:rPr>
          <w:rFonts w:ascii="Times New Roman" w:hAnsi="Times New Roman"/>
          <w:spacing w:val="30"/>
          <w:w w:val="150"/>
          <w:sz w:val="24"/>
          <w:szCs w:val="24"/>
        </w:rPr>
        <w:t>3. РАСХОДЫ БЮДЖЕТА ОБЛАСТИ</w:t>
      </w:r>
    </w:p>
    <w:p w14:paraId="6C8AB2DE" w14:textId="37175736" w:rsidR="004F1184" w:rsidRPr="009A040C" w:rsidRDefault="00874269" w:rsidP="008C171A">
      <w:pPr>
        <w:spacing w:before="240" w:after="0" w:line="240" w:lineRule="auto"/>
        <w:ind w:firstLine="709"/>
        <w:jc w:val="both"/>
        <w:rPr>
          <w:rFonts w:ascii="PT Astra Serif" w:hAnsi="PT Astra Serif"/>
          <w:sz w:val="28"/>
          <w:szCs w:val="28"/>
        </w:rPr>
      </w:pPr>
      <w:r w:rsidRPr="00CB2E66">
        <w:rPr>
          <w:rFonts w:ascii="PT Astra Serif" w:hAnsi="PT Astra Serif"/>
          <w:b/>
          <w:sz w:val="28"/>
          <w:szCs w:val="28"/>
        </w:rPr>
        <w:t>3.1.</w:t>
      </w:r>
      <w:r w:rsidRPr="00CB2E66">
        <w:rPr>
          <w:rFonts w:ascii="PT Astra Serif" w:hAnsi="PT Astra Serif"/>
          <w:sz w:val="28"/>
          <w:szCs w:val="28"/>
        </w:rPr>
        <w:t> </w:t>
      </w:r>
      <w:r w:rsidR="007A13D0" w:rsidRPr="00CB2E66">
        <w:rPr>
          <w:rFonts w:ascii="PT Astra Serif" w:hAnsi="PT Astra Serif"/>
          <w:sz w:val="28"/>
          <w:szCs w:val="28"/>
        </w:rPr>
        <w:t>Проект бюджета области на 202</w:t>
      </w:r>
      <w:r w:rsidR="000361B7">
        <w:rPr>
          <w:rFonts w:ascii="PT Astra Serif" w:hAnsi="PT Astra Serif"/>
          <w:sz w:val="28"/>
          <w:szCs w:val="28"/>
        </w:rPr>
        <w:t>2</w:t>
      </w:r>
      <w:r w:rsidR="007A13D0" w:rsidRPr="00CB2E66">
        <w:rPr>
          <w:rFonts w:ascii="PT Astra Serif" w:hAnsi="PT Astra Serif"/>
          <w:sz w:val="28"/>
          <w:szCs w:val="28"/>
        </w:rPr>
        <w:t>-202</w:t>
      </w:r>
      <w:r w:rsidR="000361B7">
        <w:rPr>
          <w:rFonts w:ascii="PT Astra Serif" w:hAnsi="PT Astra Serif"/>
          <w:sz w:val="28"/>
          <w:szCs w:val="28"/>
        </w:rPr>
        <w:t>4</w:t>
      </w:r>
      <w:r w:rsidR="007A13D0" w:rsidRPr="00CB2E66">
        <w:rPr>
          <w:rFonts w:ascii="PT Astra Serif" w:hAnsi="PT Astra Serif"/>
          <w:sz w:val="28"/>
          <w:szCs w:val="28"/>
        </w:rPr>
        <w:t xml:space="preserve"> годы </w:t>
      </w:r>
      <w:r w:rsidR="004F1184" w:rsidRPr="00CB2E66">
        <w:rPr>
          <w:rFonts w:ascii="PT Astra Serif" w:hAnsi="PT Astra Serif"/>
          <w:sz w:val="28"/>
          <w:szCs w:val="28"/>
        </w:rPr>
        <w:t xml:space="preserve">отвечает требованиям статей 35, 65, 179 </w:t>
      </w:r>
      <w:r w:rsidR="00C80B82" w:rsidRPr="00CB2E66">
        <w:rPr>
          <w:rFonts w:ascii="PT Astra Serif" w:hAnsi="PT Astra Serif"/>
          <w:sz w:val="28"/>
          <w:szCs w:val="28"/>
        </w:rPr>
        <w:t xml:space="preserve">БК РФ, а именно формирование расходов бюджета области </w:t>
      </w:r>
      <w:r w:rsidR="00C80B82" w:rsidRPr="00810744">
        <w:rPr>
          <w:rFonts w:ascii="PT Astra Serif" w:hAnsi="PT Astra Serif"/>
          <w:sz w:val="28"/>
          <w:szCs w:val="28"/>
        </w:rPr>
        <w:t>осуществ</w:t>
      </w:r>
      <w:r w:rsidR="007E4CFF" w:rsidRPr="00810744">
        <w:rPr>
          <w:rFonts w:ascii="PT Astra Serif" w:hAnsi="PT Astra Serif"/>
          <w:sz w:val="28"/>
          <w:szCs w:val="28"/>
        </w:rPr>
        <w:t>лено</w:t>
      </w:r>
      <w:r w:rsidR="008F11FC" w:rsidRPr="00810744">
        <w:rPr>
          <w:rFonts w:ascii="PT Astra Serif" w:hAnsi="PT Astra Serif"/>
          <w:sz w:val="28"/>
          <w:szCs w:val="28"/>
        </w:rPr>
        <w:t xml:space="preserve"> с соблюдением принципа общего (совокупного) покрытия расходов,</w:t>
      </w:r>
      <w:r w:rsidR="00C80B82" w:rsidRPr="00810744">
        <w:rPr>
          <w:rFonts w:ascii="PT Astra Serif" w:hAnsi="PT Astra Serif"/>
          <w:sz w:val="28"/>
          <w:szCs w:val="28"/>
        </w:rPr>
        <w:t xml:space="preserve"> в соответствии с </w:t>
      </w:r>
      <w:r w:rsidR="007A13D0" w:rsidRPr="00810744">
        <w:rPr>
          <w:rFonts w:ascii="PT Astra Serif" w:hAnsi="PT Astra Serif"/>
          <w:sz w:val="28"/>
          <w:szCs w:val="28"/>
        </w:rPr>
        <w:t xml:space="preserve">подлежащими исполнению </w:t>
      </w:r>
      <w:r w:rsidR="00C80B82" w:rsidRPr="00810744">
        <w:rPr>
          <w:rFonts w:ascii="PT Astra Serif" w:hAnsi="PT Astra Serif"/>
          <w:sz w:val="28"/>
          <w:szCs w:val="28"/>
        </w:rPr>
        <w:t>расходными обязательствами</w:t>
      </w:r>
      <w:r w:rsidR="008F11FC" w:rsidRPr="00810744">
        <w:rPr>
          <w:rFonts w:ascii="PT Astra Serif" w:hAnsi="PT Astra Serif"/>
          <w:sz w:val="28"/>
          <w:szCs w:val="28"/>
        </w:rPr>
        <w:t>.</w:t>
      </w:r>
      <w:r w:rsidR="007E4CFF" w:rsidRPr="00810744">
        <w:rPr>
          <w:rFonts w:ascii="PT Astra Serif" w:hAnsi="PT Astra Serif"/>
          <w:sz w:val="28"/>
          <w:szCs w:val="28"/>
        </w:rPr>
        <w:t xml:space="preserve"> </w:t>
      </w:r>
      <w:r w:rsidR="00CA58BE" w:rsidRPr="00810744">
        <w:rPr>
          <w:rFonts w:ascii="PT Astra Serif" w:hAnsi="PT Astra Serif"/>
          <w:sz w:val="28"/>
          <w:szCs w:val="28"/>
        </w:rPr>
        <w:t xml:space="preserve">Бюджет области сформирован на </w:t>
      </w:r>
      <w:r w:rsidR="00284576" w:rsidRPr="00810744">
        <w:rPr>
          <w:rFonts w:ascii="PT Astra Serif" w:hAnsi="PT Astra Serif"/>
          <w:sz w:val="28"/>
          <w:szCs w:val="28"/>
        </w:rPr>
        <w:t>основе государственных программ Тульской области (далее – госпрограмм).</w:t>
      </w:r>
    </w:p>
    <w:p w14:paraId="6DA8C2E7" w14:textId="5B521162" w:rsidR="00F364D9" w:rsidRPr="00F364D9" w:rsidRDefault="00F364D9" w:rsidP="009C11EA">
      <w:pPr>
        <w:spacing w:before="120" w:after="0" w:line="240" w:lineRule="auto"/>
        <w:ind w:firstLine="709"/>
        <w:jc w:val="both"/>
        <w:rPr>
          <w:rFonts w:ascii="Times New Roman" w:hAnsi="Times New Roman" w:cs="Times New Roman"/>
          <w:sz w:val="28"/>
          <w:szCs w:val="28"/>
        </w:rPr>
      </w:pPr>
      <w:r w:rsidRPr="009A040C">
        <w:rPr>
          <w:rFonts w:ascii="Times New Roman" w:hAnsi="Times New Roman" w:cs="Times New Roman"/>
          <w:sz w:val="28"/>
          <w:szCs w:val="28"/>
        </w:rPr>
        <w:t>Анализ приложений №№11–16</w:t>
      </w:r>
      <w:r w:rsidRPr="009A040C">
        <w:rPr>
          <w:rFonts w:ascii="Times New Roman" w:hAnsi="Times New Roman" w:cs="Times New Roman"/>
          <w:sz w:val="28"/>
          <w:szCs w:val="28"/>
          <w:vertAlign w:val="superscript"/>
        </w:rPr>
        <w:footnoteReference w:id="17"/>
      </w:r>
      <w:r w:rsidRPr="009A040C">
        <w:rPr>
          <w:rFonts w:ascii="Times New Roman" w:hAnsi="Times New Roman" w:cs="Times New Roman"/>
          <w:sz w:val="28"/>
          <w:szCs w:val="28"/>
        </w:rPr>
        <w:t xml:space="preserve"> к Законопроекту о распределении бюджетных ассигнований по ГРБС, разделам, подразделам</w:t>
      </w:r>
      <w:r w:rsidRPr="00F364D9">
        <w:rPr>
          <w:rFonts w:ascii="Times New Roman" w:hAnsi="Times New Roman" w:cs="Times New Roman"/>
          <w:sz w:val="28"/>
          <w:szCs w:val="28"/>
        </w:rPr>
        <w:t xml:space="preserve">, целевым статьям, видам расходов показал отсутствие единого подхода к отражению направления расходов целевой статьи (разряды 13–17 кода классификации </w:t>
      </w:r>
      <w:r w:rsidRPr="00F364D9">
        <w:rPr>
          <w:rFonts w:ascii="Times New Roman" w:hAnsi="Times New Roman" w:cs="Times New Roman"/>
          <w:sz w:val="28"/>
          <w:szCs w:val="28"/>
        </w:rPr>
        <w:lastRenderedPageBreak/>
        <w:t>расходов бюджета)</w:t>
      </w:r>
      <w:r w:rsidR="0036199B">
        <w:rPr>
          <w:rFonts w:ascii="Times New Roman" w:hAnsi="Times New Roman" w:cs="Times New Roman"/>
          <w:sz w:val="28"/>
          <w:szCs w:val="28"/>
        </w:rPr>
        <w:t>.</w:t>
      </w:r>
      <w:r w:rsidRPr="00F364D9">
        <w:rPr>
          <w:rFonts w:ascii="Times New Roman" w:hAnsi="Times New Roman" w:cs="Times New Roman"/>
          <w:sz w:val="28"/>
          <w:szCs w:val="28"/>
        </w:rPr>
        <w:t xml:space="preserve"> Направления расходов указаны только для публичных нормативных обязательств (КВР 310, 330), инвестиционных расходов (КВР 410, 450, 460), межбюджетных трансфертов (КВР 510, 520, 530, 540, 570), субсидий некоммерческим организациям (КВР 630), субсидий юридическим лицам (КВР 810), зарезервированных средств (КВР 870). </w:t>
      </w:r>
    </w:p>
    <w:p w14:paraId="0490B516" w14:textId="77777777" w:rsidR="0036199B" w:rsidRPr="0036199B" w:rsidRDefault="0036199B" w:rsidP="009C11EA">
      <w:pPr>
        <w:spacing w:before="120" w:after="0" w:line="240" w:lineRule="auto"/>
        <w:ind w:firstLine="709"/>
        <w:jc w:val="both"/>
        <w:rPr>
          <w:rFonts w:ascii="Times New Roman" w:hAnsi="Times New Roman" w:cs="Times New Roman"/>
          <w:sz w:val="28"/>
          <w:szCs w:val="28"/>
        </w:rPr>
      </w:pPr>
      <w:r w:rsidRPr="0036199B">
        <w:rPr>
          <w:rFonts w:ascii="Times New Roman" w:hAnsi="Times New Roman" w:cs="Times New Roman"/>
          <w:sz w:val="28"/>
          <w:szCs w:val="28"/>
        </w:rPr>
        <w:t>Счетная палата обращает внимание на то, что отсутствие детализации целевых статей по направлениям расходов снижает информативность бюджета и затрудняет контроль за использованием средств бюджета.</w:t>
      </w:r>
    </w:p>
    <w:p w14:paraId="466948DE" w14:textId="77777777" w:rsidR="0036199B" w:rsidRPr="0036199B" w:rsidRDefault="0036199B" w:rsidP="009C11EA">
      <w:pPr>
        <w:spacing w:before="120" w:after="0" w:line="240" w:lineRule="auto"/>
        <w:ind w:firstLine="709"/>
        <w:jc w:val="both"/>
        <w:rPr>
          <w:rFonts w:ascii="Times New Roman" w:hAnsi="Times New Roman" w:cs="Times New Roman"/>
          <w:sz w:val="28"/>
          <w:szCs w:val="28"/>
        </w:rPr>
      </w:pPr>
      <w:r w:rsidRPr="0036199B">
        <w:rPr>
          <w:rFonts w:ascii="Times New Roman" w:hAnsi="Times New Roman" w:cs="Times New Roman"/>
          <w:sz w:val="28"/>
          <w:szCs w:val="28"/>
        </w:rPr>
        <w:t>Кроме того, в указанных выше приложениях №11-16 к Законопроекту отсутствуют показатели по группам видов расходов, что не отвечает требованиям статей 21, 184.1 БК РФ, статьи 15 Закона области о бюджетном процессе.</w:t>
      </w:r>
    </w:p>
    <w:p w14:paraId="1C65DD25" w14:textId="77777777" w:rsidR="0036199B" w:rsidRPr="0036199B" w:rsidRDefault="0036199B" w:rsidP="009C11EA">
      <w:pPr>
        <w:spacing w:before="120" w:after="0" w:line="240" w:lineRule="auto"/>
        <w:ind w:firstLine="709"/>
        <w:jc w:val="both"/>
        <w:rPr>
          <w:rFonts w:ascii="Times New Roman" w:hAnsi="Times New Roman"/>
          <w:sz w:val="28"/>
          <w:szCs w:val="28"/>
        </w:rPr>
      </w:pPr>
      <w:r w:rsidRPr="0036199B">
        <w:rPr>
          <w:rFonts w:ascii="Times New Roman" w:hAnsi="Times New Roman"/>
          <w:sz w:val="28"/>
          <w:szCs w:val="28"/>
        </w:rPr>
        <w:t>Выборочный анализ отдельных расходных обязательств Реестра расходных обязательств (приложение 24 к письму Губернатора), показал соответствие объемов расходов в распределениях, представленных соответствующими приложениями №№11-16 к Законопроекту, что отвечает требованиям статьи 87 БК РФ.</w:t>
      </w:r>
    </w:p>
    <w:p w14:paraId="0AE1927C" w14:textId="77777777" w:rsidR="0036199B" w:rsidRPr="0036199B" w:rsidRDefault="0036199B" w:rsidP="009C11EA">
      <w:pPr>
        <w:autoSpaceDE w:val="0"/>
        <w:autoSpaceDN w:val="0"/>
        <w:adjustRightInd w:val="0"/>
        <w:spacing w:before="120" w:after="0" w:line="240" w:lineRule="auto"/>
        <w:ind w:firstLine="709"/>
        <w:jc w:val="both"/>
        <w:rPr>
          <w:rFonts w:ascii="Times New Roman" w:hAnsi="Times New Roman"/>
          <w:sz w:val="28"/>
          <w:szCs w:val="28"/>
        </w:rPr>
      </w:pPr>
      <w:r w:rsidRPr="0036199B">
        <w:rPr>
          <w:rFonts w:ascii="Times New Roman" w:hAnsi="Times New Roman"/>
          <w:sz w:val="28"/>
          <w:szCs w:val="28"/>
        </w:rPr>
        <w:t xml:space="preserve">Согласно представленному реестру расходных обязательств общий объем средств, необходимый для исполнения расходных обязательств Тульской области соответствует объемам бюджетных ассигнований, предусмотренным на их исполнение в статье 1 Законопроекта. </w:t>
      </w:r>
    </w:p>
    <w:p w14:paraId="0ABD61D0" w14:textId="5E96420A" w:rsidR="0036199B" w:rsidRDefault="0036199B" w:rsidP="009C11EA">
      <w:pPr>
        <w:widowControl w:val="0"/>
        <w:spacing w:before="120" w:after="0" w:line="240" w:lineRule="auto"/>
        <w:ind w:firstLine="709"/>
        <w:jc w:val="both"/>
        <w:rPr>
          <w:rFonts w:ascii="Times New Roman" w:eastAsia="Times New Roman" w:hAnsi="Times New Roman" w:cs="Times New Roman"/>
          <w:sz w:val="28"/>
          <w:szCs w:val="28"/>
          <w:lang w:eastAsia="ru-RU"/>
        </w:rPr>
      </w:pPr>
      <w:r w:rsidRPr="0036199B">
        <w:rPr>
          <w:rFonts w:ascii="Times New Roman" w:eastAsia="Times New Roman" w:hAnsi="Times New Roman" w:cs="Times New Roman"/>
          <w:sz w:val="28"/>
          <w:szCs w:val="28"/>
          <w:lang w:eastAsia="ru-RU"/>
        </w:rPr>
        <w:t xml:space="preserve">Согласно ведомственной структуре расходов бюджета области на 2022 год и на плановый период 2023 и 2024 годов (приложения №13, №14 к Законопроекту) бюджетные ассигнования распределены по 31 ГРБС. Распределение бюджетных ассигнований в разрезе ГРБС представлено в </w:t>
      </w:r>
      <w:r w:rsidRPr="009A040C">
        <w:rPr>
          <w:rFonts w:ascii="Times New Roman" w:eastAsia="Times New Roman" w:hAnsi="Times New Roman" w:cs="Times New Roman"/>
          <w:sz w:val="28"/>
          <w:szCs w:val="28"/>
          <w:lang w:eastAsia="ru-RU"/>
        </w:rPr>
        <w:t>приложении №</w:t>
      </w:r>
      <w:r w:rsidR="009A040C" w:rsidRPr="009A040C">
        <w:rPr>
          <w:rFonts w:ascii="Times New Roman" w:eastAsia="Times New Roman" w:hAnsi="Times New Roman" w:cs="Times New Roman"/>
          <w:sz w:val="28"/>
          <w:szCs w:val="28"/>
          <w:lang w:eastAsia="ru-RU"/>
        </w:rPr>
        <w:t>2</w:t>
      </w:r>
      <w:r w:rsidRPr="0036199B">
        <w:rPr>
          <w:rFonts w:ascii="Times New Roman" w:eastAsia="Times New Roman" w:hAnsi="Times New Roman" w:cs="Times New Roman"/>
          <w:sz w:val="28"/>
          <w:szCs w:val="28"/>
          <w:lang w:eastAsia="ru-RU"/>
        </w:rPr>
        <w:t xml:space="preserve"> к настоящему заключению.</w:t>
      </w:r>
    </w:p>
    <w:p w14:paraId="03C43A36" w14:textId="3489CE0A" w:rsidR="004F0F8A" w:rsidRPr="004F0F8A" w:rsidRDefault="004F0F8A" w:rsidP="009C11EA">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4F0F8A">
        <w:rPr>
          <w:rFonts w:ascii="Times New Roman" w:eastAsia="Times New Roman" w:hAnsi="Times New Roman" w:cs="Times New Roman"/>
          <w:sz w:val="28"/>
          <w:szCs w:val="28"/>
          <w:lang w:eastAsia="ru-RU"/>
        </w:rPr>
        <w:t xml:space="preserve">Основной объем расходов бюджета области в 2022 году (73,8%) распределяется министерству образования </w:t>
      </w:r>
      <w:r w:rsidR="004D1099" w:rsidRPr="004D1099">
        <w:rPr>
          <w:rFonts w:ascii="Times New Roman" w:eastAsia="Times New Roman" w:hAnsi="Times New Roman" w:cs="Times New Roman"/>
          <w:sz w:val="28"/>
          <w:szCs w:val="28"/>
          <w:lang w:eastAsia="ru-RU"/>
        </w:rPr>
        <w:t xml:space="preserve">Тульской </w:t>
      </w:r>
      <w:r w:rsidRPr="004F0F8A">
        <w:rPr>
          <w:rFonts w:ascii="Times New Roman" w:eastAsia="Times New Roman" w:hAnsi="Times New Roman" w:cs="Times New Roman"/>
          <w:sz w:val="28"/>
          <w:szCs w:val="28"/>
          <w:lang w:eastAsia="ru-RU"/>
        </w:rPr>
        <w:t xml:space="preserve">области (26,1%), министерству труда и социальной защиты </w:t>
      </w:r>
      <w:r w:rsidR="00256031" w:rsidRPr="00256031">
        <w:rPr>
          <w:rFonts w:ascii="Times New Roman" w:eastAsia="Times New Roman" w:hAnsi="Times New Roman" w:cs="Times New Roman"/>
          <w:sz w:val="28"/>
          <w:szCs w:val="28"/>
          <w:lang w:eastAsia="ru-RU"/>
        </w:rPr>
        <w:t xml:space="preserve">Тульской </w:t>
      </w:r>
      <w:r w:rsidRPr="004F0F8A">
        <w:rPr>
          <w:rFonts w:ascii="Times New Roman" w:eastAsia="Times New Roman" w:hAnsi="Times New Roman" w:cs="Times New Roman"/>
          <w:sz w:val="28"/>
          <w:szCs w:val="28"/>
          <w:lang w:eastAsia="ru-RU"/>
        </w:rPr>
        <w:t xml:space="preserve">области (20,1%), министерству здравоохранения </w:t>
      </w:r>
      <w:r w:rsidR="00256031" w:rsidRPr="00256031">
        <w:rPr>
          <w:rFonts w:ascii="Times New Roman" w:eastAsia="Times New Roman" w:hAnsi="Times New Roman" w:cs="Times New Roman"/>
          <w:sz w:val="28"/>
          <w:szCs w:val="28"/>
          <w:lang w:eastAsia="ru-RU"/>
        </w:rPr>
        <w:t xml:space="preserve">Тульской </w:t>
      </w:r>
      <w:r w:rsidRPr="004F0F8A">
        <w:rPr>
          <w:rFonts w:ascii="Times New Roman" w:eastAsia="Times New Roman" w:hAnsi="Times New Roman" w:cs="Times New Roman"/>
          <w:sz w:val="28"/>
          <w:szCs w:val="28"/>
          <w:lang w:eastAsia="ru-RU"/>
        </w:rPr>
        <w:t xml:space="preserve">области (18,2%), министерству транспорта </w:t>
      </w:r>
      <w:r w:rsidR="00256031">
        <w:rPr>
          <w:rFonts w:ascii="Times New Roman" w:eastAsia="Times New Roman" w:hAnsi="Times New Roman" w:cs="Times New Roman"/>
          <w:sz w:val="28"/>
          <w:szCs w:val="28"/>
          <w:lang w:eastAsia="ru-RU"/>
        </w:rPr>
        <w:t xml:space="preserve">и дорожного хозяйства </w:t>
      </w:r>
      <w:r w:rsidR="00256031" w:rsidRPr="00256031">
        <w:rPr>
          <w:rFonts w:ascii="Times New Roman" w:eastAsia="Times New Roman" w:hAnsi="Times New Roman" w:cs="Times New Roman"/>
          <w:sz w:val="28"/>
          <w:szCs w:val="28"/>
          <w:lang w:eastAsia="ru-RU"/>
        </w:rPr>
        <w:t xml:space="preserve">Тульской </w:t>
      </w:r>
      <w:r w:rsidRPr="004F0F8A">
        <w:rPr>
          <w:rFonts w:ascii="Times New Roman" w:eastAsia="Times New Roman" w:hAnsi="Times New Roman" w:cs="Times New Roman"/>
          <w:sz w:val="28"/>
          <w:szCs w:val="28"/>
          <w:lang w:eastAsia="ru-RU"/>
        </w:rPr>
        <w:t xml:space="preserve">области (9,4%). </w:t>
      </w:r>
    </w:p>
    <w:p w14:paraId="19F9DAB3" w14:textId="1AAB3580" w:rsidR="004F0F8A" w:rsidRPr="004F0F8A" w:rsidRDefault="009A040C" w:rsidP="009C11EA">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Объемы бюджетных </w:t>
      </w:r>
      <w:r w:rsidRPr="009A040C">
        <w:rPr>
          <w:rFonts w:ascii="Times New Roman" w:eastAsia="Times New Roman" w:hAnsi="Times New Roman" w:cs="Times New Roman"/>
          <w:sz w:val="28"/>
          <w:szCs w:val="28"/>
          <w:lang w:eastAsia="ru-RU"/>
        </w:rPr>
        <w:t xml:space="preserve">ассигнований (в млн. рублей) в разрезе главных распорядителей средств бюджета и их доли в общем объеме расходов на 2022 год </w:t>
      </w:r>
      <w:r w:rsidR="004F0F8A" w:rsidRPr="009A040C">
        <w:rPr>
          <w:rFonts w:ascii="Times New Roman" w:eastAsia="Times New Roman" w:hAnsi="Times New Roman" w:cs="Times New Roman"/>
          <w:sz w:val="28"/>
          <w:szCs w:val="28"/>
          <w:lang w:eastAsia="ru-RU"/>
        </w:rPr>
        <w:t>представлен</w:t>
      </w:r>
      <w:r w:rsidRPr="009A040C">
        <w:rPr>
          <w:rFonts w:ascii="Times New Roman" w:eastAsia="Times New Roman" w:hAnsi="Times New Roman" w:cs="Times New Roman"/>
          <w:sz w:val="28"/>
          <w:szCs w:val="28"/>
          <w:lang w:eastAsia="ru-RU"/>
        </w:rPr>
        <w:t>ы</w:t>
      </w:r>
      <w:r w:rsidR="004F0F8A" w:rsidRPr="009A040C">
        <w:rPr>
          <w:rFonts w:ascii="Times New Roman" w:eastAsia="Times New Roman" w:hAnsi="Times New Roman" w:cs="Times New Roman"/>
          <w:sz w:val="28"/>
          <w:szCs w:val="28"/>
          <w:lang w:eastAsia="ru-RU"/>
        </w:rPr>
        <w:t xml:space="preserve"> на диаграмме ниже</w:t>
      </w:r>
      <w:r w:rsidRPr="009A040C">
        <w:rPr>
          <w:rFonts w:ascii="Times New Roman" w:eastAsia="Times New Roman" w:hAnsi="Times New Roman" w:cs="Times New Roman"/>
          <w:sz w:val="28"/>
          <w:szCs w:val="28"/>
          <w:lang w:eastAsia="ru-RU"/>
        </w:rPr>
        <w:t>.</w:t>
      </w:r>
      <w:r w:rsidR="004F0F8A" w:rsidRPr="009A040C">
        <w:rPr>
          <w:rFonts w:ascii="Times New Roman" w:eastAsia="Times New Roman" w:hAnsi="Times New Roman" w:cs="Times New Roman"/>
          <w:sz w:val="28"/>
          <w:szCs w:val="28"/>
          <w:lang w:eastAsia="ru-RU"/>
        </w:rPr>
        <w:t xml:space="preserve"> </w:t>
      </w:r>
    </w:p>
    <w:p w14:paraId="45EBD7D7" w14:textId="42091115" w:rsidR="004F0F8A" w:rsidRDefault="004F0F8A" w:rsidP="004F0F8A">
      <w:pPr>
        <w:widowControl w:val="0"/>
        <w:spacing w:after="0" w:line="240" w:lineRule="auto"/>
        <w:jc w:val="both"/>
        <w:rPr>
          <w:rFonts w:ascii="Times New Roman" w:eastAsia="Times New Roman" w:hAnsi="Times New Roman" w:cs="Times New Roman"/>
          <w:sz w:val="28"/>
          <w:szCs w:val="28"/>
          <w:lang w:eastAsia="ru-RU"/>
        </w:rPr>
      </w:pPr>
      <w:r w:rsidRPr="005D3CAA">
        <w:rPr>
          <w:rFonts w:ascii="Times New Roman" w:eastAsia="Times New Roman" w:hAnsi="Times New Roman" w:cs="Times New Roman"/>
          <w:noProof/>
          <w:sz w:val="28"/>
          <w:szCs w:val="28"/>
          <w:lang w:eastAsia="ru-RU"/>
        </w:rPr>
        <w:lastRenderedPageBreak/>
        <w:drawing>
          <wp:inline distT="0" distB="0" distL="0" distR="0" wp14:anchorId="70E121C0" wp14:editId="1DB0B4EA">
            <wp:extent cx="5743575" cy="29051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41AA45" w14:textId="45CE67B5" w:rsidR="004F0F8A" w:rsidRPr="004F0F8A" w:rsidRDefault="004F0F8A" w:rsidP="004F0F8A">
      <w:pPr>
        <w:tabs>
          <w:tab w:val="left" w:pos="993"/>
        </w:tabs>
        <w:spacing w:before="240" w:after="0" w:line="240" w:lineRule="auto"/>
        <w:ind w:firstLine="709"/>
        <w:jc w:val="both"/>
        <w:rPr>
          <w:rFonts w:ascii="Times New Roman" w:hAnsi="Times New Roman" w:cs="Times New Roman"/>
          <w:sz w:val="28"/>
          <w:szCs w:val="28"/>
        </w:rPr>
      </w:pPr>
      <w:r w:rsidRPr="004F0F8A">
        <w:rPr>
          <w:rFonts w:ascii="Times New Roman" w:eastAsia="Times New Roman" w:hAnsi="Times New Roman" w:cs="Times New Roman"/>
          <w:sz w:val="28"/>
          <w:szCs w:val="28"/>
          <w:lang w:eastAsia="ru-RU"/>
        </w:rPr>
        <w:t xml:space="preserve">Анализ объемов бюджетных ассигнований, предусмотренных в бюджете области в 2022-2024 годах, в разрезе разделов бюджетной классификации расходов бюджетов РФ также </w:t>
      </w:r>
      <w:r w:rsidRPr="009A040C">
        <w:rPr>
          <w:rFonts w:ascii="Times New Roman" w:eastAsia="Times New Roman" w:hAnsi="Times New Roman" w:cs="Times New Roman"/>
          <w:sz w:val="28"/>
          <w:szCs w:val="28"/>
          <w:lang w:eastAsia="ru-RU"/>
        </w:rPr>
        <w:t>показал, что 82,7% расходов планируется осуществить в сфере социальной политики (27,4%)</w:t>
      </w:r>
      <w:r w:rsidR="004F5589" w:rsidRPr="009A040C">
        <w:rPr>
          <w:rFonts w:ascii="Times New Roman" w:eastAsia="Times New Roman" w:hAnsi="Times New Roman" w:cs="Times New Roman"/>
          <w:sz w:val="28"/>
          <w:szCs w:val="28"/>
          <w:lang w:eastAsia="ru-RU"/>
        </w:rPr>
        <w:t>,</w:t>
      </w:r>
      <w:r w:rsidRPr="009A040C">
        <w:rPr>
          <w:rFonts w:ascii="Times New Roman" w:eastAsia="Times New Roman" w:hAnsi="Times New Roman" w:cs="Times New Roman"/>
          <w:sz w:val="28"/>
          <w:szCs w:val="28"/>
          <w:lang w:eastAsia="ru-RU"/>
        </w:rPr>
        <w:t xml:space="preserve"> образования (26,8%), национальной экономики (15,8%), здравоохранения (12,7%)</w:t>
      </w:r>
      <w:r w:rsidR="004F5589" w:rsidRPr="009A040C">
        <w:rPr>
          <w:rFonts w:ascii="Times New Roman" w:eastAsia="Times New Roman" w:hAnsi="Times New Roman" w:cs="Times New Roman"/>
          <w:sz w:val="28"/>
          <w:szCs w:val="28"/>
          <w:lang w:eastAsia="ru-RU"/>
        </w:rPr>
        <w:t>.</w:t>
      </w:r>
      <w:r w:rsidRPr="004F0F8A">
        <w:rPr>
          <w:rFonts w:ascii="Times New Roman" w:eastAsia="Times New Roman" w:hAnsi="Times New Roman" w:cs="Times New Roman"/>
          <w:sz w:val="28"/>
          <w:szCs w:val="28"/>
          <w:lang w:eastAsia="ru-RU"/>
        </w:rPr>
        <w:t xml:space="preserve"> </w:t>
      </w:r>
    </w:p>
    <w:p w14:paraId="6F2DEB1C" w14:textId="62F380D3" w:rsidR="004F0F8A" w:rsidRPr="004F0F8A" w:rsidRDefault="004F0F8A" w:rsidP="004F0F8A">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4F0F8A">
        <w:rPr>
          <w:rFonts w:ascii="Times New Roman" w:eastAsia="Times New Roman" w:hAnsi="Times New Roman" w:cs="Times New Roman"/>
          <w:sz w:val="28"/>
          <w:szCs w:val="28"/>
          <w:lang w:eastAsia="ru-RU"/>
        </w:rPr>
        <w:t>Анализ объемов бюджетных ассигнований по группам видов расходов</w:t>
      </w:r>
      <w:r w:rsidRPr="00DE04B7">
        <w:rPr>
          <w:rFonts w:ascii="Times New Roman" w:eastAsia="Times New Roman" w:hAnsi="Times New Roman" w:cs="Times New Roman"/>
          <w:sz w:val="28"/>
          <w:szCs w:val="28"/>
          <w:vertAlign w:val="superscript"/>
          <w:lang w:eastAsia="ru-RU"/>
        </w:rPr>
        <w:footnoteReference w:id="18"/>
      </w:r>
      <w:r w:rsidRPr="004F0F8A">
        <w:rPr>
          <w:rFonts w:ascii="Times New Roman" w:eastAsia="Times New Roman" w:hAnsi="Times New Roman" w:cs="Times New Roman"/>
          <w:sz w:val="28"/>
          <w:szCs w:val="28"/>
          <w:highlight w:val="lightGray"/>
          <w:lang w:eastAsia="ru-RU"/>
        </w:rPr>
        <w:t xml:space="preserve"> </w:t>
      </w:r>
      <w:r w:rsidRPr="004F0F8A">
        <w:rPr>
          <w:rFonts w:ascii="Times New Roman" w:eastAsia="Times New Roman" w:hAnsi="Times New Roman" w:cs="Times New Roman"/>
          <w:sz w:val="28"/>
          <w:szCs w:val="28"/>
          <w:lang w:eastAsia="ru-RU"/>
        </w:rPr>
        <w:t>показал, что основная доля расходов бюджета области в 2022 году (80%) приходится на следующие виды расходов: 500 «Межбюджетные трансферты» (доля в общих расходах бюджета области составила 29,9%), 600 «Предоставление субсидий бюджетным, автономным учреждениям и иным некоммерческим организациям» (27,5%), 300 «Социальное обеспечение и иные выплаты населению» (22,6%).</w:t>
      </w:r>
      <w:r w:rsidR="00622B89" w:rsidRPr="00622B89">
        <w:t xml:space="preserve"> </w:t>
      </w:r>
      <w:r w:rsidR="00622B89" w:rsidRPr="00622B89">
        <w:rPr>
          <w:rFonts w:ascii="Times New Roman" w:eastAsia="Times New Roman" w:hAnsi="Times New Roman" w:cs="Times New Roman"/>
          <w:sz w:val="28"/>
          <w:szCs w:val="28"/>
          <w:lang w:eastAsia="ru-RU"/>
        </w:rPr>
        <w:t>Динамика расходов бюджета области в разрезе групп видов расходов на 2019-2024 годы</w:t>
      </w:r>
      <w:r w:rsidR="00622B89">
        <w:rPr>
          <w:rFonts w:ascii="Times New Roman" w:eastAsia="Times New Roman" w:hAnsi="Times New Roman" w:cs="Times New Roman"/>
          <w:sz w:val="28"/>
          <w:szCs w:val="28"/>
          <w:lang w:eastAsia="ru-RU"/>
        </w:rPr>
        <w:t xml:space="preserve"> представлена в приложении №3 к заключению.</w:t>
      </w:r>
    </w:p>
    <w:p w14:paraId="1293ED1A" w14:textId="2D13CBE2" w:rsidR="007B19BD" w:rsidRDefault="00D875D8" w:rsidP="007B19BD">
      <w:pPr>
        <w:tabs>
          <w:tab w:val="left" w:pos="993"/>
        </w:tabs>
        <w:spacing w:before="240" w:after="0" w:line="240" w:lineRule="auto"/>
        <w:ind w:firstLine="709"/>
        <w:jc w:val="both"/>
        <w:rPr>
          <w:rFonts w:ascii="Times New Roman" w:eastAsia="Calibri" w:hAnsi="Times New Roman" w:cs="Times New Roman"/>
          <w:sz w:val="28"/>
          <w:szCs w:val="28"/>
        </w:rPr>
      </w:pPr>
      <w:r w:rsidRPr="00D875D8">
        <w:rPr>
          <w:rFonts w:ascii="Times New Roman" w:eastAsia="Calibri" w:hAnsi="Times New Roman" w:cs="Times New Roman"/>
          <w:b/>
          <w:sz w:val="28"/>
          <w:szCs w:val="28"/>
        </w:rPr>
        <w:t>3.2.</w:t>
      </w:r>
      <w:r>
        <w:rPr>
          <w:rFonts w:ascii="Times New Roman" w:eastAsia="Calibri" w:hAnsi="Times New Roman" w:cs="Times New Roman"/>
          <w:sz w:val="28"/>
          <w:szCs w:val="28"/>
        </w:rPr>
        <w:t> </w:t>
      </w:r>
      <w:r w:rsidR="007B19BD">
        <w:rPr>
          <w:rFonts w:ascii="Times New Roman" w:eastAsia="Calibri" w:hAnsi="Times New Roman" w:cs="Times New Roman"/>
          <w:sz w:val="28"/>
          <w:szCs w:val="28"/>
        </w:rPr>
        <w:t>На 2022-2024</w:t>
      </w:r>
      <w:r w:rsidR="007B19BD" w:rsidRPr="00731274">
        <w:rPr>
          <w:rFonts w:ascii="Times New Roman" w:eastAsia="Calibri" w:hAnsi="Times New Roman" w:cs="Times New Roman"/>
          <w:sz w:val="28"/>
          <w:szCs w:val="28"/>
        </w:rPr>
        <w:t xml:space="preserve"> годы бюджетные ассигнования на исполнение </w:t>
      </w:r>
      <w:r w:rsidR="007B19BD" w:rsidRPr="00731274">
        <w:rPr>
          <w:rFonts w:ascii="Times New Roman" w:eastAsia="Calibri" w:hAnsi="Times New Roman" w:cs="Times New Roman"/>
          <w:i/>
          <w:sz w:val="28"/>
          <w:szCs w:val="28"/>
        </w:rPr>
        <w:t>публичных нормативных обязательств</w:t>
      </w:r>
      <w:r w:rsidR="007B19BD" w:rsidRPr="00731274">
        <w:rPr>
          <w:rFonts w:ascii="Times New Roman" w:eastAsia="Calibri" w:hAnsi="Times New Roman" w:cs="Times New Roman"/>
          <w:sz w:val="28"/>
          <w:szCs w:val="28"/>
        </w:rPr>
        <w:t xml:space="preserve"> </w:t>
      </w:r>
      <w:r w:rsidR="007B19BD">
        <w:rPr>
          <w:rFonts w:ascii="Times New Roman" w:eastAsia="Calibri" w:hAnsi="Times New Roman" w:cs="Times New Roman"/>
          <w:sz w:val="28"/>
          <w:szCs w:val="28"/>
        </w:rPr>
        <w:t xml:space="preserve">статьей 8 </w:t>
      </w:r>
      <w:r w:rsidR="007B19BD" w:rsidRPr="00731274">
        <w:rPr>
          <w:rFonts w:ascii="Times New Roman" w:eastAsia="Calibri" w:hAnsi="Times New Roman" w:cs="Times New Roman"/>
          <w:sz w:val="28"/>
          <w:szCs w:val="28"/>
        </w:rPr>
        <w:t>Законопроект</w:t>
      </w:r>
      <w:r w:rsidR="007B19BD">
        <w:rPr>
          <w:rFonts w:ascii="Times New Roman" w:eastAsia="Calibri" w:hAnsi="Times New Roman" w:cs="Times New Roman"/>
          <w:sz w:val="28"/>
          <w:szCs w:val="28"/>
        </w:rPr>
        <w:t>а</w:t>
      </w:r>
      <w:r w:rsidR="007B19BD" w:rsidRPr="00731274">
        <w:rPr>
          <w:rFonts w:ascii="Times New Roman" w:eastAsia="Calibri" w:hAnsi="Times New Roman" w:cs="Times New Roman"/>
          <w:sz w:val="28"/>
          <w:szCs w:val="28"/>
        </w:rPr>
        <w:t xml:space="preserve"> устанавливаются в следующих объемах:</w:t>
      </w:r>
      <w:r w:rsidR="007B19BD">
        <w:rPr>
          <w:rFonts w:ascii="Times New Roman" w:eastAsia="Calibri" w:hAnsi="Times New Roman" w:cs="Times New Roman"/>
          <w:sz w:val="28"/>
          <w:szCs w:val="28"/>
        </w:rPr>
        <w:t xml:space="preserve"> </w:t>
      </w:r>
      <w:r w:rsidR="007B19BD" w:rsidRPr="00731274">
        <w:rPr>
          <w:rFonts w:ascii="Times New Roman" w:eastAsia="Calibri" w:hAnsi="Times New Roman" w:cs="Times New Roman"/>
          <w:sz w:val="28"/>
          <w:szCs w:val="28"/>
        </w:rPr>
        <w:t>на 202</w:t>
      </w:r>
      <w:r w:rsidR="007B19BD">
        <w:rPr>
          <w:rFonts w:ascii="Times New Roman" w:eastAsia="Calibri" w:hAnsi="Times New Roman" w:cs="Times New Roman"/>
          <w:sz w:val="28"/>
          <w:szCs w:val="28"/>
        </w:rPr>
        <w:t>2</w:t>
      </w:r>
      <w:r w:rsidR="007B19BD" w:rsidRPr="00731274">
        <w:rPr>
          <w:rFonts w:ascii="Times New Roman" w:eastAsia="Calibri" w:hAnsi="Times New Roman" w:cs="Times New Roman"/>
          <w:sz w:val="28"/>
          <w:szCs w:val="28"/>
        </w:rPr>
        <w:t xml:space="preserve"> год – </w:t>
      </w:r>
      <w:r w:rsidR="007B19BD">
        <w:rPr>
          <w:rFonts w:ascii="Times New Roman" w:eastAsia="Calibri" w:hAnsi="Times New Roman" w:cs="Times New Roman"/>
          <w:sz w:val="28"/>
          <w:szCs w:val="28"/>
        </w:rPr>
        <w:t>8 122,3 млн</w:t>
      </w:r>
      <w:r w:rsidR="007B19BD" w:rsidRPr="00731274">
        <w:rPr>
          <w:rFonts w:ascii="Times New Roman" w:eastAsia="Calibri" w:hAnsi="Times New Roman" w:cs="Times New Roman"/>
          <w:sz w:val="28"/>
          <w:szCs w:val="28"/>
        </w:rPr>
        <w:t>. рублей;</w:t>
      </w:r>
      <w:r w:rsidR="007B19BD">
        <w:rPr>
          <w:rFonts w:ascii="Times New Roman" w:eastAsia="Calibri" w:hAnsi="Times New Roman" w:cs="Times New Roman"/>
          <w:sz w:val="28"/>
          <w:szCs w:val="28"/>
        </w:rPr>
        <w:t xml:space="preserve"> </w:t>
      </w:r>
      <w:r w:rsidR="007B19BD" w:rsidRPr="00731274">
        <w:rPr>
          <w:rFonts w:ascii="Times New Roman" w:eastAsia="Calibri" w:hAnsi="Times New Roman" w:cs="Times New Roman"/>
          <w:sz w:val="28"/>
          <w:szCs w:val="28"/>
        </w:rPr>
        <w:t>на 202</w:t>
      </w:r>
      <w:r w:rsidR="007B19BD">
        <w:rPr>
          <w:rFonts w:ascii="Times New Roman" w:eastAsia="Calibri" w:hAnsi="Times New Roman" w:cs="Times New Roman"/>
          <w:sz w:val="28"/>
          <w:szCs w:val="28"/>
        </w:rPr>
        <w:t>3</w:t>
      </w:r>
      <w:r w:rsidR="007B19BD" w:rsidRPr="00731274">
        <w:rPr>
          <w:rFonts w:ascii="Times New Roman" w:eastAsia="Calibri" w:hAnsi="Times New Roman" w:cs="Times New Roman"/>
          <w:sz w:val="28"/>
          <w:szCs w:val="28"/>
        </w:rPr>
        <w:t xml:space="preserve"> год – </w:t>
      </w:r>
      <w:r w:rsidR="007B19BD">
        <w:rPr>
          <w:rFonts w:ascii="Times New Roman" w:eastAsia="Calibri" w:hAnsi="Times New Roman" w:cs="Times New Roman"/>
          <w:sz w:val="28"/>
          <w:szCs w:val="28"/>
        </w:rPr>
        <w:t>8 636,1 млн</w:t>
      </w:r>
      <w:r w:rsidR="007B19BD" w:rsidRPr="00731274">
        <w:rPr>
          <w:rFonts w:ascii="Times New Roman" w:eastAsia="Calibri" w:hAnsi="Times New Roman" w:cs="Times New Roman"/>
          <w:sz w:val="28"/>
          <w:szCs w:val="28"/>
        </w:rPr>
        <w:t>. рублей;</w:t>
      </w:r>
      <w:r w:rsidR="007B19BD">
        <w:rPr>
          <w:rFonts w:ascii="Times New Roman" w:eastAsia="Calibri" w:hAnsi="Times New Roman" w:cs="Times New Roman"/>
          <w:sz w:val="28"/>
          <w:szCs w:val="28"/>
        </w:rPr>
        <w:t xml:space="preserve"> </w:t>
      </w:r>
      <w:r w:rsidR="007B19BD" w:rsidRPr="00731274">
        <w:rPr>
          <w:rFonts w:ascii="Times New Roman" w:eastAsia="Calibri" w:hAnsi="Times New Roman" w:cs="Times New Roman"/>
          <w:sz w:val="28"/>
          <w:szCs w:val="28"/>
        </w:rPr>
        <w:t>на 202</w:t>
      </w:r>
      <w:r w:rsidR="007B19BD">
        <w:rPr>
          <w:rFonts w:ascii="Times New Roman" w:eastAsia="Calibri" w:hAnsi="Times New Roman" w:cs="Times New Roman"/>
          <w:sz w:val="28"/>
          <w:szCs w:val="28"/>
        </w:rPr>
        <w:t>4</w:t>
      </w:r>
      <w:r w:rsidR="007B19BD" w:rsidRPr="00731274">
        <w:rPr>
          <w:rFonts w:ascii="Times New Roman" w:eastAsia="Calibri" w:hAnsi="Times New Roman" w:cs="Times New Roman"/>
          <w:sz w:val="28"/>
          <w:szCs w:val="28"/>
        </w:rPr>
        <w:t xml:space="preserve"> год – </w:t>
      </w:r>
      <w:r w:rsidR="007B19BD">
        <w:rPr>
          <w:rFonts w:ascii="Times New Roman" w:eastAsia="Calibri" w:hAnsi="Times New Roman" w:cs="Times New Roman"/>
          <w:sz w:val="28"/>
          <w:szCs w:val="28"/>
        </w:rPr>
        <w:t>9 076,0 млн</w:t>
      </w:r>
      <w:r w:rsidR="007B19BD" w:rsidRPr="00731274">
        <w:rPr>
          <w:rFonts w:ascii="Times New Roman" w:eastAsia="Calibri" w:hAnsi="Times New Roman" w:cs="Times New Roman"/>
          <w:sz w:val="28"/>
          <w:szCs w:val="28"/>
        </w:rPr>
        <w:t>. рублей</w:t>
      </w:r>
      <w:r w:rsidR="007B19BD">
        <w:rPr>
          <w:rFonts w:ascii="Times New Roman" w:eastAsia="Calibri" w:hAnsi="Times New Roman" w:cs="Times New Roman"/>
          <w:sz w:val="28"/>
          <w:szCs w:val="28"/>
        </w:rPr>
        <w:t xml:space="preserve"> и соответствуют объемам бюджетных ассигнований в приложениях №№11-16 к Законопроекту</w:t>
      </w:r>
      <w:r w:rsidR="007B19BD" w:rsidRPr="00731274">
        <w:rPr>
          <w:rFonts w:ascii="Times New Roman" w:eastAsia="Calibri" w:hAnsi="Times New Roman" w:cs="Times New Roman"/>
          <w:sz w:val="28"/>
          <w:szCs w:val="28"/>
        </w:rPr>
        <w:t>.</w:t>
      </w:r>
    </w:p>
    <w:p w14:paraId="4FFBA974" w14:textId="6790ABBF" w:rsidR="007B19BD" w:rsidRPr="008C171A" w:rsidRDefault="007B19BD" w:rsidP="00170822">
      <w:pPr>
        <w:widowControl w:val="0"/>
        <w:tabs>
          <w:tab w:val="left" w:pos="993"/>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отметить, что объем бюджетных ассигнований</w:t>
      </w:r>
      <w:r w:rsidRPr="00F4576F">
        <w:rPr>
          <w:rFonts w:ascii="Times New Roman" w:eastAsia="Calibri" w:hAnsi="Times New Roman" w:cs="Times New Roman"/>
          <w:sz w:val="28"/>
          <w:szCs w:val="28"/>
        </w:rPr>
        <w:t xml:space="preserve"> </w:t>
      </w:r>
      <w:r w:rsidRPr="00731274">
        <w:rPr>
          <w:rFonts w:ascii="Times New Roman" w:eastAsia="Calibri" w:hAnsi="Times New Roman" w:cs="Times New Roman"/>
          <w:sz w:val="28"/>
          <w:szCs w:val="28"/>
        </w:rPr>
        <w:t xml:space="preserve">на исполнение </w:t>
      </w:r>
      <w:r w:rsidRPr="00F4576F">
        <w:rPr>
          <w:rFonts w:ascii="Times New Roman" w:eastAsia="Calibri" w:hAnsi="Times New Roman" w:cs="Times New Roman"/>
          <w:sz w:val="28"/>
          <w:szCs w:val="28"/>
        </w:rPr>
        <w:t>публичных нормативных обязательств</w:t>
      </w:r>
      <w:r>
        <w:rPr>
          <w:rFonts w:ascii="Times New Roman" w:eastAsia="Calibri" w:hAnsi="Times New Roman" w:cs="Times New Roman"/>
          <w:sz w:val="28"/>
          <w:szCs w:val="28"/>
        </w:rPr>
        <w:t xml:space="preserve">, предусматриваемый Законопроектом на 2022 и 2023 годы существенно ниже объема бюджетных ассигнований, установленных на эти годы </w:t>
      </w:r>
      <w:r w:rsidRPr="00F4576F">
        <w:rPr>
          <w:rFonts w:ascii="Times New Roman" w:eastAsia="Calibri" w:hAnsi="Times New Roman" w:cs="Times New Roman"/>
          <w:sz w:val="28"/>
          <w:szCs w:val="28"/>
        </w:rPr>
        <w:t>Законом о бюджете области на 2021 год</w:t>
      </w:r>
      <w:r>
        <w:rPr>
          <w:rFonts w:ascii="Times New Roman" w:eastAsia="Calibri" w:hAnsi="Times New Roman" w:cs="Times New Roman"/>
          <w:sz w:val="28"/>
          <w:szCs w:val="28"/>
        </w:rPr>
        <w:t xml:space="preserve"> </w:t>
      </w:r>
      <w:r w:rsidRPr="00F4576F">
        <w:rPr>
          <w:rFonts w:ascii="Times New Roman" w:eastAsia="Calibri" w:hAnsi="Times New Roman" w:cs="Times New Roman"/>
          <w:sz w:val="28"/>
          <w:szCs w:val="28"/>
        </w:rPr>
        <w:t>(на 2022 год – 10 782,0 млн. рублей; на 2023 год – 11 012,0 млн. рублей)</w:t>
      </w:r>
      <w:r>
        <w:rPr>
          <w:rFonts w:ascii="Times New Roman" w:eastAsia="Calibri" w:hAnsi="Times New Roman" w:cs="Times New Roman"/>
          <w:sz w:val="28"/>
          <w:szCs w:val="28"/>
        </w:rPr>
        <w:t>, что обусловлено в том числе изменением федерального законодательства: в</w:t>
      </w:r>
      <w:r w:rsidRPr="008D5A51">
        <w:rPr>
          <w:rFonts w:ascii="Times New Roman" w:eastAsia="Calibri" w:hAnsi="Times New Roman" w:cs="Times New Roman"/>
          <w:sz w:val="28"/>
          <w:szCs w:val="28"/>
        </w:rPr>
        <w:t xml:space="preserve"> </w:t>
      </w:r>
      <w:r w:rsidRPr="008D5A51">
        <w:rPr>
          <w:rFonts w:ascii="Times New Roman" w:eastAsia="Calibri" w:hAnsi="Times New Roman" w:cs="Times New Roman"/>
          <w:sz w:val="28"/>
          <w:szCs w:val="28"/>
        </w:rPr>
        <w:lastRenderedPageBreak/>
        <w:t xml:space="preserve">соответствии с </w:t>
      </w:r>
      <w:r w:rsidRPr="008C171A">
        <w:rPr>
          <w:rFonts w:ascii="Times New Roman" w:eastAsia="Calibri" w:hAnsi="Times New Roman" w:cs="Times New Roman"/>
          <w:sz w:val="28"/>
          <w:szCs w:val="28"/>
        </w:rPr>
        <w:t xml:space="preserve">проектом Федерального закона «О внесении изменений в отдельные законодательные акты Российской Федерации» (№1258301-7, принят в первом чтении 26.10.2021) </w:t>
      </w:r>
      <w:r w:rsidR="00B3424A" w:rsidRPr="008C171A">
        <w:rPr>
          <w:rFonts w:ascii="Times New Roman" w:eastAsia="Calibri" w:hAnsi="Times New Roman" w:cs="Times New Roman"/>
          <w:sz w:val="28"/>
          <w:szCs w:val="28"/>
        </w:rPr>
        <w:t>полномочия по осуществлению</w:t>
      </w:r>
      <w:r w:rsidRPr="008C171A">
        <w:rPr>
          <w:rFonts w:ascii="Times New Roman" w:eastAsia="Calibri" w:hAnsi="Times New Roman" w:cs="Times New Roman"/>
          <w:sz w:val="28"/>
          <w:szCs w:val="28"/>
        </w:rPr>
        <w:t xml:space="preserve"> выплат</w:t>
      </w:r>
      <w:r w:rsidR="00B3424A" w:rsidRPr="008C171A">
        <w:rPr>
          <w:rFonts w:ascii="Times New Roman" w:eastAsia="Calibri" w:hAnsi="Times New Roman" w:cs="Times New Roman"/>
          <w:sz w:val="28"/>
          <w:szCs w:val="28"/>
        </w:rPr>
        <w:t xml:space="preserve"> </w:t>
      </w:r>
      <w:r w:rsidRPr="008C171A">
        <w:rPr>
          <w:rFonts w:ascii="Times New Roman" w:eastAsia="Calibri" w:hAnsi="Times New Roman" w:cs="Times New Roman"/>
          <w:sz w:val="28"/>
          <w:szCs w:val="28"/>
        </w:rPr>
        <w:t>в рамках реализации Федеральног</w:t>
      </w:r>
      <w:r w:rsidR="000B4132" w:rsidRPr="008C171A">
        <w:rPr>
          <w:rFonts w:ascii="Times New Roman" w:eastAsia="Calibri" w:hAnsi="Times New Roman" w:cs="Times New Roman"/>
          <w:sz w:val="28"/>
          <w:szCs w:val="28"/>
        </w:rPr>
        <w:t>о з</w:t>
      </w:r>
      <w:r w:rsidRPr="008C171A">
        <w:rPr>
          <w:rFonts w:ascii="Times New Roman" w:eastAsia="Calibri" w:hAnsi="Times New Roman" w:cs="Times New Roman"/>
          <w:sz w:val="28"/>
          <w:szCs w:val="28"/>
        </w:rPr>
        <w:t>акона от 19.05.1995 №81-ФЗ «О государственных пособиях гражданам, имеющим детей»</w:t>
      </w:r>
      <w:r w:rsidR="00B3424A" w:rsidRPr="008C171A">
        <w:rPr>
          <w:rStyle w:val="a5"/>
          <w:rFonts w:ascii="Times New Roman" w:eastAsia="Calibri" w:hAnsi="Times New Roman" w:cs="Times New Roman"/>
          <w:sz w:val="28"/>
          <w:szCs w:val="28"/>
        </w:rPr>
        <w:footnoteReference w:id="19"/>
      </w:r>
      <w:r w:rsidR="00B3424A" w:rsidRPr="008C171A">
        <w:rPr>
          <w:rFonts w:ascii="Times New Roman" w:eastAsia="Calibri" w:hAnsi="Times New Roman" w:cs="Times New Roman"/>
          <w:sz w:val="28"/>
          <w:szCs w:val="28"/>
        </w:rPr>
        <w:t xml:space="preserve"> </w:t>
      </w:r>
      <w:r w:rsidRPr="008C171A">
        <w:rPr>
          <w:rFonts w:ascii="Times New Roman" w:eastAsia="Calibri" w:hAnsi="Times New Roman" w:cs="Times New Roman"/>
          <w:sz w:val="28"/>
          <w:szCs w:val="28"/>
        </w:rPr>
        <w:t>и в рамках реализации Закона Российской Федерации от 15.05.1991 №1244-1 «О социальной защите граждан, подвергшихся воздействию радиации вследствие катастрофы на Чернобыльс</w:t>
      </w:r>
      <w:r w:rsidR="001C6103" w:rsidRPr="008C171A">
        <w:rPr>
          <w:rFonts w:ascii="Times New Roman" w:eastAsia="Calibri" w:hAnsi="Times New Roman" w:cs="Times New Roman"/>
          <w:sz w:val="28"/>
          <w:szCs w:val="28"/>
        </w:rPr>
        <w:t>кой АЭС», начиная с 2022 года</w:t>
      </w:r>
      <w:r w:rsidRPr="008C171A">
        <w:rPr>
          <w:rFonts w:ascii="Times New Roman" w:eastAsia="Calibri" w:hAnsi="Times New Roman" w:cs="Times New Roman"/>
          <w:sz w:val="28"/>
          <w:szCs w:val="28"/>
        </w:rPr>
        <w:t xml:space="preserve"> предусматривается возложить на Пенсионный фонд РФ.</w:t>
      </w:r>
    </w:p>
    <w:p w14:paraId="739806CE" w14:textId="2C4877CD" w:rsidR="00B3424A" w:rsidRPr="008C171A" w:rsidRDefault="006A0FBD" w:rsidP="00170822">
      <w:pPr>
        <w:tabs>
          <w:tab w:val="left" w:pos="993"/>
        </w:tabs>
        <w:spacing w:before="120" w:after="0" w:line="240" w:lineRule="auto"/>
        <w:ind w:firstLine="709"/>
        <w:jc w:val="both"/>
        <w:rPr>
          <w:rFonts w:ascii="Times New Roman" w:eastAsia="Calibri" w:hAnsi="Times New Roman" w:cs="Times New Roman"/>
          <w:sz w:val="28"/>
          <w:szCs w:val="28"/>
        </w:rPr>
      </w:pPr>
      <w:r w:rsidRPr="008C171A">
        <w:rPr>
          <w:rFonts w:ascii="Times New Roman" w:eastAsia="Calibri" w:hAnsi="Times New Roman" w:cs="Times New Roman"/>
          <w:sz w:val="28"/>
          <w:szCs w:val="28"/>
        </w:rPr>
        <w:t>Ранее данные выплаты осуществлялись</w:t>
      </w:r>
      <w:r w:rsidR="00B3424A" w:rsidRPr="008C171A">
        <w:rPr>
          <w:rFonts w:ascii="Times New Roman" w:eastAsia="Calibri" w:hAnsi="Times New Roman" w:cs="Times New Roman"/>
          <w:sz w:val="28"/>
          <w:szCs w:val="28"/>
        </w:rPr>
        <w:t xml:space="preserve"> субъектами Российской Федерации за счет субвенций из </w:t>
      </w:r>
      <w:r w:rsidRPr="008C171A">
        <w:rPr>
          <w:rFonts w:ascii="Times New Roman" w:eastAsia="Calibri" w:hAnsi="Times New Roman" w:cs="Times New Roman"/>
          <w:sz w:val="28"/>
          <w:szCs w:val="28"/>
        </w:rPr>
        <w:t>федерального бюджета.</w:t>
      </w:r>
    </w:p>
    <w:p w14:paraId="04A0AB06" w14:textId="77777777" w:rsidR="007B19BD" w:rsidRPr="008C171A" w:rsidRDefault="007B19BD" w:rsidP="007B19BD">
      <w:pPr>
        <w:widowControl w:val="0"/>
        <w:tabs>
          <w:tab w:val="left" w:pos="993"/>
        </w:tabs>
        <w:spacing w:before="120" w:after="0" w:line="240" w:lineRule="auto"/>
        <w:ind w:firstLine="709"/>
        <w:jc w:val="both"/>
        <w:rPr>
          <w:rFonts w:ascii="Times New Roman" w:eastAsia="Calibri" w:hAnsi="Times New Roman" w:cs="Times New Roman"/>
          <w:sz w:val="24"/>
          <w:szCs w:val="24"/>
        </w:rPr>
      </w:pPr>
      <w:proofErr w:type="spellStart"/>
      <w:r w:rsidRPr="008C171A">
        <w:rPr>
          <w:rFonts w:ascii="Times New Roman" w:eastAsia="Calibri" w:hAnsi="Times New Roman" w:cs="Times New Roman"/>
          <w:sz w:val="24"/>
          <w:szCs w:val="24"/>
        </w:rPr>
        <w:t>Справочно</w:t>
      </w:r>
      <w:proofErr w:type="spellEnd"/>
      <w:r w:rsidRPr="008C171A">
        <w:rPr>
          <w:rFonts w:ascii="Times New Roman" w:eastAsia="Calibri" w:hAnsi="Times New Roman" w:cs="Times New Roman"/>
          <w:sz w:val="24"/>
          <w:szCs w:val="24"/>
        </w:rPr>
        <w:t>: в Законе о бюджете области на 2021 год объем бюджетных ассигнований на указанные выплаты на 2021 год учтен в объеме 3 209,0 млн. рублей.</w:t>
      </w:r>
    </w:p>
    <w:p w14:paraId="22CDBD87" w14:textId="60262E0F" w:rsidR="007B19BD" w:rsidRDefault="007B19BD" w:rsidP="007B19BD">
      <w:pPr>
        <w:pStyle w:val="a3"/>
        <w:spacing w:before="120"/>
        <w:ind w:firstLine="709"/>
        <w:jc w:val="both"/>
        <w:rPr>
          <w:sz w:val="24"/>
          <w:szCs w:val="24"/>
        </w:rPr>
      </w:pPr>
      <w:r w:rsidRPr="008C171A">
        <w:rPr>
          <w:sz w:val="28"/>
          <w:szCs w:val="28"/>
        </w:rPr>
        <w:t xml:space="preserve">Кроме того, в плановом периоде 2023 и 2024 годов из перечня публичных нормативных обязательств исключены выплаты по двум нормативным </w:t>
      </w:r>
      <w:r w:rsidR="000C195B" w:rsidRPr="008C171A">
        <w:rPr>
          <w:sz w:val="28"/>
          <w:szCs w:val="28"/>
        </w:rPr>
        <w:t xml:space="preserve">правовым </w:t>
      </w:r>
      <w:r w:rsidRPr="008C171A">
        <w:rPr>
          <w:sz w:val="28"/>
          <w:szCs w:val="28"/>
        </w:rPr>
        <w:t xml:space="preserve">актам в связи с окончанием срока </w:t>
      </w:r>
      <w:r w:rsidR="006A0FBD" w:rsidRPr="008C171A">
        <w:rPr>
          <w:sz w:val="28"/>
          <w:szCs w:val="28"/>
        </w:rPr>
        <w:t xml:space="preserve">их </w:t>
      </w:r>
      <w:r w:rsidRPr="008C171A">
        <w:rPr>
          <w:sz w:val="28"/>
          <w:szCs w:val="28"/>
        </w:rPr>
        <w:t xml:space="preserve">действия: </w:t>
      </w:r>
      <w:r w:rsidRPr="008C171A">
        <w:rPr>
          <w:sz w:val="24"/>
          <w:szCs w:val="24"/>
        </w:rPr>
        <w:t>постановление правительства Тульской области от 21.11.2019 №560</w:t>
      </w:r>
      <w:r w:rsidRPr="00784C76">
        <w:rPr>
          <w:sz w:val="24"/>
          <w:szCs w:val="24"/>
        </w:rPr>
        <w:t xml:space="preserve"> «Об установлении дополнительной меры социальной поддержки в виде единовременной материальной помощи инвалидам и участникам Великой Отечественной войны, вдовам инвалидов и участников Великой Отечественной войны на проведение ремонтных работ жилых помещений и (или) приобретение отдельных видов бытовой техники (оборудования) для личного (семейного), домашнего использования» (срок действия до 31 декабря 2022 года) </w:t>
      </w:r>
      <w:r>
        <w:rPr>
          <w:sz w:val="24"/>
          <w:szCs w:val="24"/>
        </w:rPr>
        <w:t xml:space="preserve">(в </w:t>
      </w:r>
      <w:r w:rsidRPr="00796B1E">
        <w:rPr>
          <w:sz w:val="22"/>
          <w:szCs w:val="22"/>
        </w:rPr>
        <w:t>соответствии с Законом о бюджете области на 2021</w:t>
      </w:r>
      <w:r>
        <w:rPr>
          <w:sz w:val="22"/>
          <w:szCs w:val="22"/>
        </w:rPr>
        <w:t xml:space="preserve"> </w:t>
      </w:r>
      <w:r w:rsidRPr="00796B1E">
        <w:rPr>
          <w:sz w:val="22"/>
          <w:szCs w:val="22"/>
        </w:rPr>
        <w:t>год</w:t>
      </w:r>
      <w:r>
        <w:rPr>
          <w:sz w:val="22"/>
          <w:szCs w:val="22"/>
        </w:rPr>
        <w:t xml:space="preserve"> – 35,</w:t>
      </w:r>
      <w:r w:rsidRPr="00E87BF2">
        <w:rPr>
          <w:sz w:val="22"/>
          <w:szCs w:val="22"/>
        </w:rPr>
        <w:t>0</w:t>
      </w:r>
      <w:r>
        <w:rPr>
          <w:sz w:val="22"/>
          <w:szCs w:val="22"/>
        </w:rPr>
        <w:t xml:space="preserve"> млн</w:t>
      </w:r>
      <w:r w:rsidRPr="00E87BF2">
        <w:rPr>
          <w:sz w:val="22"/>
          <w:szCs w:val="22"/>
        </w:rPr>
        <w:t>. рублей</w:t>
      </w:r>
      <w:r>
        <w:rPr>
          <w:sz w:val="22"/>
          <w:szCs w:val="22"/>
        </w:rPr>
        <w:t>); п</w:t>
      </w:r>
      <w:r w:rsidRPr="00784C76">
        <w:rPr>
          <w:sz w:val="22"/>
          <w:szCs w:val="22"/>
        </w:rPr>
        <w:t>остановлени</w:t>
      </w:r>
      <w:r>
        <w:rPr>
          <w:sz w:val="22"/>
          <w:szCs w:val="22"/>
        </w:rPr>
        <w:t>е</w:t>
      </w:r>
      <w:r w:rsidRPr="00784C76">
        <w:rPr>
          <w:sz w:val="22"/>
          <w:szCs w:val="22"/>
        </w:rPr>
        <w:t xml:space="preserve"> правительства Тульской области от 02.06.2014 №272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 (срок действия до 1 января 2024 года)</w:t>
      </w:r>
      <w:r>
        <w:rPr>
          <w:sz w:val="22"/>
          <w:szCs w:val="22"/>
        </w:rPr>
        <w:t xml:space="preserve"> (</w:t>
      </w:r>
      <w:r>
        <w:rPr>
          <w:sz w:val="24"/>
          <w:szCs w:val="24"/>
        </w:rPr>
        <w:t xml:space="preserve">в </w:t>
      </w:r>
      <w:r w:rsidRPr="00796B1E">
        <w:rPr>
          <w:sz w:val="22"/>
          <w:szCs w:val="22"/>
        </w:rPr>
        <w:t>соответствии с Законом о бюджете области на 2021</w:t>
      </w:r>
      <w:r>
        <w:rPr>
          <w:sz w:val="22"/>
          <w:szCs w:val="22"/>
        </w:rPr>
        <w:t xml:space="preserve"> </w:t>
      </w:r>
      <w:r w:rsidRPr="00796B1E">
        <w:rPr>
          <w:sz w:val="22"/>
          <w:szCs w:val="22"/>
        </w:rPr>
        <w:t>год</w:t>
      </w:r>
      <w:r>
        <w:rPr>
          <w:sz w:val="22"/>
          <w:szCs w:val="22"/>
        </w:rPr>
        <w:t xml:space="preserve"> – 19,2 млн</w:t>
      </w:r>
      <w:r w:rsidRPr="00E87BF2">
        <w:rPr>
          <w:sz w:val="22"/>
          <w:szCs w:val="22"/>
        </w:rPr>
        <w:t>. рублей</w:t>
      </w:r>
      <w:r>
        <w:rPr>
          <w:sz w:val="22"/>
          <w:szCs w:val="22"/>
        </w:rPr>
        <w:t>).</w:t>
      </w:r>
    </w:p>
    <w:p w14:paraId="49ECAE4C" w14:textId="77777777" w:rsidR="007B19BD" w:rsidRPr="005E6F85" w:rsidRDefault="007B19BD" w:rsidP="007B19BD">
      <w:pPr>
        <w:tabs>
          <w:tab w:val="left" w:pos="0"/>
        </w:tabs>
        <w:spacing w:before="120"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Счетная палата обращает внимание на следующее: с</w:t>
      </w:r>
      <w:r w:rsidRPr="005E6F85">
        <w:rPr>
          <w:rFonts w:ascii="Times New Roman" w:eastAsia="Calibri" w:hAnsi="Times New Roman" w:cs="Times New Roman"/>
          <w:spacing w:val="-4"/>
          <w:sz w:val="28"/>
          <w:szCs w:val="28"/>
        </w:rPr>
        <w:t xml:space="preserve">огласно абзацу 3 пункта 4 статьи 21 БК РФ «каждому публичному нормативному обязательству…присваиваются уникальные коды классификации расходов бюджетов». </w:t>
      </w:r>
      <w:r w:rsidRPr="005E6F85">
        <w:rPr>
          <w:rFonts w:ascii="Times New Roman" w:eastAsia="Calibri" w:hAnsi="Times New Roman" w:cs="Times New Roman"/>
          <w:sz w:val="28"/>
          <w:szCs w:val="28"/>
        </w:rPr>
        <w:t>При этом, в результате выборочного анализа указанных нормативных правовых актов и представленного перечня публичных нормативных обязательств установлены случаи объединения нескольких видов выплат с различной направленностью, различной периодичностью и размером выплаты в одну целевую статью.</w:t>
      </w:r>
      <w:r w:rsidRPr="005E6F85">
        <w:rPr>
          <w:rFonts w:ascii="Times New Roman" w:eastAsia="Calibri" w:hAnsi="Times New Roman" w:cs="Times New Roman"/>
          <w:spacing w:val="-4"/>
          <w:sz w:val="28"/>
          <w:szCs w:val="28"/>
        </w:rPr>
        <w:t xml:space="preserve"> </w:t>
      </w:r>
    </w:p>
    <w:p w14:paraId="17E773AD" w14:textId="77777777" w:rsidR="007B19BD" w:rsidRPr="005E6F85" w:rsidRDefault="007B19BD" w:rsidP="007B19BD">
      <w:pPr>
        <w:pStyle w:val="a3"/>
        <w:spacing w:before="120"/>
        <w:ind w:firstLine="567"/>
        <w:jc w:val="both"/>
        <w:rPr>
          <w:sz w:val="24"/>
          <w:szCs w:val="24"/>
        </w:rPr>
      </w:pPr>
      <w:proofErr w:type="gramStart"/>
      <w:r w:rsidRPr="005E6F85">
        <w:rPr>
          <w:sz w:val="24"/>
          <w:szCs w:val="24"/>
        </w:rPr>
        <w:t>Например</w:t>
      </w:r>
      <w:proofErr w:type="gramEnd"/>
      <w:r w:rsidRPr="005E6F85">
        <w:rPr>
          <w:sz w:val="24"/>
          <w:szCs w:val="24"/>
        </w:rPr>
        <w:t>:</w:t>
      </w:r>
    </w:p>
    <w:p w14:paraId="254D7410" w14:textId="77777777" w:rsidR="007B19BD" w:rsidRPr="005E6F85" w:rsidRDefault="007B19BD" w:rsidP="007B19BD">
      <w:pPr>
        <w:pStyle w:val="a3"/>
        <w:ind w:firstLine="567"/>
        <w:jc w:val="both"/>
        <w:rPr>
          <w:rFonts w:eastAsia="Calibri"/>
          <w:sz w:val="24"/>
          <w:szCs w:val="24"/>
        </w:rPr>
      </w:pPr>
      <w:r w:rsidRPr="005E6F85">
        <w:rPr>
          <w:sz w:val="24"/>
          <w:szCs w:val="24"/>
        </w:rPr>
        <w:t>- 5 видов выплат п</w:t>
      </w:r>
      <w:r w:rsidRPr="005E6F85">
        <w:rPr>
          <w:rFonts w:eastAsia="Calibri"/>
          <w:sz w:val="24"/>
          <w:szCs w:val="24"/>
        </w:rPr>
        <w:t>о Закону Тульской области «О физической культуре и спорте»</w:t>
      </w:r>
      <w:r w:rsidRPr="005E6F85">
        <w:rPr>
          <w:rStyle w:val="a5"/>
          <w:rFonts w:eastAsia="Calibri"/>
          <w:sz w:val="24"/>
          <w:szCs w:val="24"/>
        </w:rPr>
        <w:footnoteReference w:id="20"/>
      </w:r>
      <w:r w:rsidRPr="005E6F85">
        <w:rPr>
          <w:rFonts w:eastAsia="Calibri"/>
          <w:sz w:val="24"/>
          <w:szCs w:val="24"/>
        </w:rPr>
        <w:t xml:space="preserve"> объединены в одну целевую статью; </w:t>
      </w:r>
    </w:p>
    <w:p w14:paraId="276A56D7" w14:textId="77777777" w:rsidR="007B19BD" w:rsidRPr="005E6F85" w:rsidRDefault="007B19BD" w:rsidP="007B19BD">
      <w:pPr>
        <w:pStyle w:val="a3"/>
        <w:ind w:firstLine="567"/>
        <w:jc w:val="both"/>
        <w:rPr>
          <w:rFonts w:eastAsia="Calibri"/>
          <w:sz w:val="24"/>
          <w:szCs w:val="24"/>
        </w:rPr>
      </w:pPr>
      <w:r w:rsidRPr="005E6F85">
        <w:rPr>
          <w:rFonts w:eastAsia="Calibri"/>
          <w:sz w:val="24"/>
          <w:szCs w:val="24"/>
        </w:rPr>
        <w:lastRenderedPageBreak/>
        <w:t>- 6 видов выплат по Закону Тульской области</w:t>
      </w:r>
      <w:r w:rsidRPr="005E6F85">
        <w:rPr>
          <w:sz w:val="24"/>
          <w:szCs w:val="24"/>
        </w:rPr>
        <w:t xml:space="preserve"> «</w:t>
      </w:r>
      <w:r w:rsidRPr="005E6F85">
        <w:rPr>
          <w:rFonts w:eastAsia="Calibri"/>
          <w:sz w:val="24"/>
          <w:szCs w:val="24"/>
        </w:rPr>
        <w:t>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 распределены по 4 целевым статьям</w:t>
      </w:r>
      <w:r w:rsidRPr="005E6F85">
        <w:rPr>
          <w:rStyle w:val="a5"/>
          <w:rFonts w:eastAsia="Calibri"/>
          <w:sz w:val="24"/>
          <w:szCs w:val="24"/>
        </w:rPr>
        <w:footnoteReference w:id="21"/>
      </w:r>
      <w:r w:rsidRPr="005E6F85">
        <w:rPr>
          <w:rFonts w:eastAsia="Calibri"/>
          <w:sz w:val="24"/>
          <w:szCs w:val="24"/>
        </w:rPr>
        <w:t>.</w:t>
      </w:r>
    </w:p>
    <w:p w14:paraId="35924575" w14:textId="581F11A3" w:rsidR="007B19BD" w:rsidRPr="00DB0359" w:rsidRDefault="007B19BD" w:rsidP="00AA26A2">
      <w:pPr>
        <w:tabs>
          <w:tab w:val="left" w:pos="0"/>
        </w:tabs>
        <w:spacing w:before="120" w:after="0" w:line="240" w:lineRule="auto"/>
        <w:ind w:firstLine="709"/>
        <w:jc w:val="both"/>
        <w:rPr>
          <w:rFonts w:ascii="Times New Roman" w:eastAsia="Calibri" w:hAnsi="Times New Roman" w:cs="Times New Roman"/>
          <w:spacing w:val="-4"/>
          <w:sz w:val="28"/>
          <w:szCs w:val="28"/>
        </w:rPr>
      </w:pPr>
      <w:r w:rsidRPr="005F0AAB">
        <w:rPr>
          <w:rFonts w:ascii="Times New Roman" w:eastAsia="Calibri" w:hAnsi="Times New Roman" w:cs="Times New Roman"/>
          <w:spacing w:val="-4"/>
          <w:sz w:val="28"/>
          <w:szCs w:val="28"/>
        </w:rPr>
        <w:t>В представленном Законопроекте 71 выплата</w:t>
      </w:r>
      <w:r w:rsidR="00DE04B7" w:rsidRPr="005F0AAB">
        <w:rPr>
          <w:rFonts w:ascii="Times New Roman" w:eastAsia="Calibri" w:hAnsi="Times New Roman" w:cs="Times New Roman"/>
          <w:spacing w:val="-4"/>
          <w:sz w:val="28"/>
          <w:szCs w:val="28"/>
        </w:rPr>
        <w:t xml:space="preserve"> (согласно представленному </w:t>
      </w:r>
      <w:r w:rsidR="00DE04B7" w:rsidRPr="005F0AAB">
        <w:rPr>
          <w:rFonts w:ascii="Times New Roman" w:eastAsia="Calibri" w:hAnsi="Times New Roman" w:cs="Times New Roman"/>
          <w:sz w:val="28"/>
          <w:szCs w:val="28"/>
        </w:rPr>
        <w:t>перечню публичных нормативных обязательств)</w:t>
      </w:r>
      <w:r w:rsidRPr="005F0AAB">
        <w:rPr>
          <w:rFonts w:ascii="Times New Roman" w:eastAsia="Calibri" w:hAnsi="Times New Roman" w:cs="Times New Roman"/>
          <w:spacing w:val="-4"/>
          <w:sz w:val="28"/>
          <w:szCs w:val="28"/>
        </w:rPr>
        <w:t xml:space="preserve"> отражена по 44-м целевым статьям расходов бюджета области</w:t>
      </w:r>
      <w:r w:rsidR="00DE04B7" w:rsidRPr="005F0AAB">
        <w:rPr>
          <w:rFonts w:ascii="Times New Roman" w:eastAsia="Calibri" w:hAnsi="Times New Roman" w:cs="Times New Roman"/>
          <w:spacing w:val="-4"/>
          <w:sz w:val="28"/>
          <w:szCs w:val="28"/>
        </w:rPr>
        <w:t xml:space="preserve"> (приложение №11 к Законопроекту)</w:t>
      </w:r>
      <w:r w:rsidRPr="005F0AAB">
        <w:rPr>
          <w:rFonts w:ascii="Times New Roman" w:eastAsia="Calibri" w:hAnsi="Times New Roman" w:cs="Times New Roman"/>
          <w:spacing w:val="-4"/>
          <w:sz w:val="28"/>
          <w:szCs w:val="28"/>
        </w:rPr>
        <w:t>. Таким образом, требования статьи 21 БК РФ не соблюдены.</w:t>
      </w:r>
    </w:p>
    <w:p w14:paraId="477F5AB1" w14:textId="765B202C" w:rsidR="007B19BD" w:rsidRPr="00982522" w:rsidRDefault="007B19BD" w:rsidP="007B19BD">
      <w:pPr>
        <w:tabs>
          <w:tab w:val="left" w:pos="993"/>
        </w:tabs>
        <w:spacing w:before="120" w:after="0" w:line="240" w:lineRule="auto"/>
        <w:ind w:firstLine="709"/>
        <w:jc w:val="both"/>
        <w:rPr>
          <w:sz w:val="28"/>
          <w:szCs w:val="28"/>
        </w:rPr>
      </w:pPr>
      <w:r w:rsidRPr="00DB0359">
        <w:rPr>
          <w:rFonts w:ascii="Times New Roman" w:hAnsi="Times New Roman" w:cs="Times New Roman"/>
          <w:sz w:val="28"/>
          <w:szCs w:val="28"/>
        </w:rPr>
        <w:t xml:space="preserve">Доля расходов, направляемых на исполнение публичных нормативных обязательств, в общем объеме расходов бюджета в среднесрочном периоде составит порядка 8-9%. </w:t>
      </w:r>
      <w:r w:rsidRPr="00DB0359">
        <w:rPr>
          <w:rFonts w:ascii="Times New Roman" w:eastAsia="Calibri" w:hAnsi="Times New Roman" w:cs="Times New Roman"/>
          <w:sz w:val="28"/>
          <w:szCs w:val="28"/>
        </w:rPr>
        <w:t xml:space="preserve">В расчетах по выплатам, установленным нормативными правовыми актами Тульской области и подлежащим </w:t>
      </w:r>
      <w:r w:rsidRPr="00DB0359">
        <w:rPr>
          <w:rFonts w:ascii="Times New Roman" w:eastAsia="Calibri" w:hAnsi="Times New Roman" w:cs="Times New Roman"/>
          <w:sz w:val="28"/>
          <w:szCs w:val="28"/>
        </w:rPr>
        <w:lastRenderedPageBreak/>
        <w:t>индексации</w:t>
      </w:r>
      <w:r w:rsidR="006A0FBD">
        <w:rPr>
          <w:rFonts w:ascii="Times New Roman" w:eastAsia="Calibri" w:hAnsi="Times New Roman" w:cs="Times New Roman"/>
          <w:sz w:val="28"/>
          <w:szCs w:val="28"/>
        </w:rPr>
        <w:t xml:space="preserve"> на уровень инфляции</w:t>
      </w:r>
      <w:r w:rsidRPr="00DB0359">
        <w:rPr>
          <w:rFonts w:ascii="Times New Roman" w:eastAsia="Calibri" w:hAnsi="Times New Roman" w:cs="Times New Roman"/>
          <w:sz w:val="28"/>
          <w:szCs w:val="28"/>
        </w:rPr>
        <w:t xml:space="preserve"> </w:t>
      </w:r>
      <w:r w:rsidR="006A0FBD">
        <w:rPr>
          <w:rFonts w:ascii="Times New Roman" w:eastAsia="Calibri" w:hAnsi="Times New Roman" w:cs="Times New Roman"/>
          <w:sz w:val="28"/>
          <w:szCs w:val="28"/>
        </w:rPr>
        <w:t>(</w:t>
      </w:r>
      <w:r w:rsidRPr="00DB0359">
        <w:rPr>
          <w:rFonts w:ascii="Times New Roman" w:eastAsia="Calibri" w:hAnsi="Times New Roman" w:cs="Times New Roman"/>
          <w:sz w:val="28"/>
          <w:szCs w:val="28"/>
        </w:rPr>
        <w:t>согласно пояснительной записке</w:t>
      </w:r>
      <w:r w:rsidR="006A0FBD">
        <w:rPr>
          <w:rFonts w:ascii="Times New Roman" w:eastAsia="Calibri" w:hAnsi="Times New Roman" w:cs="Times New Roman"/>
          <w:sz w:val="28"/>
          <w:szCs w:val="28"/>
        </w:rPr>
        <w:t xml:space="preserve"> к Зак</w:t>
      </w:r>
      <w:r w:rsidR="002B4956">
        <w:rPr>
          <w:rFonts w:ascii="Times New Roman" w:eastAsia="Calibri" w:hAnsi="Times New Roman" w:cs="Times New Roman"/>
          <w:sz w:val="28"/>
          <w:szCs w:val="28"/>
        </w:rPr>
        <w:t>онопроекту),</w:t>
      </w:r>
      <w:r w:rsidR="006A0FBD">
        <w:rPr>
          <w:rFonts w:ascii="Times New Roman" w:eastAsia="Calibri" w:hAnsi="Times New Roman" w:cs="Times New Roman"/>
          <w:sz w:val="28"/>
          <w:szCs w:val="28"/>
        </w:rPr>
        <w:t xml:space="preserve"> </w:t>
      </w:r>
      <w:r w:rsidR="000239C3">
        <w:rPr>
          <w:rFonts w:ascii="Times New Roman" w:eastAsia="Calibri" w:hAnsi="Times New Roman" w:cs="Times New Roman"/>
          <w:sz w:val="28"/>
          <w:szCs w:val="28"/>
        </w:rPr>
        <w:t>р</w:t>
      </w:r>
      <w:r w:rsidR="00290FBC">
        <w:rPr>
          <w:rFonts w:ascii="Times New Roman" w:eastAsia="Calibri" w:hAnsi="Times New Roman" w:cs="Times New Roman"/>
          <w:sz w:val="28"/>
          <w:szCs w:val="28"/>
        </w:rPr>
        <w:t>азмер уровня инфляции, учтенный при расчетах, в материалах Законопроекта не указан.</w:t>
      </w:r>
      <w:r w:rsidR="006A0FBD">
        <w:rPr>
          <w:rFonts w:ascii="Times New Roman" w:eastAsia="Calibri" w:hAnsi="Times New Roman" w:cs="Times New Roman"/>
          <w:sz w:val="28"/>
          <w:szCs w:val="28"/>
        </w:rPr>
        <w:t xml:space="preserve"> </w:t>
      </w:r>
    </w:p>
    <w:p w14:paraId="6EFBA2A0" w14:textId="5E896692" w:rsidR="007B19BD" w:rsidRPr="00D30375" w:rsidRDefault="00D875D8" w:rsidP="007B19BD">
      <w:pPr>
        <w:widowControl w:val="0"/>
        <w:spacing w:before="120" w:after="0" w:line="240" w:lineRule="auto"/>
        <w:ind w:left="-57" w:right="-57" w:firstLine="765"/>
        <w:jc w:val="both"/>
        <w:rPr>
          <w:rFonts w:ascii="Times New Roman" w:eastAsia="Calibri" w:hAnsi="Times New Roman" w:cs="Times New Roman"/>
          <w:b/>
          <w:sz w:val="28"/>
          <w:szCs w:val="28"/>
          <w:lang w:eastAsia="ru-RU"/>
        </w:rPr>
      </w:pPr>
      <w:r w:rsidRPr="00D875D8">
        <w:rPr>
          <w:rFonts w:ascii="Times New Roman" w:eastAsia="Times New Roman" w:hAnsi="Times New Roman" w:cs="Times New Roman"/>
          <w:b/>
          <w:spacing w:val="-4"/>
          <w:kern w:val="28"/>
          <w:sz w:val="28"/>
          <w:szCs w:val="24"/>
          <w:lang w:eastAsia="ru-RU"/>
        </w:rPr>
        <w:t>3.3</w:t>
      </w:r>
      <w:r w:rsidR="007B19BD" w:rsidRPr="00D875D8">
        <w:rPr>
          <w:rFonts w:ascii="Times New Roman" w:eastAsia="Times New Roman" w:hAnsi="Times New Roman" w:cs="Times New Roman"/>
          <w:b/>
          <w:spacing w:val="-4"/>
          <w:kern w:val="28"/>
          <w:sz w:val="28"/>
          <w:szCs w:val="24"/>
          <w:lang w:eastAsia="ru-RU"/>
        </w:rPr>
        <w:t>.</w:t>
      </w:r>
      <w:r w:rsidR="007B19BD" w:rsidRPr="00D875D8">
        <w:rPr>
          <w:rFonts w:ascii="Times New Roman" w:eastAsia="Times New Roman" w:hAnsi="Times New Roman" w:cs="Times New Roman"/>
          <w:spacing w:val="-4"/>
          <w:kern w:val="28"/>
          <w:sz w:val="28"/>
          <w:szCs w:val="24"/>
          <w:lang w:eastAsia="ru-RU"/>
        </w:rPr>
        <w:t> </w:t>
      </w:r>
      <w:r w:rsidR="007B19BD" w:rsidRPr="00D875D8">
        <w:rPr>
          <w:rFonts w:ascii="Times New Roman" w:eastAsia="Times New Roman" w:hAnsi="Times New Roman" w:cs="Times New Roman"/>
          <w:i/>
          <w:spacing w:val="-4"/>
          <w:w w:val="95"/>
          <w:sz w:val="28"/>
          <w:szCs w:val="28"/>
          <w:lang w:eastAsia="ru-RU"/>
        </w:rPr>
        <w:t>Анализ</w:t>
      </w:r>
      <w:r w:rsidR="007B19BD" w:rsidRPr="00F41808">
        <w:rPr>
          <w:rFonts w:ascii="Times New Roman" w:eastAsia="Times New Roman" w:hAnsi="Times New Roman" w:cs="Times New Roman"/>
          <w:i/>
          <w:spacing w:val="-4"/>
          <w:w w:val="95"/>
          <w:sz w:val="28"/>
          <w:szCs w:val="28"/>
          <w:lang w:eastAsia="ru-RU"/>
        </w:rPr>
        <w:t xml:space="preserve"> отдельных направлений расходов, предусмотренных в Законопроекте.</w:t>
      </w:r>
    </w:p>
    <w:p w14:paraId="469ACCC2" w14:textId="5299B6A8" w:rsidR="007B19BD" w:rsidRPr="0071237A" w:rsidRDefault="00290FBC" w:rsidP="00D875D8">
      <w:pPr>
        <w:widowControl w:val="0"/>
        <w:spacing w:after="0" w:line="240" w:lineRule="auto"/>
        <w:ind w:firstLine="709"/>
        <w:jc w:val="both"/>
        <w:rPr>
          <w:rFonts w:ascii="Times New Roman" w:eastAsia="Calibri" w:hAnsi="Times New Roman" w:cs="Times New Roman"/>
          <w:color w:val="000000" w:themeColor="text1"/>
          <w:sz w:val="28"/>
          <w:szCs w:val="28"/>
        </w:rPr>
      </w:pPr>
      <w:r w:rsidRPr="00A5067C">
        <w:rPr>
          <w:rFonts w:ascii="Times New Roman" w:eastAsia="Calibri" w:hAnsi="Times New Roman" w:cs="Times New Roman"/>
          <w:b/>
          <w:color w:val="000000" w:themeColor="text1"/>
          <w:sz w:val="28"/>
          <w:szCs w:val="28"/>
        </w:rPr>
        <w:t>3.3.1.</w:t>
      </w:r>
      <w:r>
        <w:rPr>
          <w:rFonts w:ascii="Times New Roman" w:eastAsia="Calibri" w:hAnsi="Times New Roman" w:cs="Times New Roman"/>
          <w:color w:val="000000" w:themeColor="text1"/>
          <w:sz w:val="28"/>
          <w:szCs w:val="28"/>
        </w:rPr>
        <w:t xml:space="preserve"> </w:t>
      </w:r>
      <w:r w:rsidR="007B19BD" w:rsidRPr="0071237A">
        <w:rPr>
          <w:rFonts w:ascii="Times New Roman" w:eastAsia="Calibri" w:hAnsi="Times New Roman" w:cs="Times New Roman"/>
          <w:color w:val="000000" w:themeColor="text1"/>
          <w:sz w:val="28"/>
          <w:szCs w:val="28"/>
        </w:rPr>
        <w:t>В структуре расходов бюджета области в 2022 году бюджетные ассигнования на осуществление бюджетных инвестиций запланированы в объеме 6 114 416,4</w:t>
      </w:r>
      <w:r w:rsidR="007B19BD">
        <w:rPr>
          <w:rFonts w:ascii="Times New Roman" w:eastAsia="Calibri" w:hAnsi="Times New Roman" w:cs="Times New Roman"/>
          <w:color w:val="000000" w:themeColor="text1"/>
          <w:sz w:val="28"/>
          <w:szCs w:val="28"/>
        </w:rPr>
        <w:t> тыс. рублей</w:t>
      </w:r>
      <w:r w:rsidR="007B19BD" w:rsidRPr="0071237A">
        <w:rPr>
          <w:rFonts w:ascii="Times New Roman" w:eastAsia="Calibri" w:hAnsi="Times New Roman" w:cs="Times New Roman"/>
          <w:color w:val="000000" w:themeColor="text1"/>
          <w:sz w:val="28"/>
          <w:szCs w:val="28"/>
        </w:rPr>
        <w:t xml:space="preserve">, что на 1 023 797,8 </w:t>
      </w:r>
      <w:r w:rsidR="007B19BD">
        <w:rPr>
          <w:rFonts w:ascii="Times New Roman" w:eastAsia="Calibri" w:hAnsi="Times New Roman" w:cs="Times New Roman"/>
          <w:color w:val="000000" w:themeColor="text1"/>
          <w:sz w:val="28"/>
          <w:szCs w:val="28"/>
        </w:rPr>
        <w:t>тыс. рублей</w:t>
      </w:r>
      <w:r w:rsidR="007B19BD" w:rsidRPr="0071237A">
        <w:rPr>
          <w:rFonts w:ascii="Times New Roman" w:eastAsia="Calibri" w:hAnsi="Times New Roman" w:cs="Times New Roman"/>
          <w:color w:val="000000" w:themeColor="text1"/>
          <w:sz w:val="28"/>
          <w:szCs w:val="28"/>
        </w:rPr>
        <w:t>, или на 14,3%, меньше утвержденного объема аналогичных бюджетных ассигнований на 2021 год (завершено строительство нового корпуса ГУЗ «Тульский областной перинатальный центр»). Доля бюджетных инвестиций в общем объеме расходов бюджета области в 2022 году составит 6,3%, в 2023 году – 5,</w:t>
      </w:r>
      <w:r w:rsidR="007B19BD">
        <w:rPr>
          <w:rFonts w:ascii="Times New Roman" w:eastAsia="Calibri" w:hAnsi="Times New Roman" w:cs="Times New Roman"/>
          <w:color w:val="000000" w:themeColor="text1"/>
          <w:sz w:val="28"/>
          <w:szCs w:val="28"/>
        </w:rPr>
        <w:t>2%, в 2024 году – 4,8</w:t>
      </w:r>
      <w:r w:rsidR="007B19BD" w:rsidRPr="0071237A">
        <w:rPr>
          <w:rFonts w:ascii="Times New Roman" w:eastAsia="Calibri" w:hAnsi="Times New Roman" w:cs="Times New Roman"/>
          <w:color w:val="000000" w:themeColor="text1"/>
          <w:sz w:val="28"/>
          <w:szCs w:val="28"/>
        </w:rPr>
        <w:t xml:space="preserve">%. Информация о бюджетных инвестициях в разрезе госпрограмм (непрограммных расходов) в 2021 – 2024 годах представлена в </w:t>
      </w:r>
      <w:r w:rsidR="007B19BD" w:rsidRPr="002745CF">
        <w:rPr>
          <w:rFonts w:ascii="Times New Roman" w:eastAsia="Calibri" w:hAnsi="Times New Roman" w:cs="Times New Roman"/>
          <w:color w:val="000000" w:themeColor="text1"/>
          <w:sz w:val="28"/>
          <w:szCs w:val="28"/>
        </w:rPr>
        <w:t>приложении №5</w:t>
      </w:r>
      <w:r w:rsidR="007B19BD" w:rsidRPr="0071237A">
        <w:rPr>
          <w:rFonts w:ascii="Times New Roman" w:eastAsia="Calibri" w:hAnsi="Times New Roman" w:cs="Times New Roman"/>
          <w:color w:val="000000" w:themeColor="text1"/>
          <w:sz w:val="28"/>
          <w:szCs w:val="28"/>
        </w:rPr>
        <w:t xml:space="preserve"> к заключению.</w:t>
      </w:r>
    </w:p>
    <w:p w14:paraId="3BAE1966" w14:textId="20EE3C29" w:rsidR="007B19BD" w:rsidRPr="0071237A" w:rsidRDefault="007B19BD" w:rsidP="007B19BD">
      <w:pPr>
        <w:widowControl w:val="0"/>
        <w:spacing w:before="120" w:after="0" w:line="240" w:lineRule="auto"/>
        <w:ind w:firstLine="709"/>
        <w:jc w:val="both"/>
        <w:rPr>
          <w:rFonts w:ascii="Times New Roman" w:eastAsia="Calibri" w:hAnsi="Times New Roman" w:cs="Times New Roman"/>
          <w:color w:val="000000" w:themeColor="text1"/>
          <w:sz w:val="28"/>
          <w:szCs w:val="28"/>
        </w:rPr>
      </w:pPr>
      <w:r w:rsidRPr="0071237A">
        <w:rPr>
          <w:rFonts w:ascii="Times New Roman" w:eastAsia="Calibri" w:hAnsi="Times New Roman" w:cs="Times New Roman"/>
          <w:color w:val="000000" w:themeColor="text1"/>
          <w:sz w:val="28"/>
          <w:szCs w:val="28"/>
        </w:rPr>
        <w:t xml:space="preserve">Бюджетные инвестиции </w:t>
      </w:r>
      <w:r w:rsidRPr="0071237A">
        <w:rPr>
          <w:rFonts w:ascii="Times New Roman" w:eastAsia="Calibri" w:hAnsi="Times New Roman" w:cs="Times New Roman"/>
          <w:i/>
          <w:color w:val="000000" w:themeColor="text1"/>
          <w:sz w:val="28"/>
          <w:szCs w:val="28"/>
        </w:rPr>
        <w:t>в объекты капитального строительства государственной собственности области</w:t>
      </w:r>
      <w:r w:rsidRPr="0071237A">
        <w:rPr>
          <w:rFonts w:ascii="Times New Roman" w:eastAsia="Calibri" w:hAnsi="Times New Roman" w:cs="Times New Roman"/>
          <w:color w:val="000000" w:themeColor="text1"/>
          <w:sz w:val="28"/>
          <w:szCs w:val="28"/>
        </w:rPr>
        <w:t xml:space="preserve"> запланированы в 2022 году в объеме 4 636 591,6 </w:t>
      </w:r>
      <w:r>
        <w:rPr>
          <w:rFonts w:ascii="Times New Roman" w:eastAsia="Calibri" w:hAnsi="Times New Roman" w:cs="Times New Roman"/>
          <w:color w:val="000000" w:themeColor="text1"/>
          <w:sz w:val="28"/>
          <w:szCs w:val="28"/>
        </w:rPr>
        <w:t>тыс. рублей</w:t>
      </w:r>
      <w:r w:rsidRPr="0071237A">
        <w:rPr>
          <w:rFonts w:ascii="Times New Roman" w:eastAsia="Calibri" w:hAnsi="Times New Roman" w:cs="Times New Roman"/>
          <w:color w:val="000000" w:themeColor="text1"/>
          <w:sz w:val="28"/>
          <w:szCs w:val="28"/>
        </w:rPr>
        <w:t xml:space="preserve">, что на 1 589 182,4 </w:t>
      </w:r>
      <w:r>
        <w:rPr>
          <w:rFonts w:ascii="Times New Roman" w:eastAsia="Calibri" w:hAnsi="Times New Roman" w:cs="Times New Roman"/>
          <w:color w:val="000000" w:themeColor="text1"/>
          <w:sz w:val="28"/>
          <w:szCs w:val="28"/>
        </w:rPr>
        <w:t>тыс. рублей</w:t>
      </w:r>
      <w:r w:rsidRPr="0071237A">
        <w:rPr>
          <w:rFonts w:ascii="Times New Roman" w:eastAsia="Calibri" w:hAnsi="Times New Roman" w:cs="Times New Roman"/>
          <w:color w:val="000000" w:themeColor="text1"/>
          <w:sz w:val="28"/>
          <w:szCs w:val="28"/>
        </w:rPr>
        <w:t xml:space="preserve">, или на 25,5%, меньше утвержденного объема аналогичных бюджетных ассигнований на 2021 год (как отмечалось ранее, завершено строительство нового корпуса ГУЗ «Тульский областной перинатальный центр»). Доля </w:t>
      </w:r>
      <w:r w:rsidR="000239C3">
        <w:rPr>
          <w:rFonts w:ascii="Times New Roman" w:eastAsia="Calibri" w:hAnsi="Times New Roman" w:cs="Times New Roman"/>
          <w:color w:val="000000" w:themeColor="text1"/>
          <w:sz w:val="28"/>
          <w:szCs w:val="28"/>
        </w:rPr>
        <w:t xml:space="preserve">указанных </w:t>
      </w:r>
      <w:r w:rsidRPr="0071237A">
        <w:rPr>
          <w:rFonts w:ascii="Times New Roman" w:eastAsia="Calibri" w:hAnsi="Times New Roman" w:cs="Times New Roman"/>
          <w:color w:val="000000" w:themeColor="text1"/>
          <w:sz w:val="28"/>
          <w:szCs w:val="28"/>
        </w:rPr>
        <w:t xml:space="preserve">инвестиций в общем объеме расходов бюджета области в 2022 году </w:t>
      </w:r>
      <w:r>
        <w:rPr>
          <w:rFonts w:ascii="Times New Roman" w:eastAsia="Calibri" w:hAnsi="Times New Roman" w:cs="Times New Roman"/>
          <w:color w:val="000000" w:themeColor="text1"/>
          <w:sz w:val="28"/>
          <w:szCs w:val="28"/>
        </w:rPr>
        <w:t>составит 4,8%, в 2023 году – 4,4</w:t>
      </w:r>
      <w:r w:rsidRPr="0071237A">
        <w:rPr>
          <w:rFonts w:ascii="Times New Roman" w:eastAsia="Calibri" w:hAnsi="Times New Roman" w:cs="Times New Roman"/>
          <w:color w:val="000000" w:themeColor="text1"/>
          <w:sz w:val="28"/>
          <w:szCs w:val="28"/>
        </w:rPr>
        <w:t>%, в 2024 году – 4,</w:t>
      </w:r>
      <w:r>
        <w:rPr>
          <w:rFonts w:ascii="Times New Roman" w:eastAsia="Calibri" w:hAnsi="Times New Roman" w:cs="Times New Roman"/>
          <w:color w:val="000000" w:themeColor="text1"/>
          <w:sz w:val="28"/>
          <w:szCs w:val="28"/>
        </w:rPr>
        <w:t>8</w:t>
      </w:r>
      <w:r w:rsidRPr="0071237A">
        <w:rPr>
          <w:rFonts w:ascii="Times New Roman" w:eastAsia="Calibri" w:hAnsi="Times New Roman" w:cs="Times New Roman"/>
          <w:color w:val="000000" w:themeColor="text1"/>
          <w:sz w:val="28"/>
          <w:szCs w:val="28"/>
        </w:rPr>
        <w:t>%.</w:t>
      </w:r>
    </w:p>
    <w:p w14:paraId="21113F9D" w14:textId="77777777" w:rsidR="007B19BD" w:rsidRDefault="007B19BD" w:rsidP="007B19BD">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71237A">
        <w:rPr>
          <w:rFonts w:ascii="Times New Roman" w:eastAsia="Times New Roman" w:hAnsi="Times New Roman" w:cs="Times New Roman"/>
          <w:sz w:val="28"/>
          <w:szCs w:val="28"/>
          <w:lang w:eastAsia="ru-RU"/>
        </w:rPr>
        <w:t xml:space="preserve">В прогнозируемом периоде бюджетные инвестиции </w:t>
      </w:r>
      <w:r w:rsidRPr="0071237A">
        <w:rPr>
          <w:rFonts w:ascii="Times New Roman" w:eastAsia="Calibri" w:hAnsi="Times New Roman" w:cs="Times New Roman"/>
          <w:color w:val="000000" w:themeColor="text1"/>
          <w:sz w:val="28"/>
          <w:szCs w:val="28"/>
        </w:rPr>
        <w:t xml:space="preserve">в объекты капитального строительства государственной собственности области </w:t>
      </w:r>
      <w:r w:rsidRPr="0071237A">
        <w:rPr>
          <w:rFonts w:ascii="Times New Roman" w:eastAsia="Times New Roman" w:hAnsi="Times New Roman" w:cs="Times New Roman"/>
          <w:sz w:val="28"/>
          <w:szCs w:val="28"/>
          <w:lang w:eastAsia="ru-RU"/>
        </w:rPr>
        <w:t xml:space="preserve">предполагается направить на следующие цели в рамках </w:t>
      </w:r>
      <w:r w:rsidRPr="00A60C7D">
        <w:rPr>
          <w:rFonts w:ascii="Times New Roman" w:eastAsia="Times New Roman" w:hAnsi="Times New Roman" w:cs="Times New Roman"/>
          <w:sz w:val="28"/>
          <w:szCs w:val="28"/>
          <w:lang w:eastAsia="ru-RU"/>
        </w:rPr>
        <w:t>реализации четырех</w:t>
      </w:r>
      <w:r w:rsidRPr="0071237A">
        <w:rPr>
          <w:rFonts w:ascii="Times New Roman" w:eastAsia="Times New Roman" w:hAnsi="Times New Roman" w:cs="Times New Roman"/>
          <w:sz w:val="28"/>
          <w:szCs w:val="28"/>
          <w:lang w:eastAsia="ru-RU"/>
        </w:rPr>
        <w:t xml:space="preserve"> госпрограмм:</w:t>
      </w:r>
    </w:p>
    <w:p w14:paraId="2DC2308B" w14:textId="77777777" w:rsidR="007B19BD" w:rsidRPr="00A60C7D" w:rsidRDefault="007B19BD" w:rsidP="00170822">
      <w:pPr>
        <w:widowControl w:val="0"/>
        <w:tabs>
          <w:tab w:val="left" w:pos="993"/>
        </w:tabs>
        <w:spacing w:after="0" w:line="240" w:lineRule="auto"/>
        <w:ind w:left="709"/>
        <w:rPr>
          <w:rFonts w:ascii="Times New Roman" w:eastAsia="Times New Roman" w:hAnsi="Times New Roman" w:cs="Times New Roman"/>
          <w:i/>
          <w:sz w:val="28"/>
          <w:szCs w:val="28"/>
          <w:lang w:eastAsia="ru-RU"/>
        </w:rPr>
      </w:pPr>
      <w:r w:rsidRPr="00A60C7D">
        <w:rPr>
          <w:rFonts w:ascii="Times New Roman" w:eastAsia="Times New Roman" w:hAnsi="Times New Roman" w:cs="Times New Roman"/>
          <w:i/>
          <w:sz w:val="28"/>
          <w:szCs w:val="28"/>
          <w:lang w:eastAsia="ru-RU"/>
        </w:rPr>
        <w:t>«Модернизация и развитие автомобильных дорог общего пользования в Тульской области»</w:t>
      </w:r>
    </w:p>
    <w:p w14:paraId="0DCD1B6B" w14:textId="77777777" w:rsidR="007B19BD" w:rsidRPr="0071237A" w:rsidRDefault="007B19BD" w:rsidP="007B19BD">
      <w:pPr>
        <w:widowControl w:val="0"/>
        <w:snapToGri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1237A">
        <w:rPr>
          <w:rFonts w:ascii="Times New Roman" w:eastAsia="Times New Roman" w:hAnsi="Times New Roman" w:cs="Times New Roman"/>
          <w:sz w:val="28"/>
          <w:szCs w:val="28"/>
          <w:lang w:eastAsia="ru-RU"/>
        </w:rPr>
        <w:t xml:space="preserve"> на строительство и реконструкцию автомобильных дорог общего пользования регионального и межмуниципального значения в рамках </w:t>
      </w:r>
      <w:r w:rsidRPr="00FD2B7A">
        <w:rPr>
          <w:rFonts w:ascii="Times New Roman" w:eastAsia="Times New Roman" w:hAnsi="Times New Roman" w:cs="Times New Roman"/>
          <w:sz w:val="28"/>
          <w:szCs w:val="28"/>
          <w:lang w:eastAsia="ru-RU"/>
        </w:rPr>
        <w:t>ведомственного проекта</w:t>
      </w:r>
      <w:r w:rsidRPr="0071237A">
        <w:rPr>
          <w:rFonts w:ascii="Times New Roman" w:eastAsia="Times New Roman" w:hAnsi="Times New Roman" w:cs="Times New Roman"/>
          <w:sz w:val="28"/>
          <w:szCs w:val="28"/>
          <w:lang w:eastAsia="ru-RU"/>
        </w:rPr>
        <w:t xml:space="preserve"> «Увеличение протяженности и развитие сети автомобильных дорог общего пользования регионального или межмуниципального значения» в 2022 году в объеме 1 274 948,9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в 2023 году – 1 454 414,0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в 2024 году – 2 081 350,0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w:t>
      </w:r>
    </w:p>
    <w:p w14:paraId="10A17FF6" w14:textId="77777777" w:rsidR="007B19BD" w:rsidRPr="0071237A" w:rsidRDefault="007B19BD" w:rsidP="00170822">
      <w:pPr>
        <w:widowControl w:val="0"/>
        <w:spacing w:before="60" w:after="0" w:line="240" w:lineRule="auto"/>
        <w:ind w:firstLine="709"/>
        <w:rPr>
          <w:rFonts w:ascii="Times New Roman" w:eastAsia="Times New Roman" w:hAnsi="Times New Roman" w:cs="Times New Roman"/>
          <w:i/>
          <w:sz w:val="28"/>
          <w:szCs w:val="28"/>
          <w:lang w:eastAsia="ru-RU"/>
        </w:rPr>
      </w:pPr>
      <w:r w:rsidRPr="0071237A">
        <w:rPr>
          <w:rFonts w:ascii="Times New Roman" w:eastAsia="Times New Roman" w:hAnsi="Times New Roman" w:cs="Times New Roman"/>
          <w:i/>
          <w:sz w:val="28"/>
          <w:szCs w:val="28"/>
          <w:lang w:eastAsia="ru-RU"/>
        </w:rPr>
        <w:t>«Развитие здравоохранения Тульской области»</w:t>
      </w:r>
    </w:p>
    <w:p w14:paraId="1EB6BAAA" w14:textId="77777777" w:rsidR="007B19BD" w:rsidRPr="0071237A" w:rsidRDefault="007B19BD" w:rsidP="007B19B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1237A">
        <w:rPr>
          <w:rFonts w:ascii="Times New Roman" w:eastAsia="Times New Roman" w:hAnsi="Times New Roman" w:cs="Times New Roman"/>
          <w:sz w:val="28"/>
          <w:szCs w:val="28"/>
          <w:lang w:eastAsia="ru-RU"/>
        </w:rPr>
        <w:t xml:space="preserve"> на строительство онкологического центра в г. Туле </w:t>
      </w:r>
      <w:r w:rsidRPr="00A60C7D">
        <w:rPr>
          <w:rFonts w:ascii="Times New Roman" w:eastAsia="Times New Roman" w:hAnsi="Times New Roman" w:cs="Times New Roman"/>
          <w:sz w:val="28"/>
          <w:szCs w:val="28"/>
          <w:lang w:eastAsia="ru-RU"/>
        </w:rPr>
        <w:t>в рамках регионального проекта «Борьба с онкологическими заболеваниями» в</w:t>
      </w:r>
      <w:r w:rsidRPr="0071237A">
        <w:rPr>
          <w:rFonts w:ascii="Times New Roman" w:eastAsia="Times New Roman" w:hAnsi="Times New Roman" w:cs="Times New Roman"/>
          <w:sz w:val="28"/>
          <w:szCs w:val="28"/>
          <w:lang w:eastAsia="ru-RU"/>
        </w:rPr>
        <w:t xml:space="preserve"> 2022 году в объеме 973 254,9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в 2023 году – 384 077,0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w:t>
      </w:r>
    </w:p>
    <w:p w14:paraId="6323CB5F" w14:textId="6453273C" w:rsidR="007B19BD" w:rsidRDefault="007B19BD" w:rsidP="007B19BD">
      <w:pPr>
        <w:widowControl w:val="0"/>
        <w:spacing w:after="0" w:line="240" w:lineRule="auto"/>
        <w:ind w:firstLine="709"/>
        <w:jc w:val="both"/>
        <w:rPr>
          <w:rFonts w:ascii="Times New Roman" w:eastAsia="Times New Roman" w:hAnsi="Times New Roman" w:cs="Times New Roman"/>
          <w:sz w:val="28"/>
          <w:szCs w:val="28"/>
          <w:lang w:eastAsia="ru-RU"/>
        </w:rPr>
      </w:pPr>
      <w:r w:rsidRPr="0071237A">
        <w:rPr>
          <w:rFonts w:ascii="Times New Roman" w:eastAsia="Times New Roman" w:hAnsi="Times New Roman" w:cs="Times New Roman"/>
          <w:sz w:val="28"/>
          <w:szCs w:val="28"/>
          <w:lang w:eastAsia="ru-RU"/>
        </w:rPr>
        <w:t xml:space="preserve">- на строительство хирургического корпуса ГУЗ «Тульская городская клиническая больница скорой медицинской помощи имени Д.Я. </w:t>
      </w:r>
      <w:proofErr w:type="spellStart"/>
      <w:r w:rsidRPr="0071237A">
        <w:rPr>
          <w:rFonts w:ascii="Times New Roman" w:eastAsia="Times New Roman" w:hAnsi="Times New Roman" w:cs="Times New Roman"/>
          <w:sz w:val="28"/>
          <w:szCs w:val="28"/>
          <w:lang w:eastAsia="ru-RU"/>
        </w:rPr>
        <w:t>Ваныкина</w:t>
      </w:r>
      <w:proofErr w:type="spellEnd"/>
      <w:r w:rsidRPr="0071237A">
        <w:rPr>
          <w:rFonts w:ascii="Times New Roman" w:eastAsia="Times New Roman" w:hAnsi="Times New Roman" w:cs="Times New Roman"/>
          <w:sz w:val="28"/>
          <w:szCs w:val="28"/>
          <w:lang w:eastAsia="ru-RU"/>
        </w:rPr>
        <w:t xml:space="preserve">» в г. Тула, в </w:t>
      </w:r>
      <w:r w:rsidR="0064356F">
        <w:rPr>
          <w:rFonts w:ascii="Times New Roman" w:eastAsia="Times New Roman" w:hAnsi="Times New Roman" w:cs="Times New Roman"/>
          <w:sz w:val="28"/>
          <w:szCs w:val="28"/>
          <w:lang w:eastAsia="ru-RU"/>
        </w:rPr>
        <w:t>том числе</w:t>
      </w:r>
      <w:r w:rsidRPr="0071237A">
        <w:rPr>
          <w:rFonts w:ascii="Times New Roman" w:eastAsia="Times New Roman" w:hAnsi="Times New Roman" w:cs="Times New Roman"/>
          <w:sz w:val="28"/>
          <w:szCs w:val="28"/>
          <w:lang w:eastAsia="ru-RU"/>
        </w:rPr>
        <w:t xml:space="preserve"> ПИР, в рамках </w:t>
      </w:r>
      <w:r w:rsidRPr="00A60C7D">
        <w:rPr>
          <w:rFonts w:ascii="Times New Roman" w:eastAsia="Times New Roman" w:hAnsi="Times New Roman" w:cs="Times New Roman"/>
          <w:sz w:val="28"/>
          <w:szCs w:val="28"/>
          <w:lang w:eastAsia="ru-RU"/>
        </w:rPr>
        <w:t>регионального проекта «Развитие инфраструктуры здравоохранения»</w:t>
      </w:r>
      <w:r w:rsidRPr="0071237A">
        <w:rPr>
          <w:rFonts w:ascii="Times New Roman" w:eastAsia="Times New Roman" w:hAnsi="Times New Roman" w:cs="Times New Roman"/>
          <w:sz w:val="28"/>
          <w:szCs w:val="28"/>
          <w:lang w:eastAsia="ru-RU"/>
        </w:rPr>
        <w:t xml:space="preserve"> в 2022 году в объеме 100 000,0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на плановый период ассигнования на указанные цели не </w:t>
      </w:r>
      <w:r w:rsidRPr="0071237A">
        <w:rPr>
          <w:rFonts w:ascii="Times New Roman" w:eastAsia="Times New Roman" w:hAnsi="Times New Roman" w:cs="Times New Roman"/>
          <w:sz w:val="28"/>
          <w:szCs w:val="28"/>
          <w:lang w:eastAsia="ru-RU"/>
        </w:rPr>
        <w:lastRenderedPageBreak/>
        <w:t>предусмотрены</w:t>
      </w:r>
      <w:r>
        <w:rPr>
          <w:rFonts w:ascii="Times New Roman" w:eastAsia="Times New Roman" w:hAnsi="Times New Roman" w:cs="Times New Roman"/>
          <w:sz w:val="28"/>
          <w:szCs w:val="28"/>
          <w:lang w:eastAsia="ru-RU"/>
        </w:rPr>
        <w:t>.</w:t>
      </w:r>
    </w:p>
    <w:p w14:paraId="6F3DDD84" w14:textId="77777777" w:rsidR="007B19BD" w:rsidRPr="00A51B5E" w:rsidRDefault="007B19BD" w:rsidP="007B19BD">
      <w:pPr>
        <w:widowControl w:val="0"/>
        <w:spacing w:after="0" w:line="240" w:lineRule="auto"/>
        <w:ind w:firstLine="709"/>
        <w:jc w:val="both"/>
        <w:rPr>
          <w:rFonts w:ascii="Times New Roman" w:eastAsia="Times New Roman" w:hAnsi="Times New Roman" w:cs="Times New Roman"/>
          <w:sz w:val="28"/>
          <w:szCs w:val="28"/>
          <w:lang w:eastAsia="ru-RU"/>
        </w:rPr>
      </w:pPr>
      <w:r w:rsidRPr="00A51B5E">
        <w:rPr>
          <w:rFonts w:ascii="Times New Roman" w:eastAsia="Times New Roman" w:hAnsi="Times New Roman" w:cs="Times New Roman"/>
          <w:sz w:val="28"/>
          <w:szCs w:val="28"/>
          <w:lang w:eastAsia="ru-RU"/>
        </w:rPr>
        <w:t xml:space="preserve">Кроме того, запланированы бюджетные инвестиции на обеспечение предоставления жилых помещений врачам, прибывшим на работу в государственные учреждения здравоохранения Тульской области, в 2022 году и плановом периоде 2023 и 2024 годов по 60 281,3 </w:t>
      </w:r>
      <w:r>
        <w:rPr>
          <w:rFonts w:ascii="Times New Roman" w:eastAsia="Times New Roman" w:hAnsi="Times New Roman" w:cs="Times New Roman"/>
          <w:sz w:val="28"/>
          <w:szCs w:val="28"/>
          <w:lang w:eastAsia="ru-RU"/>
        </w:rPr>
        <w:t>тыс. рублей</w:t>
      </w:r>
      <w:r w:rsidRPr="00A51B5E">
        <w:rPr>
          <w:rFonts w:ascii="Times New Roman" w:eastAsia="Times New Roman" w:hAnsi="Times New Roman" w:cs="Times New Roman"/>
          <w:sz w:val="28"/>
          <w:szCs w:val="28"/>
          <w:lang w:eastAsia="ru-RU"/>
        </w:rPr>
        <w:t xml:space="preserve"> ежегодно;</w:t>
      </w:r>
    </w:p>
    <w:p w14:paraId="33680146" w14:textId="77777777" w:rsidR="007B19BD" w:rsidRPr="00BB12B8" w:rsidRDefault="007B19BD" w:rsidP="00170822">
      <w:pPr>
        <w:widowControl w:val="0"/>
        <w:spacing w:before="60" w:after="0" w:line="240" w:lineRule="auto"/>
        <w:ind w:left="709"/>
        <w:rPr>
          <w:rFonts w:ascii="Times New Roman" w:eastAsia="Times New Roman" w:hAnsi="Times New Roman" w:cs="Times New Roman"/>
          <w:i/>
          <w:sz w:val="28"/>
          <w:szCs w:val="28"/>
          <w:lang w:eastAsia="ru-RU"/>
        </w:rPr>
      </w:pPr>
      <w:r w:rsidRPr="00BB12B8">
        <w:rPr>
          <w:rFonts w:ascii="Times New Roman" w:eastAsia="Times New Roman" w:hAnsi="Times New Roman" w:cs="Times New Roman"/>
          <w:i/>
          <w:sz w:val="28"/>
          <w:szCs w:val="28"/>
          <w:lang w:eastAsia="ru-RU"/>
        </w:rPr>
        <w:t>«Управление государственным имуществом и земельными ресурсами Тульской области»</w:t>
      </w:r>
    </w:p>
    <w:p w14:paraId="380598B2" w14:textId="77777777" w:rsidR="007B19BD" w:rsidRPr="0071237A" w:rsidRDefault="007B19BD" w:rsidP="007B19BD">
      <w:pPr>
        <w:widowControl w:val="0"/>
        <w:spacing w:after="0" w:line="240" w:lineRule="auto"/>
        <w:ind w:firstLine="709"/>
        <w:jc w:val="both"/>
        <w:rPr>
          <w:rFonts w:ascii="Times New Roman" w:eastAsia="Times New Roman" w:hAnsi="Times New Roman" w:cs="Times New Roman"/>
          <w:sz w:val="28"/>
          <w:szCs w:val="28"/>
          <w:lang w:eastAsia="ru-RU"/>
        </w:rPr>
      </w:pPr>
      <w:r w:rsidRPr="0071237A">
        <w:rPr>
          <w:rFonts w:ascii="Times New Roman" w:eastAsia="Times New Roman" w:hAnsi="Times New Roman" w:cs="Times New Roman"/>
          <w:sz w:val="28"/>
          <w:szCs w:val="28"/>
          <w:lang w:eastAsia="ru-RU"/>
        </w:rPr>
        <w:t>- на обеспечение приобретения земельных участков в собственность Тульской области из земель сельскохозяйственного назначения в 2022 году –3 604,</w:t>
      </w:r>
      <w:r>
        <w:rPr>
          <w:rFonts w:ascii="Times New Roman" w:eastAsia="Times New Roman" w:hAnsi="Times New Roman" w:cs="Times New Roman"/>
          <w:sz w:val="28"/>
          <w:szCs w:val="28"/>
          <w:lang w:eastAsia="ru-RU"/>
        </w:rPr>
        <w:t>6 тыс. рублей</w:t>
      </w:r>
      <w:r w:rsidRPr="0071237A">
        <w:rPr>
          <w:rFonts w:ascii="Times New Roman" w:eastAsia="Times New Roman" w:hAnsi="Times New Roman" w:cs="Times New Roman"/>
          <w:sz w:val="28"/>
          <w:szCs w:val="28"/>
          <w:lang w:eastAsia="ru-RU"/>
        </w:rPr>
        <w:t xml:space="preserve">, в 2023 и 2024 годах в объеме 1 900,0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ежегодно</w:t>
      </w:r>
      <w:r>
        <w:rPr>
          <w:rFonts w:ascii="Times New Roman" w:eastAsia="Times New Roman" w:hAnsi="Times New Roman" w:cs="Times New Roman"/>
          <w:sz w:val="28"/>
          <w:szCs w:val="28"/>
          <w:lang w:eastAsia="ru-RU"/>
        </w:rPr>
        <w:t>;</w:t>
      </w:r>
    </w:p>
    <w:p w14:paraId="49BFBC54" w14:textId="77777777" w:rsidR="007B19BD" w:rsidRPr="0071237A" w:rsidRDefault="007B19BD" w:rsidP="00170822">
      <w:pPr>
        <w:widowControl w:val="0"/>
        <w:spacing w:before="60" w:after="0" w:line="240" w:lineRule="auto"/>
        <w:ind w:left="709"/>
        <w:rPr>
          <w:rFonts w:ascii="Times New Roman" w:eastAsia="Times New Roman" w:hAnsi="Times New Roman" w:cs="Times New Roman"/>
          <w:i/>
          <w:sz w:val="28"/>
          <w:szCs w:val="28"/>
          <w:lang w:eastAsia="ru-RU"/>
        </w:rPr>
      </w:pPr>
      <w:r w:rsidRPr="0071237A">
        <w:rPr>
          <w:rFonts w:ascii="Times New Roman" w:eastAsia="Times New Roman" w:hAnsi="Times New Roman" w:cs="Times New Roman"/>
          <w:i/>
          <w:sz w:val="28"/>
          <w:szCs w:val="28"/>
          <w:lang w:eastAsia="ru-RU"/>
        </w:rPr>
        <w:t>«Обеспечение доступным и комфортным жильем населения Тульской области»</w:t>
      </w:r>
    </w:p>
    <w:p w14:paraId="5BA8D049" w14:textId="77777777" w:rsidR="007B19BD" w:rsidRDefault="007B19BD" w:rsidP="007B19BD">
      <w:pPr>
        <w:widowControl w:val="0"/>
        <w:spacing w:after="0" w:line="240" w:lineRule="auto"/>
        <w:ind w:firstLine="709"/>
        <w:jc w:val="both"/>
        <w:rPr>
          <w:rFonts w:ascii="Times New Roman" w:eastAsia="Times New Roman" w:hAnsi="Times New Roman" w:cs="Times New Roman"/>
          <w:sz w:val="28"/>
          <w:szCs w:val="28"/>
          <w:lang w:eastAsia="ru-RU"/>
        </w:rPr>
      </w:pPr>
      <w:r w:rsidRPr="0071237A">
        <w:rPr>
          <w:rFonts w:ascii="Times New Roman" w:eastAsia="Times New Roman" w:hAnsi="Times New Roman" w:cs="Times New Roman"/>
          <w:sz w:val="28"/>
          <w:szCs w:val="28"/>
          <w:lang w:eastAsia="ru-RU"/>
        </w:rPr>
        <w:t xml:space="preserve">- на мероприятия по улучшению жилищных условий детей-сирот, детей, оставшихся без попечения родителей, и лиц из их числа в рамках </w:t>
      </w:r>
      <w:r w:rsidRPr="00BB12B8">
        <w:rPr>
          <w:rFonts w:ascii="Times New Roman" w:eastAsia="Times New Roman" w:hAnsi="Times New Roman" w:cs="Times New Roman"/>
          <w:sz w:val="28"/>
          <w:szCs w:val="28"/>
          <w:lang w:eastAsia="ru-RU"/>
        </w:rPr>
        <w:t>регионального проекта «Улучшение жилищных условий детей-сирот, детей, оставшихся без попечения родителей, и лиц из их числа» в</w:t>
      </w:r>
      <w:r w:rsidRPr="0071237A">
        <w:rPr>
          <w:rFonts w:ascii="Times New Roman" w:eastAsia="Times New Roman" w:hAnsi="Times New Roman" w:cs="Times New Roman"/>
          <w:sz w:val="28"/>
          <w:szCs w:val="28"/>
          <w:lang w:eastAsia="ru-RU"/>
        </w:rPr>
        <w:t xml:space="preserve"> 2022 году и плановом периоде 2023 и 2024 годов в объеме 665 542,5 </w:t>
      </w:r>
      <w:r>
        <w:rPr>
          <w:rFonts w:ascii="Times New Roman" w:eastAsia="Times New Roman" w:hAnsi="Times New Roman" w:cs="Times New Roman"/>
          <w:sz w:val="28"/>
          <w:szCs w:val="28"/>
          <w:lang w:eastAsia="ru-RU"/>
        </w:rPr>
        <w:t>тыс. рублей</w:t>
      </w:r>
      <w:r w:rsidRPr="0071237A">
        <w:rPr>
          <w:rFonts w:ascii="Times New Roman" w:eastAsia="Times New Roman" w:hAnsi="Times New Roman" w:cs="Times New Roman"/>
          <w:sz w:val="28"/>
          <w:szCs w:val="28"/>
          <w:lang w:eastAsia="ru-RU"/>
        </w:rPr>
        <w:t xml:space="preserve"> ежегодно.</w:t>
      </w:r>
    </w:p>
    <w:p w14:paraId="764B5E54" w14:textId="77777777" w:rsidR="007B19BD" w:rsidRDefault="007B19BD" w:rsidP="007B19BD">
      <w:pPr>
        <w:widowControl w:val="0"/>
        <w:spacing w:before="120" w:after="0" w:line="240" w:lineRule="auto"/>
        <w:ind w:firstLine="709"/>
        <w:jc w:val="both"/>
        <w:rPr>
          <w:rFonts w:ascii="Times New Roman" w:eastAsia="Calibri" w:hAnsi="Times New Roman" w:cs="Times New Roman"/>
          <w:sz w:val="28"/>
          <w:szCs w:val="28"/>
        </w:rPr>
      </w:pPr>
      <w:r w:rsidRPr="00A51B5E">
        <w:rPr>
          <w:rFonts w:ascii="Times New Roman" w:hAnsi="Times New Roman"/>
          <w:snapToGrid w:val="0"/>
          <w:sz w:val="28"/>
          <w:szCs w:val="28"/>
          <w:lang w:eastAsia="ru-RU"/>
        </w:rPr>
        <w:t xml:space="preserve">Кроме того, </w:t>
      </w:r>
      <w:r>
        <w:rPr>
          <w:rFonts w:ascii="Times New Roman" w:hAnsi="Times New Roman"/>
          <w:snapToGrid w:val="0"/>
          <w:sz w:val="28"/>
          <w:szCs w:val="28"/>
          <w:lang w:eastAsia="ru-RU"/>
        </w:rPr>
        <w:t>в</w:t>
      </w:r>
      <w:r w:rsidRPr="00D30375">
        <w:rPr>
          <w:rFonts w:ascii="Times New Roman" w:eastAsia="Times New Roman" w:hAnsi="Times New Roman" w:cs="Times New Roman"/>
          <w:sz w:val="28"/>
          <w:szCs w:val="28"/>
          <w:lang w:eastAsia="ru-RU"/>
        </w:rPr>
        <w:t xml:space="preserve"> рамках реализации </w:t>
      </w:r>
      <w:r>
        <w:rPr>
          <w:rFonts w:ascii="Times New Roman" w:eastAsia="Times New Roman" w:hAnsi="Times New Roman" w:cs="Times New Roman"/>
          <w:sz w:val="28"/>
          <w:szCs w:val="28"/>
          <w:lang w:eastAsia="ru-RU"/>
        </w:rPr>
        <w:t>Г</w:t>
      </w:r>
      <w:r w:rsidRPr="00D30375">
        <w:rPr>
          <w:rFonts w:ascii="Times New Roman" w:eastAsia="Times New Roman" w:hAnsi="Times New Roman" w:cs="Times New Roman"/>
          <w:sz w:val="28"/>
          <w:szCs w:val="28"/>
          <w:lang w:eastAsia="ru-RU"/>
        </w:rPr>
        <w:t>оспрограммы «</w:t>
      </w:r>
      <w:r w:rsidRPr="00D30375">
        <w:rPr>
          <w:rFonts w:ascii="Times New Roman" w:eastAsia="Calibri" w:hAnsi="Times New Roman" w:cs="Times New Roman"/>
          <w:iCs/>
          <w:sz w:val="28"/>
          <w:szCs w:val="28"/>
        </w:rPr>
        <w:t>Улучшение инвестиционного климата Тульской области» о</w:t>
      </w:r>
      <w:r w:rsidRPr="00D30375">
        <w:rPr>
          <w:rFonts w:ascii="Times New Roman" w:hAnsi="Times New Roman" w:cs="Times New Roman"/>
          <w:sz w:val="28"/>
          <w:szCs w:val="28"/>
        </w:rPr>
        <w:t xml:space="preserve">бъем ассигнований </w:t>
      </w:r>
      <w:r>
        <w:rPr>
          <w:rFonts w:ascii="Times New Roman" w:hAnsi="Times New Roman" w:cs="Times New Roman"/>
          <w:sz w:val="28"/>
          <w:szCs w:val="28"/>
        </w:rPr>
        <w:t xml:space="preserve">на предоставление </w:t>
      </w:r>
      <w:r w:rsidRPr="00D30375">
        <w:rPr>
          <w:rFonts w:ascii="Times New Roman" w:hAnsi="Times New Roman" w:cs="Times New Roman"/>
          <w:sz w:val="28"/>
          <w:szCs w:val="28"/>
        </w:rPr>
        <w:t xml:space="preserve">бюджетных </w:t>
      </w:r>
      <w:r w:rsidRPr="00052A87">
        <w:rPr>
          <w:rFonts w:ascii="Times New Roman" w:hAnsi="Times New Roman" w:cs="Times New Roman"/>
          <w:sz w:val="28"/>
          <w:szCs w:val="28"/>
        </w:rPr>
        <w:t>инвестици</w:t>
      </w:r>
      <w:r>
        <w:rPr>
          <w:rFonts w:ascii="Times New Roman" w:hAnsi="Times New Roman" w:cs="Times New Roman"/>
          <w:sz w:val="28"/>
          <w:szCs w:val="28"/>
        </w:rPr>
        <w:t>й</w:t>
      </w:r>
      <w:r w:rsidRPr="00052A87">
        <w:rPr>
          <w:rFonts w:ascii="Times New Roman" w:hAnsi="Times New Roman" w:cs="Times New Roman"/>
          <w:sz w:val="28"/>
          <w:szCs w:val="28"/>
        </w:rPr>
        <w:t xml:space="preserve"> </w:t>
      </w:r>
      <w:r>
        <w:rPr>
          <w:rFonts w:ascii="Times New Roman" w:hAnsi="Times New Roman" w:cs="Times New Roman"/>
          <w:sz w:val="28"/>
          <w:szCs w:val="28"/>
        </w:rPr>
        <w:t>в виде</w:t>
      </w:r>
      <w:r w:rsidRPr="00D30375">
        <w:rPr>
          <w:rFonts w:ascii="Times New Roman" w:hAnsi="Times New Roman" w:cs="Times New Roman"/>
          <w:i/>
          <w:sz w:val="28"/>
          <w:szCs w:val="28"/>
        </w:rPr>
        <w:t xml:space="preserve"> взноса в уставный капитал </w:t>
      </w:r>
      <w:r w:rsidRPr="00745172">
        <w:rPr>
          <w:rFonts w:ascii="Times New Roman" w:hAnsi="Times New Roman" w:cs="Times New Roman"/>
          <w:i/>
          <w:sz w:val="28"/>
          <w:szCs w:val="28"/>
        </w:rPr>
        <w:t>Акционерного общества</w:t>
      </w:r>
      <w:r w:rsidRPr="00D30375">
        <w:rPr>
          <w:rFonts w:ascii="Times New Roman" w:hAnsi="Times New Roman" w:cs="Times New Roman"/>
          <w:sz w:val="28"/>
          <w:szCs w:val="28"/>
        </w:rPr>
        <w:t xml:space="preserve"> </w:t>
      </w:r>
      <w:r w:rsidRPr="008C1193">
        <w:rPr>
          <w:rFonts w:ascii="Times New Roman" w:hAnsi="Times New Roman" w:cs="Times New Roman"/>
          <w:i/>
          <w:sz w:val="28"/>
          <w:szCs w:val="28"/>
        </w:rPr>
        <w:t>«</w:t>
      </w:r>
      <w:r w:rsidRPr="008C1193">
        <w:rPr>
          <w:rFonts w:ascii="Times New Roman" w:eastAsia="Calibri" w:hAnsi="Times New Roman" w:cs="Times New Roman"/>
          <w:i/>
          <w:sz w:val="28"/>
          <w:szCs w:val="28"/>
        </w:rPr>
        <w:t>Региональная корпорация развития и поддержки Тульской области</w:t>
      </w:r>
      <w:r w:rsidRPr="008C1193">
        <w:rPr>
          <w:rFonts w:ascii="Times New Roman" w:hAnsi="Times New Roman" w:cs="Times New Roman"/>
          <w:i/>
          <w:sz w:val="28"/>
          <w:szCs w:val="28"/>
        </w:rPr>
        <w:t>»</w:t>
      </w:r>
      <w:r w:rsidRPr="00D30375">
        <w:rPr>
          <w:rFonts w:ascii="Times New Roman" w:hAnsi="Times New Roman" w:cs="Times New Roman"/>
          <w:sz w:val="28"/>
          <w:szCs w:val="28"/>
        </w:rPr>
        <w:t xml:space="preserve"> </w:t>
      </w:r>
      <w:r w:rsidRPr="00D30375">
        <w:rPr>
          <w:rFonts w:ascii="Times New Roman" w:eastAsia="Calibri" w:hAnsi="Times New Roman" w:cs="Times New Roman"/>
          <w:sz w:val="28"/>
          <w:szCs w:val="28"/>
        </w:rPr>
        <w:t>(доля участия Тульской области – 100%)</w:t>
      </w:r>
      <w:r>
        <w:rPr>
          <w:rFonts w:ascii="Times New Roman" w:eastAsia="Calibri" w:hAnsi="Times New Roman" w:cs="Times New Roman"/>
          <w:sz w:val="28"/>
          <w:szCs w:val="28"/>
        </w:rPr>
        <w:t xml:space="preserve"> предусмотрен по двум направлениям (КВР 450)</w:t>
      </w:r>
      <w:r w:rsidRPr="00745172">
        <w:rPr>
          <w:rFonts w:ascii="Times New Roman" w:hAnsi="Times New Roman" w:cs="Times New Roman"/>
          <w:sz w:val="28"/>
          <w:szCs w:val="28"/>
        </w:rPr>
        <w:t xml:space="preserve"> </w:t>
      </w:r>
      <w:r w:rsidRPr="00D30375">
        <w:rPr>
          <w:rFonts w:ascii="Times New Roman" w:hAnsi="Times New Roman" w:cs="Times New Roman"/>
          <w:sz w:val="28"/>
          <w:szCs w:val="28"/>
        </w:rPr>
        <w:t>в целях</w:t>
      </w:r>
      <w:r>
        <w:rPr>
          <w:rFonts w:ascii="Times New Roman" w:eastAsia="Calibri" w:hAnsi="Times New Roman" w:cs="Times New Roman"/>
          <w:sz w:val="28"/>
          <w:szCs w:val="28"/>
        </w:rPr>
        <w:t>:</w:t>
      </w:r>
    </w:p>
    <w:p w14:paraId="446EA63D" w14:textId="77777777" w:rsidR="007B19BD" w:rsidRPr="00CC61C1" w:rsidRDefault="007B19BD" w:rsidP="007B19BD">
      <w:pPr>
        <w:widowControl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w:t>
      </w:r>
      <w:r w:rsidRPr="00D30375">
        <w:rPr>
          <w:rFonts w:ascii="Times New Roman" w:hAnsi="Times New Roman" w:cs="Times New Roman"/>
          <w:sz w:val="28"/>
          <w:szCs w:val="28"/>
        </w:rPr>
        <w:t xml:space="preserve">организации текущей деятельности </w:t>
      </w:r>
      <w:r>
        <w:rPr>
          <w:rFonts w:ascii="Times New Roman" w:hAnsi="Times New Roman" w:cs="Times New Roman"/>
          <w:sz w:val="28"/>
          <w:szCs w:val="28"/>
        </w:rPr>
        <w:t xml:space="preserve">- </w:t>
      </w:r>
      <w:r w:rsidRPr="00D30375">
        <w:rPr>
          <w:rFonts w:ascii="Times New Roman" w:hAnsi="Times New Roman" w:cs="Times New Roman"/>
          <w:sz w:val="28"/>
          <w:szCs w:val="28"/>
        </w:rPr>
        <w:t>на 202</w:t>
      </w:r>
      <w:r>
        <w:rPr>
          <w:rFonts w:ascii="Times New Roman" w:hAnsi="Times New Roman" w:cs="Times New Roman"/>
          <w:sz w:val="28"/>
          <w:szCs w:val="28"/>
        </w:rPr>
        <w:t>2</w:t>
      </w:r>
      <w:r w:rsidRPr="00D30375">
        <w:rPr>
          <w:rFonts w:ascii="Times New Roman" w:hAnsi="Times New Roman" w:cs="Times New Roman"/>
          <w:sz w:val="28"/>
          <w:szCs w:val="28"/>
        </w:rPr>
        <w:t xml:space="preserve"> год в </w:t>
      </w:r>
      <w:r w:rsidRPr="005A48EA">
        <w:rPr>
          <w:rFonts w:ascii="Times New Roman" w:hAnsi="Times New Roman" w:cs="Times New Roman"/>
          <w:sz w:val="28"/>
          <w:szCs w:val="28"/>
        </w:rPr>
        <w:t xml:space="preserve">сумме 100 000,0 </w:t>
      </w:r>
      <w:r>
        <w:rPr>
          <w:rFonts w:ascii="Times New Roman" w:hAnsi="Times New Roman" w:cs="Times New Roman"/>
          <w:sz w:val="28"/>
          <w:szCs w:val="28"/>
        </w:rPr>
        <w:t>тыс. рублей</w:t>
      </w:r>
      <w:r w:rsidRPr="005A48EA">
        <w:rPr>
          <w:rFonts w:ascii="Times New Roman" w:hAnsi="Times New Roman" w:cs="Times New Roman"/>
          <w:sz w:val="28"/>
          <w:szCs w:val="28"/>
        </w:rPr>
        <w:t xml:space="preserve"> (на </w:t>
      </w:r>
      <w:r w:rsidRPr="005A48EA">
        <w:rPr>
          <w:rFonts w:ascii="Times New Roman" w:eastAsia="Calibri" w:hAnsi="Times New Roman" w:cs="Times New Roman"/>
          <w:bCs/>
          <w:sz w:val="28"/>
          <w:szCs w:val="28"/>
        </w:rPr>
        <w:t xml:space="preserve">уровне 2021 года), в </w:t>
      </w:r>
      <w:r w:rsidRPr="00D30375">
        <w:rPr>
          <w:rFonts w:ascii="Times New Roman" w:hAnsi="Times New Roman" w:cs="Times New Roman"/>
          <w:sz w:val="28"/>
          <w:szCs w:val="28"/>
        </w:rPr>
        <w:t>202</w:t>
      </w:r>
      <w:r>
        <w:rPr>
          <w:rFonts w:ascii="Times New Roman" w:hAnsi="Times New Roman" w:cs="Times New Roman"/>
          <w:sz w:val="28"/>
          <w:szCs w:val="28"/>
        </w:rPr>
        <w:t xml:space="preserve">3 году - </w:t>
      </w:r>
      <w:r w:rsidRPr="00F350D4">
        <w:rPr>
          <w:rFonts w:ascii="Times New Roman" w:hAnsi="Times New Roman" w:cs="Times New Roman"/>
          <w:sz w:val="28"/>
          <w:szCs w:val="28"/>
        </w:rPr>
        <w:t>158</w:t>
      </w:r>
      <w:r>
        <w:rPr>
          <w:rFonts w:ascii="Times New Roman" w:hAnsi="Times New Roman" w:cs="Times New Roman"/>
          <w:sz w:val="28"/>
          <w:szCs w:val="28"/>
        </w:rPr>
        <w:t> </w:t>
      </w:r>
      <w:r w:rsidRPr="00F350D4">
        <w:rPr>
          <w:rFonts w:ascii="Times New Roman" w:hAnsi="Times New Roman" w:cs="Times New Roman"/>
          <w:sz w:val="28"/>
          <w:szCs w:val="28"/>
        </w:rPr>
        <w:t>840</w:t>
      </w:r>
      <w:r>
        <w:rPr>
          <w:rFonts w:ascii="Times New Roman" w:hAnsi="Times New Roman" w:cs="Times New Roman"/>
          <w:sz w:val="28"/>
          <w:szCs w:val="28"/>
        </w:rPr>
        <w:t>,0 тыс. рублей, в</w:t>
      </w:r>
      <w:r w:rsidRPr="00D30375">
        <w:rPr>
          <w:rFonts w:ascii="Times New Roman" w:hAnsi="Times New Roman" w:cs="Times New Roman"/>
          <w:sz w:val="28"/>
          <w:szCs w:val="28"/>
        </w:rPr>
        <w:t xml:space="preserve"> 202</w:t>
      </w:r>
      <w:r>
        <w:rPr>
          <w:rFonts w:ascii="Times New Roman" w:hAnsi="Times New Roman" w:cs="Times New Roman"/>
          <w:sz w:val="28"/>
          <w:szCs w:val="28"/>
        </w:rPr>
        <w:t>4</w:t>
      </w:r>
      <w:r w:rsidRPr="00D30375">
        <w:rPr>
          <w:rFonts w:ascii="Times New Roman" w:hAnsi="Times New Roman" w:cs="Times New Roman"/>
          <w:sz w:val="28"/>
          <w:szCs w:val="28"/>
        </w:rPr>
        <w:t xml:space="preserve"> год</w:t>
      </w:r>
      <w:r>
        <w:rPr>
          <w:rFonts w:ascii="Times New Roman" w:hAnsi="Times New Roman" w:cs="Times New Roman"/>
          <w:sz w:val="28"/>
          <w:szCs w:val="28"/>
        </w:rPr>
        <w:t>у -</w:t>
      </w:r>
      <w:r w:rsidRPr="00D30375">
        <w:rPr>
          <w:rFonts w:ascii="Times New Roman" w:hAnsi="Times New Roman" w:cs="Times New Roman"/>
          <w:sz w:val="28"/>
          <w:szCs w:val="28"/>
        </w:rPr>
        <w:t xml:space="preserve"> </w:t>
      </w:r>
      <w:r w:rsidRPr="00F350D4">
        <w:rPr>
          <w:rFonts w:ascii="Times New Roman" w:hAnsi="Times New Roman" w:cs="Times New Roman"/>
          <w:sz w:val="28"/>
          <w:szCs w:val="28"/>
        </w:rPr>
        <w:t>351</w:t>
      </w:r>
      <w:r>
        <w:rPr>
          <w:rFonts w:ascii="Times New Roman" w:hAnsi="Times New Roman" w:cs="Times New Roman"/>
          <w:sz w:val="28"/>
          <w:szCs w:val="28"/>
        </w:rPr>
        <w:t> </w:t>
      </w:r>
      <w:r w:rsidRPr="00F350D4">
        <w:rPr>
          <w:rFonts w:ascii="Times New Roman" w:hAnsi="Times New Roman" w:cs="Times New Roman"/>
          <w:sz w:val="28"/>
          <w:szCs w:val="28"/>
        </w:rPr>
        <w:t>427</w:t>
      </w:r>
      <w:r>
        <w:rPr>
          <w:rFonts w:ascii="Times New Roman" w:hAnsi="Times New Roman" w:cs="Times New Roman"/>
          <w:sz w:val="28"/>
          <w:szCs w:val="28"/>
        </w:rPr>
        <w:t>,0</w:t>
      </w:r>
      <w:r w:rsidRPr="00F350D4">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с увеличением ассигнований на указанные цели к предшествующим годам, соответственно, на 58,8% и в </w:t>
      </w:r>
      <w:r w:rsidRPr="00CC61C1">
        <w:rPr>
          <w:rFonts w:ascii="Times New Roman" w:hAnsi="Times New Roman" w:cs="Times New Roman"/>
          <w:sz w:val="28"/>
          <w:szCs w:val="28"/>
        </w:rPr>
        <w:t>3,5 раза;</w:t>
      </w:r>
    </w:p>
    <w:p w14:paraId="63EC5763" w14:textId="77777777" w:rsidR="007B19BD" w:rsidRDefault="007B19BD" w:rsidP="007B19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41808">
        <w:rPr>
          <w:rFonts w:ascii="Times New Roman" w:eastAsia="Calibri" w:hAnsi="Times New Roman" w:cs="Times New Roman"/>
          <w:sz w:val="28"/>
          <w:szCs w:val="28"/>
        </w:rPr>
        <w:t>создания объектов капитального строительства инфраструктуры, необходимых для реализации новых инвестиционных проектов, включенных в сводный перечень новых инвестиционных проектов</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 2022 год </w:t>
      </w:r>
      <w:r w:rsidRPr="00D30375">
        <w:rPr>
          <w:rFonts w:ascii="Times New Roman" w:hAnsi="Times New Roman" w:cs="Times New Roman"/>
          <w:sz w:val="28"/>
          <w:szCs w:val="28"/>
        </w:rPr>
        <w:t>и плановый период 202</w:t>
      </w:r>
      <w:r>
        <w:rPr>
          <w:rFonts w:ascii="Times New Roman" w:hAnsi="Times New Roman" w:cs="Times New Roman"/>
          <w:sz w:val="28"/>
          <w:szCs w:val="28"/>
        </w:rPr>
        <w:t>3</w:t>
      </w:r>
      <w:r w:rsidRPr="00D30375">
        <w:rPr>
          <w:rFonts w:ascii="Times New Roman" w:hAnsi="Times New Roman" w:cs="Times New Roman"/>
          <w:sz w:val="28"/>
          <w:szCs w:val="28"/>
        </w:rPr>
        <w:t xml:space="preserve"> и 202</w:t>
      </w:r>
      <w:r>
        <w:rPr>
          <w:rFonts w:ascii="Times New Roman" w:hAnsi="Times New Roman" w:cs="Times New Roman"/>
          <w:sz w:val="28"/>
          <w:szCs w:val="28"/>
        </w:rPr>
        <w:t>4</w:t>
      </w:r>
      <w:r w:rsidRPr="00D30375">
        <w:rPr>
          <w:rFonts w:ascii="Times New Roman" w:hAnsi="Times New Roman" w:cs="Times New Roman"/>
          <w:sz w:val="28"/>
          <w:szCs w:val="28"/>
        </w:rPr>
        <w:t xml:space="preserve"> годов</w:t>
      </w:r>
      <w:r w:rsidRPr="0041340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41340F">
        <w:rPr>
          <w:rFonts w:ascii="Times New Roman" w:hAnsi="Times New Roman" w:cs="Times New Roman"/>
          <w:sz w:val="28"/>
          <w:szCs w:val="28"/>
        </w:rPr>
        <w:t>1</w:t>
      </w:r>
      <w:r>
        <w:rPr>
          <w:rFonts w:ascii="Times New Roman" w:hAnsi="Times New Roman" w:cs="Times New Roman"/>
          <w:sz w:val="28"/>
          <w:szCs w:val="28"/>
        </w:rPr>
        <w:t> </w:t>
      </w:r>
      <w:r w:rsidRPr="0041340F">
        <w:rPr>
          <w:rFonts w:ascii="Times New Roman" w:hAnsi="Times New Roman" w:cs="Times New Roman"/>
          <w:sz w:val="28"/>
          <w:szCs w:val="28"/>
        </w:rPr>
        <w:t>458</w:t>
      </w:r>
      <w:r>
        <w:rPr>
          <w:rFonts w:ascii="Times New Roman" w:hAnsi="Times New Roman" w:cs="Times New Roman"/>
          <w:sz w:val="28"/>
          <w:szCs w:val="28"/>
        </w:rPr>
        <w:t> </w:t>
      </w:r>
      <w:r w:rsidRPr="0041340F">
        <w:rPr>
          <w:rFonts w:ascii="Times New Roman" w:hAnsi="Times New Roman" w:cs="Times New Roman"/>
          <w:sz w:val="28"/>
          <w:szCs w:val="28"/>
        </w:rPr>
        <w:t>959</w:t>
      </w:r>
      <w:r>
        <w:rPr>
          <w:rFonts w:ascii="Times New Roman" w:hAnsi="Times New Roman" w:cs="Times New Roman"/>
          <w:sz w:val="28"/>
          <w:szCs w:val="28"/>
        </w:rPr>
        <w:t>,4</w:t>
      </w:r>
      <w:r w:rsidRPr="0041340F">
        <w:rPr>
          <w:rFonts w:ascii="Times New Roman" w:hAnsi="Times New Roman" w:cs="Times New Roman"/>
          <w:sz w:val="28"/>
          <w:szCs w:val="28"/>
        </w:rPr>
        <w:t xml:space="preserve"> </w:t>
      </w:r>
      <w:r>
        <w:rPr>
          <w:rFonts w:ascii="Times New Roman" w:hAnsi="Times New Roman" w:cs="Times New Roman"/>
          <w:sz w:val="28"/>
          <w:szCs w:val="28"/>
        </w:rPr>
        <w:t>тыс. рублей</w:t>
      </w:r>
      <w:r w:rsidRPr="00D30375">
        <w:rPr>
          <w:rFonts w:ascii="Times New Roman" w:hAnsi="Times New Roman" w:cs="Times New Roman"/>
          <w:sz w:val="28"/>
          <w:szCs w:val="28"/>
        </w:rPr>
        <w:t xml:space="preserve"> ежегодно</w:t>
      </w:r>
      <w:r>
        <w:rPr>
          <w:rFonts w:ascii="Times New Roman" w:hAnsi="Times New Roman" w:cs="Times New Roman"/>
          <w:sz w:val="28"/>
          <w:szCs w:val="28"/>
        </w:rPr>
        <w:t xml:space="preserve"> </w:t>
      </w:r>
      <w:r w:rsidRPr="009D07B9">
        <w:rPr>
          <w:rFonts w:ascii="Times New Roman" w:hAnsi="Times New Roman" w:cs="Times New Roman"/>
          <w:sz w:val="28"/>
          <w:szCs w:val="28"/>
        </w:rPr>
        <w:t xml:space="preserve">(ранее в бюджете </w:t>
      </w:r>
      <w:r>
        <w:rPr>
          <w:rFonts w:ascii="Times New Roman" w:hAnsi="Times New Roman" w:cs="Times New Roman"/>
          <w:sz w:val="28"/>
          <w:szCs w:val="28"/>
        </w:rPr>
        <w:t xml:space="preserve">области </w:t>
      </w:r>
      <w:r w:rsidRPr="009D07B9">
        <w:rPr>
          <w:rFonts w:ascii="Times New Roman" w:hAnsi="Times New Roman" w:cs="Times New Roman"/>
          <w:sz w:val="28"/>
          <w:szCs w:val="28"/>
        </w:rPr>
        <w:t>ассигнования на указанные цели не предусматривались).</w:t>
      </w:r>
    </w:p>
    <w:p w14:paraId="6C471841" w14:textId="77777777" w:rsidR="007B19BD" w:rsidRPr="0071237A" w:rsidRDefault="007B19BD" w:rsidP="00A5067C">
      <w:pPr>
        <w:widowControl w:val="0"/>
        <w:spacing w:before="120" w:after="0" w:line="240" w:lineRule="auto"/>
        <w:ind w:firstLine="709"/>
        <w:jc w:val="both"/>
        <w:rPr>
          <w:rFonts w:ascii="Times New Roman" w:eastAsia="Times New Roman" w:hAnsi="Times New Roman" w:cs="Times New Roman"/>
          <w:snapToGrid w:val="0"/>
          <w:color w:val="000000" w:themeColor="text1"/>
          <w:spacing w:val="-4"/>
          <w:sz w:val="28"/>
          <w:szCs w:val="28"/>
          <w:lang w:eastAsia="ru-RU"/>
        </w:rPr>
      </w:pPr>
      <w:r w:rsidRPr="00A5067C">
        <w:rPr>
          <w:rFonts w:ascii="Times New Roman" w:eastAsia="Times New Roman" w:hAnsi="Times New Roman" w:cs="Times New Roman"/>
          <w:snapToGrid w:val="0"/>
          <w:color w:val="000000" w:themeColor="text1"/>
          <w:spacing w:val="-4"/>
          <w:sz w:val="28"/>
          <w:szCs w:val="28"/>
          <w:lang w:eastAsia="ru-RU"/>
        </w:rPr>
        <w:t>В 2022 году бюджетные ассигнования</w:t>
      </w:r>
      <w:r w:rsidRPr="00BB12B8">
        <w:rPr>
          <w:rFonts w:ascii="Times New Roman" w:eastAsia="Times New Roman" w:hAnsi="Times New Roman" w:cs="Times New Roman"/>
          <w:snapToGrid w:val="0"/>
          <w:color w:val="000000" w:themeColor="text1"/>
          <w:spacing w:val="-4"/>
          <w:sz w:val="28"/>
          <w:szCs w:val="28"/>
          <w:lang w:eastAsia="ru-RU"/>
        </w:rPr>
        <w:t xml:space="preserve"> </w:t>
      </w:r>
      <w:r w:rsidRPr="00BB12B8">
        <w:rPr>
          <w:rFonts w:ascii="Times New Roman" w:eastAsia="Times New Roman" w:hAnsi="Times New Roman" w:cs="Times New Roman"/>
          <w:i/>
          <w:snapToGrid w:val="0"/>
          <w:color w:val="000000" w:themeColor="text1"/>
          <w:spacing w:val="-4"/>
          <w:sz w:val="28"/>
          <w:szCs w:val="28"/>
          <w:lang w:eastAsia="ru-RU"/>
        </w:rPr>
        <w:t xml:space="preserve">на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или на приобретение объектов недвижимого имущества в государственную собственность </w:t>
      </w:r>
      <w:r w:rsidRPr="0071237A">
        <w:rPr>
          <w:rFonts w:ascii="Times New Roman" w:eastAsia="Times New Roman" w:hAnsi="Times New Roman" w:cs="Times New Roman"/>
          <w:snapToGrid w:val="0"/>
          <w:color w:val="000000" w:themeColor="text1"/>
          <w:spacing w:val="-4"/>
          <w:sz w:val="28"/>
          <w:szCs w:val="28"/>
          <w:lang w:eastAsia="ru-RU"/>
        </w:rPr>
        <w:t xml:space="preserve">запланированы в объеме 1 477 824,8 </w:t>
      </w:r>
      <w:r>
        <w:rPr>
          <w:rFonts w:ascii="Times New Roman" w:eastAsia="Times New Roman" w:hAnsi="Times New Roman" w:cs="Times New Roman"/>
          <w:snapToGrid w:val="0"/>
          <w:color w:val="000000" w:themeColor="text1"/>
          <w:spacing w:val="-4"/>
          <w:sz w:val="28"/>
          <w:szCs w:val="28"/>
          <w:lang w:eastAsia="ru-RU"/>
        </w:rPr>
        <w:t>тыс. рублей</w:t>
      </w:r>
      <w:r w:rsidRPr="0071237A">
        <w:rPr>
          <w:rFonts w:ascii="Times New Roman" w:eastAsia="Times New Roman" w:hAnsi="Times New Roman" w:cs="Times New Roman"/>
          <w:snapToGrid w:val="0"/>
          <w:color w:val="000000" w:themeColor="text1"/>
          <w:spacing w:val="-4"/>
          <w:sz w:val="28"/>
          <w:szCs w:val="28"/>
          <w:lang w:eastAsia="ru-RU"/>
        </w:rPr>
        <w:t xml:space="preserve">, что на 565 384,6 </w:t>
      </w:r>
      <w:r>
        <w:rPr>
          <w:rFonts w:ascii="Times New Roman" w:eastAsia="Times New Roman" w:hAnsi="Times New Roman" w:cs="Times New Roman"/>
          <w:snapToGrid w:val="0"/>
          <w:color w:val="000000" w:themeColor="text1"/>
          <w:spacing w:val="-4"/>
          <w:sz w:val="28"/>
          <w:szCs w:val="28"/>
          <w:lang w:eastAsia="ru-RU"/>
        </w:rPr>
        <w:t>тыс. рублей</w:t>
      </w:r>
      <w:r w:rsidRPr="0071237A">
        <w:rPr>
          <w:rFonts w:ascii="Times New Roman" w:eastAsia="Times New Roman" w:hAnsi="Times New Roman" w:cs="Times New Roman"/>
          <w:snapToGrid w:val="0"/>
          <w:color w:val="000000" w:themeColor="text1"/>
          <w:spacing w:val="-4"/>
          <w:sz w:val="28"/>
          <w:szCs w:val="28"/>
          <w:lang w:eastAsia="ru-RU"/>
        </w:rPr>
        <w:t>, или в 1,6 раза, больше утвержденного объема аналогичных бюджетных ассигнований на 2021 год.</w:t>
      </w:r>
    </w:p>
    <w:p w14:paraId="7E7A567E"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71237A">
        <w:rPr>
          <w:rFonts w:ascii="Times New Roman" w:eastAsia="Times New Roman" w:hAnsi="Times New Roman" w:cs="Times New Roman"/>
          <w:snapToGrid w:val="0"/>
          <w:color w:val="000000" w:themeColor="text1"/>
          <w:sz w:val="28"/>
          <w:szCs w:val="28"/>
          <w:lang w:eastAsia="ru-RU"/>
        </w:rPr>
        <w:t>По сравнению с 2022 годом</w:t>
      </w:r>
      <w:r>
        <w:rPr>
          <w:rFonts w:ascii="Times New Roman" w:eastAsia="Times New Roman" w:hAnsi="Times New Roman" w:cs="Times New Roman"/>
          <w:snapToGrid w:val="0"/>
          <w:color w:val="000000" w:themeColor="text1"/>
          <w:sz w:val="28"/>
          <w:szCs w:val="28"/>
          <w:lang w:eastAsia="ru-RU"/>
        </w:rPr>
        <w:t>,</w:t>
      </w:r>
      <w:r w:rsidRPr="0071237A">
        <w:rPr>
          <w:rFonts w:ascii="Times New Roman" w:eastAsia="Times New Roman" w:hAnsi="Times New Roman" w:cs="Times New Roman"/>
          <w:snapToGrid w:val="0"/>
          <w:color w:val="000000" w:themeColor="text1"/>
          <w:sz w:val="28"/>
          <w:szCs w:val="28"/>
          <w:lang w:eastAsia="ru-RU"/>
        </w:rPr>
        <w:t xml:space="preserve"> в плановом периоде объем субсидий на осуществление капитальных вложений предполагается уменьшить в 2023 году на 46,3%, в 2024 году на 98,1%. Доля субсидий на осуществление капитальных </w:t>
      </w:r>
      <w:r w:rsidRPr="0071237A">
        <w:rPr>
          <w:rFonts w:ascii="Times New Roman" w:eastAsia="Times New Roman" w:hAnsi="Times New Roman" w:cs="Times New Roman"/>
          <w:snapToGrid w:val="0"/>
          <w:color w:val="000000" w:themeColor="text1"/>
          <w:sz w:val="28"/>
          <w:szCs w:val="28"/>
          <w:lang w:eastAsia="ru-RU"/>
        </w:rPr>
        <w:lastRenderedPageBreak/>
        <w:t>вложений в общем объеме расходов бюджета области составит: в 2022 году – 1,5%, в 2023 году - 0,8%, в 2024 году – 0,03%.</w:t>
      </w:r>
    </w:p>
    <w:p w14:paraId="36551ABB"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71237A">
        <w:rPr>
          <w:rFonts w:ascii="Times New Roman" w:eastAsia="Times New Roman" w:hAnsi="Times New Roman" w:cs="Times New Roman"/>
          <w:snapToGrid w:val="0"/>
          <w:color w:val="000000" w:themeColor="text1"/>
          <w:sz w:val="28"/>
          <w:szCs w:val="28"/>
          <w:lang w:eastAsia="ru-RU"/>
        </w:rPr>
        <w:t xml:space="preserve">В прогнозируемом периоде субсидии предполагается направить на </w:t>
      </w:r>
      <w:r w:rsidRPr="00BB12B8">
        <w:rPr>
          <w:rFonts w:ascii="Times New Roman" w:eastAsia="Times New Roman" w:hAnsi="Times New Roman" w:cs="Times New Roman"/>
          <w:snapToGrid w:val="0"/>
          <w:color w:val="000000" w:themeColor="text1"/>
          <w:sz w:val="28"/>
          <w:szCs w:val="28"/>
          <w:lang w:eastAsia="ru-RU"/>
        </w:rPr>
        <w:t>следующие цели в рамках реализации четырех госпрограмм:</w:t>
      </w:r>
    </w:p>
    <w:p w14:paraId="79EF549E" w14:textId="77777777" w:rsidR="007B19BD" w:rsidRPr="0071237A" w:rsidRDefault="007B19BD" w:rsidP="00170822">
      <w:pPr>
        <w:widowControl w:val="0"/>
        <w:spacing w:before="60" w:after="0" w:line="240" w:lineRule="auto"/>
        <w:ind w:firstLine="720"/>
        <w:rPr>
          <w:rFonts w:ascii="Times New Roman" w:eastAsia="Times New Roman" w:hAnsi="Times New Roman" w:cs="Times New Roman"/>
          <w:i/>
          <w:snapToGrid w:val="0"/>
          <w:color w:val="000000" w:themeColor="text1"/>
          <w:sz w:val="28"/>
          <w:szCs w:val="28"/>
          <w:lang w:eastAsia="ru-RU"/>
        </w:rPr>
      </w:pPr>
      <w:r w:rsidRPr="0071237A">
        <w:rPr>
          <w:rFonts w:ascii="Times New Roman" w:eastAsia="Times New Roman" w:hAnsi="Times New Roman" w:cs="Times New Roman"/>
          <w:i/>
          <w:snapToGrid w:val="0"/>
          <w:color w:val="000000" w:themeColor="text1"/>
          <w:sz w:val="28"/>
          <w:szCs w:val="28"/>
          <w:lang w:eastAsia="ru-RU"/>
        </w:rPr>
        <w:t>«Развитие культуры и туризма Тульской области»</w:t>
      </w:r>
    </w:p>
    <w:p w14:paraId="6D8E25AF"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71237A">
        <w:rPr>
          <w:rFonts w:ascii="Times New Roman" w:eastAsia="Times New Roman" w:hAnsi="Times New Roman" w:cs="Times New Roman"/>
          <w:snapToGrid w:val="0"/>
          <w:color w:val="000000" w:themeColor="text1"/>
          <w:sz w:val="28"/>
          <w:szCs w:val="28"/>
          <w:lang w:eastAsia="ru-RU"/>
        </w:rPr>
        <w:t>-</w:t>
      </w:r>
      <w:r>
        <w:rPr>
          <w:rFonts w:ascii="Times New Roman" w:eastAsia="Times New Roman" w:hAnsi="Times New Roman" w:cs="Times New Roman"/>
          <w:snapToGrid w:val="0"/>
          <w:color w:val="000000" w:themeColor="text1"/>
          <w:sz w:val="28"/>
          <w:szCs w:val="28"/>
          <w:lang w:eastAsia="ru-RU"/>
        </w:rPr>
        <w:t> </w:t>
      </w:r>
      <w:r w:rsidRPr="0071237A">
        <w:rPr>
          <w:rFonts w:ascii="Times New Roman" w:eastAsia="Times New Roman" w:hAnsi="Times New Roman" w:cs="Times New Roman"/>
          <w:snapToGrid w:val="0"/>
          <w:color w:val="000000" w:themeColor="text1"/>
          <w:sz w:val="28"/>
          <w:szCs w:val="28"/>
          <w:lang w:eastAsia="ru-RU"/>
        </w:rPr>
        <w:t>на модернизацию театр</w:t>
      </w:r>
      <w:r>
        <w:rPr>
          <w:rFonts w:ascii="Times New Roman" w:eastAsia="Times New Roman" w:hAnsi="Times New Roman" w:cs="Times New Roman"/>
          <w:snapToGrid w:val="0"/>
          <w:color w:val="000000" w:themeColor="text1"/>
          <w:sz w:val="28"/>
          <w:szCs w:val="28"/>
          <w:lang w:eastAsia="ru-RU"/>
        </w:rPr>
        <w:t>а</w:t>
      </w:r>
      <w:r w:rsidRPr="0071237A">
        <w:rPr>
          <w:rFonts w:ascii="Times New Roman" w:eastAsia="Times New Roman" w:hAnsi="Times New Roman" w:cs="Times New Roman"/>
          <w:snapToGrid w:val="0"/>
          <w:color w:val="000000" w:themeColor="text1"/>
          <w:sz w:val="28"/>
          <w:szCs w:val="28"/>
          <w:lang w:eastAsia="ru-RU"/>
        </w:rPr>
        <w:t xml:space="preserve"> юного зрителя и театр</w:t>
      </w:r>
      <w:r>
        <w:rPr>
          <w:rFonts w:ascii="Times New Roman" w:eastAsia="Times New Roman" w:hAnsi="Times New Roman" w:cs="Times New Roman"/>
          <w:snapToGrid w:val="0"/>
          <w:color w:val="000000" w:themeColor="text1"/>
          <w:sz w:val="28"/>
          <w:szCs w:val="28"/>
          <w:lang w:eastAsia="ru-RU"/>
        </w:rPr>
        <w:t>а</w:t>
      </w:r>
      <w:r w:rsidRPr="0071237A">
        <w:rPr>
          <w:rFonts w:ascii="Times New Roman" w:eastAsia="Times New Roman" w:hAnsi="Times New Roman" w:cs="Times New Roman"/>
          <w:snapToGrid w:val="0"/>
          <w:color w:val="000000" w:themeColor="text1"/>
          <w:sz w:val="28"/>
          <w:szCs w:val="28"/>
          <w:lang w:eastAsia="ru-RU"/>
        </w:rPr>
        <w:t xml:space="preserve"> кукол в рамках </w:t>
      </w:r>
      <w:r w:rsidRPr="00BB12B8">
        <w:rPr>
          <w:rFonts w:ascii="Times New Roman" w:eastAsia="Times New Roman" w:hAnsi="Times New Roman" w:cs="Times New Roman"/>
          <w:snapToGrid w:val="0"/>
          <w:color w:val="000000" w:themeColor="text1"/>
          <w:sz w:val="28"/>
          <w:szCs w:val="28"/>
          <w:lang w:eastAsia="ru-RU"/>
        </w:rPr>
        <w:t xml:space="preserve">регионального проекта «Культурная среда» на 2022 год в объеме 163 596,7 </w:t>
      </w:r>
      <w:r>
        <w:rPr>
          <w:rFonts w:ascii="Times New Roman" w:eastAsia="Times New Roman" w:hAnsi="Times New Roman" w:cs="Times New Roman"/>
          <w:snapToGrid w:val="0"/>
          <w:color w:val="000000" w:themeColor="text1"/>
          <w:sz w:val="28"/>
          <w:szCs w:val="28"/>
          <w:lang w:eastAsia="ru-RU"/>
        </w:rPr>
        <w:t>тыс. рублей</w:t>
      </w:r>
      <w:r w:rsidRPr="00BB12B8">
        <w:rPr>
          <w:rFonts w:ascii="Times New Roman" w:eastAsia="Times New Roman" w:hAnsi="Times New Roman" w:cs="Times New Roman"/>
          <w:snapToGrid w:val="0"/>
          <w:color w:val="000000" w:themeColor="text1"/>
          <w:sz w:val="28"/>
          <w:szCs w:val="28"/>
          <w:lang w:eastAsia="ru-RU"/>
        </w:rPr>
        <w:t>, в 2023 и 2024 годах бюджетные ассигнования на указанные цели</w:t>
      </w:r>
      <w:r w:rsidRPr="0071237A">
        <w:rPr>
          <w:rFonts w:ascii="Times New Roman" w:eastAsia="Times New Roman" w:hAnsi="Times New Roman" w:cs="Times New Roman"/>
          <w:snapToGrid w:val="0"/>
          <w:color w:val="000000" w:themeColor="text1"/>
          <w:sz w:val="28"/>
          <w:szCs w:val="28"/>
          <w:lang w:eastAsia="ru-RU"/>
        </w:rPr>
        <w:t xml:space="preserve"> не предусмотрены;</w:t>
      </w:r>
    </w:p>
    <w:p w14:paraId="0148A72F"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71237A">
        <w:rPr>
          <w:rFonts w:ascii="Times New Roman" w:eastAsia="Times New Roman" w:hAnsi="Times New Roman" w:cs="Times New Roman"/>
          <w:snapToGrid w:val="0"/>
          <w:color w:val="000000" w:themeColor="text1"/>
          <w:sz w:val="28"/>
          <w:szCs w:val="28"/>
          <w:lang w:eastAsia="ru-RU"/>
        </w:rPr>
        <w:t>- на строительство государственного архива Тульской области</w:t>
      </w:r>
      <w:r w:rsidRPr="0071237A">
        <w:t xml:space="preserve"> </w:t>
      </w:r>
      <w:r w:rsidRPr="0071237A">
        <w:rPr>
          <w:rFonts w:ascii="Times New Roman" w:eastAsia="Times New Roman" w:hAnsi="Times New Roman" w:cs="Times New Roman"/>
          <w:snapToGrid w:val="0"/>
          <w:color w:val="000000" w:themeColor="text1"/>
          <w:sz w:val="28"/>
          <w:szCs w:val="28"/>
          <w:lang w:eastAsia="ru-RU"/>
        </w:rPr>
        <w:t>и фондохранилища государственного учреждения культуры Тульской области «Объединение «Историко-краеведческий и художественный музей» в рамках</w:t>
      </w:r>
      <w:r w:rsidRPr="0071237A">
        <w:t xml:space="preserve"> </w:t>
      </w:r>
      <w:r w:rsidRPr="00BB12B8">
        <w:rPr>
          <w:rFonts w:ascii="Times New Roman" w:eastAsia="Times New Roman" w:hAnsi="Times New Roman" w:cs="Times New Roman"/>
          <w:snapToGrid w:val="0"/>
          <w:color w:val="000000" w:themeColor="text1"/>
          <w:sz w:val="28"/>
          <w:szCs w:val="28"/>
          <w:lang w:eastAsia="ru-RU"/>
        </w:rPr>
        <w:t>регионального проекта «Государственная поддержка региональных учреждений культуры»</w:t>
      </w:r>
      <w:r w:rsidRPr="0071237A">
        <w:rPr>
          <w:rFonts w:ascii="Times New Roman" w:eastAsia="Times New Roman" w:hAnsi="Times New Roman" w:cs="Times New Roman"/>
          <w:i/>
          <w:snapToGrid w:val="0"/>
          <w:color w:val="000000" w:themeColor="text1"/>
          <w:sz w:val="28"/>
          <w:szCs w:val="28"/>
          <w:lang w:eastAsia="ru-RU"/>
        </w:rPr>
        <w:t xml:space="preserve"> </w:t>
      </w:r>
      <w:r w:rsidRPr="0071237A">
        <w:rPr>
          <w:rFonts w:ascii="Times New Roman" w:eastAsia="Times New Roman" w:hAnsi="Times New Roman" w:cs="Times New Roman"/>
          <w:snapToGrid w:val="0"/>
          <w:color w:val="000000" w:themeColor="text1"/>
          <w:sz w:val="28"/>
          <w:szCs w:val="28"/>
          <w:lang w:eastAsia="ru-RU"/>
        </w:rPr>
        <w:t xml:space="preserve">на 2022 год в объеме 295 534,2 </w:t>
      </w:r>
      <w:r>
        <w:rPr>
          <w:rFonts w:ascii="Times New Roman" w:eastAsia="Times New Roman" w:hAnsi="Times New Roman" w:cs="Times New Roman"/>
          <w:snapToGrid w:val="0"/>
          <w:color w:val="000000" w:themeColor="text1"/>
          <w:sz w:val="28"/>
          <w:szCs w:val="28"/>
          <w:lang w:eastAsia="ru-RU"/>
        </w:rPr>
        <w:t>тыс. рублей</w:t>
      </w:r>
      <w:r w:rsidRPr="0071237A">
        <w:rPr>
          <w:rFonts w:ascii="Times New Roman" w:eastAsia="Times New Roman" w:hAnsi="Times New Roman" w:cs="Times New Roman"/>
          <w:snapToGrid w:val="0"/>
          <w:color w:val="000000" w:themeColor="text1"/>
          <w:sz w:val="28"/>
          <w:szCs w:val="28"/>
          <w:lang w:eastAsia="ru-RU"/>
        </w:rPr>
        <w:t xml:space="preserve">, </w:t>
      </w:r>
      <w:r w:rsidRPr="0071237A">
        <w:rPr>
          <w:rFonts w:ascii="Times New Roman" w:eastAsia="Times New Roman" w:hAnsi="Times New Roman" w:cs="Times New Roman"/>
          <w:snapToGrid w:val="0"/>
          <w:sz w:val="28"/>
          <w:szCs w:val="28"/>
          <w:lang w:eastAsia="ru-RU"/>
        </w:rPr>
        <w:t>в 2023 и 2024 годах ассигнования на указанные цели не предусмотрены;</w:t>
      </w:r>
    </w:p>
    <w:p w14:paraId="5B426C3F" w14:textId="77777777" w:rsidR="007B19BD" w:rsidRPr="0071237A" w:rsidRDefault="007B19BD" w:rsidP="00170822">
      <w:pPr>
        <w:widowControl w:val="0"/>
        <w:spacing w:before="60" w:after="0" w:line="240" w:lineRule="auto"/>
        <w:ind w:left="709"/>
        <w:rPr>
          <w:rFonts w:ascii="Times New Roman" w:eastAsia="Times New Roman" w:hAnsi="Times New Roman" w:cs="Times New Roman"/>
          <w:i/>
          <w:snapToGrid w:val="0"/>
          <w:sz w:val="28"/>
          <w:szCs w:val="28"/>
          <w:lang w:eastAsia="ru-RU"/>
        </w:rPr>
      </w:pPr>
      <w:r w:rsidRPr="0071237A">
        <w:rPr>
          <w:rFonts w:ascii="Times New Roman" w:eastAsia="Times New Roman" w:hAnsi="Times New Roman" w:cs="Times New Roman"/>
          <w:i/>
          <w:snapToGrid w:val="0"/>
          <w:sz w:val="28"/>
          <w:szCs w:val="28"/>
          <w:lang w:eastAsia="ru-RU"/>
        </w:rPr>
        <w:t>«Социальная поддержка и социальное обслуживание населения Тульской области»</w:t>
      </w:r>
    </w:p>
    <w:p w14:paraId="1E3F933E"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sidRPr="0071237A">
        <w:rPr>
          <w:rFonts w:ascii="Times New Roman" w:eastAsia="Times New Roman" w:hAnsi="Times New Roman" w:cs="Times New Roman"/>
          <w:snapToGrid w:val="0"/>
          <w:color w:val="000000" w:themeColor="text1"/>
          <w:sz w:val="28"/>
          <w:szCs w:val="28"/>
          <w:lang w:eastAsia="ru-RU"/>
        </w:rPr>
        <w:t>-</w:t>
      </w:r>
      <w:r>
        <w:rPr>
          <w:rFonts w:ascii="Times New Roman" w:eastAsia="Times New Roman" w:hAnsi="Times New Roman" w:cs="Times New Roman"/>
          <w:snapToGrid w:val="0"/>
          <w:color w:val="000000" w:themeColor="text1"/>
          <w:sz w:val="28"/>
          <w:szCs w:val="28"/>
          <w:lang w:eastAsia="ru-RU"/>
        </w:rPr>
        <w:t> </w:t>
      </w:r>
      <w:r w:rsidRPr="0071237A">
        <w:rPr>
          <w:rFonts w:ascii="Times New Roman" w:eastAsia="Times New Roman" w:hAnsi="Times New Roman" w:cs="Times New Roman"/>
          <w:snapToGrid w:val="0"/>
          <w:color w:val="000000" w:themeColor="text1"/>
          <w:sz w:val="28"/>
          <w:szCs w:val="28"/>
          <w:lang w:eastAsia="ru-RU"/>
        </w:rPr>
        <w:t>на строительство оранжереи в г. Щекино в рамках регионального проекта «Тульское долголетие» на 2022 год в объеме 10</w:t>
      </w:r>
      <w:r>
        <w:rPr>
          <w:rFonts w:ascii="Times New Roman" w:eastAsia="Times New Roman" w:hAnsi="Times New Roman" w:cs="Times New Roman"/>
          <w:snapToGrid w:val="0"/>
          <w:color w:val="000000" w:themeColor="text1"/>
          <w:sz w:val="28"/>
          <w:szCs w:val="28"/>
          <w:lang w:eastAsia="ru-RU"/>
        </w:rPr>
        <w:t> </w:t>
      </w:r>
      <w:r w:rsidRPr="0071237A">
        <w:rPr>
          <w:rFonts w:ascii="Times New Roman" w:eastAsia="Times New Roman" w:hAnsi="Times New Roman" w:cs="Times New Roman"/>
          <w:snapToGrid w:val="0"/>
          <w:color w:val="000000" w:themeColor="text1"/>
          <w:sz w:val="28"/>
          <w:szCs w:val="28"/>
          <w:lang w:eastAsia="ru-RU"/>
        </w:rPr>
        <w:t xml:space="preserve">934,0 </w:t>
      </w:r>
      <w:r>
        <w:rPr>
          <w:rFonts w:ascii="Times New Roman" w:eastAsia="Times New Roman" w:hAnsi="Times New Roman" w:cs="Times New Roman"/>
          <w:snapToGrid w:val="0"/>
          <w:color w:val="000000" w:themeColor="text1"/>
          <w:sz w:val="28"/>
          <w:szCs w:val="28"/>
          <w:lang w:eastAsia="ru-RU"/>
        </w:rPr>
        <w:t>тыс. рублей</w:t>
      </w:r>
      <w:r w:rsidRPr="0071237A">
        <w:rPr>
          <w:rFonts w:ascii="Times New Roman" w:eastAsia="Times New Roman" w:hAnsi="Times New Roman" w:cs="Times New Roman"/>
          <w:snapToGrid w:val="0"/>
          <w:color w:val="000000" w:themeColor="text1"/>
          <w:sz w:val="28"/>
          <w:szCs w:val="28"/>
          <w:lang w:eastAsia="ru-RU"/>
        </w:rPr>
        <w:t>;</w:t>
      </w:r>
    </w:p>
    <w:p w14:paraId="0800751D" w14:textId="77777777" w:rsidR="007B19BD" w:rsidRPr="0071237A"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w:t>
      </w:r>
      <w:r w:rsidRPr="0071237A">
        <w:rPr>
          <w:rFonts w:ascii="Times New Roman" w:eastAsia="Times New Roman" w:hAnsi="Times New Roman" w:cs="Times New Roman"/>
          <w:snapToGrid w:val="0"/>
          <w:color w:val="000000" w:themeColor="text1"/>
          <w:sz w:val="28"/>
          <w:szCs w:val="28"/>
          <w:lang w:eastAsia="ru-RU"/>
        </w:rPr>
        <w:t> на строительство корпуса на базе государственного учреждения Тульской области «</w:t>
      </w:r>
      <w:proofErr w:type="spellStart"/>
      <w:r w:rsidRPr="0071237A">
        <w:rPr>
          <w:rFonts w:ascii="Times New Roman" w:eastAsia="Times New Roman" w:hAnsi="Times New Roman" w:cs="Times New Roman"/>
          <w:snapToGrid w:val="0"/>
          <w:color w:val="000000" w:themeColor="text1"/>
          <w:sz w:val="28"/>
          <w:szCs w:val="28"/>
          <w:lang w:eastAsia="ru-RU"/>
        </w:rPr>
        <w:t>Красивский</w:t>
      </w:r>
      <w:proofErr w:type="spellEnd"/>
      <w:r w:rsidRPr="0071237A">
        <w:rPr>
          <w:rFonts w:ascii="Times New Roman" w:eastAsia="Times New Roman" w:hAnsi="Times New Roman" w:cs="Times New Roman"/>
          <w:snapToGrid w:val="0"/>
          <w:color w:val="000000" w:themeColor="text1"/>
          <w:sz w:val="28"/>
          <w:szCs w:val="28"/>
          <w:lang w:eastAsia="ru-RU"/>
        </w:rPr>
        <w:t xml:space="preserve"> дом для пожилых «Забота» в рамках </w:t>
      </w:r>
      <w:r w:rsidRPr="00BB12B8">
        <w:rPr>
          <w:rFonts w:ascii="Times New Roman" w:eastAsia="Times New Roman" w:hAnsi="Times New Roman" w:cs="Times New Roman"/>
          <w:snapToGrid w:val="0"/>
          <w:color w:val="000000" w:themeColor="text1"/>
          <w:sz w:val="28"/>
          <w:szCs w:val="28"/>
          <w:lang w:eastAsia="ru-RU"/>
        </w:rPr>
        <w:t>регионального проекта «Разработка и реализация программы системной поддержки и повышения качества жизни граждан старшего поколения»</w:t>
      </w:r>
      <w:r w:rsidRPr="0071237A">
        <w:rPr>
          <w:rFonts w:ascii="Times New Roman" w:eastAsia="Times New Roman" w:hAnsi="Times New Roman" w:cs="Times New Roman"/>
          <w:snapToGrid w:val="0"/>
          <w:color w:val="000000" w:themeColor="text1"/>
          <w:sz w:val="28"/>
          <w:szCs w:val="28"/>
          <w:lang w:eastAsia="ru-RU"/>
        </w:rPr>
        <w:t xml:space="preserve"> в 2022 году в объеме 598 178,7 </w:t>
      </w:r>
      <w:r>
        <w:rPr>
          <w:rFonts w:ascii="Times New Roman" w:eastAsia="Times New Roman" w:hAnsi="Times New Roman" w:cs="Times New Roman"/>
          <w:snapToGrid w:val="0"/>
          <w:color w:val="000000" w:themeColor="text1"/>
          <w:sz w:val="28"/>
          <w:szCs w:val="28"/>
          <w:lang w:eastAsia="ru-RU"/>
        </w:rPr>
        <w:t>тыс. рублей</w:t>
      </w:r>
      <w:r w:rsidRPr="0071237A">
        <w:rPr>
          <w:rFonts w:ascii="Times New Roman" w:eastAsia="Times New Roman" w:hAnsi="Times New Roman" w:cs="Times New Roman"/>
          <w:snapToGrid w:val="0"/>
          <w:color w:val="000000" w:themeColor="text1"/>
          <w:sz w:val="28"/>
          <w:szCs w:val="28"/>
          <w:lang w:eastAsia="ru-RU"/>
        </w:rPr>
        <w:t xml:space="preserve">, в 2023 году – 464 552,5 </w:t>
      </w:r>
      <w:r>
        <w:rPr>
          <w:rFonts w:ascii="Times New Roman" w:eastAsia="Times New Roman" w:hAnsi="Times New Roman" w:cs="Times New Roman"/>
          <w:snapToGrid w:val="0"/>
          <w:color w:val="000000" w:themeColor="text1"/>
          <w:sz w:val="28"/>
          <w:szCs w:val="28"/>
          <w:lang w:eastAsia="ru-RU"/>
        </w:rPr>
        <w:t>тыс. рублей</w:t>
      </w:r>
      <w:r w:rsidRPr="0071237A">
        <w:rPr>
          <w:rFonts w:ascii="Times New Roman" w:eastAsia="Times New Roman" w:hAnsi="Times New Roman" w:cs="Times New Roman"/>
          <w:snapToGrid w:val="0"/>
          <w:color w:val="000000" w:themeColor="text1"/>
          <w:sz w:val="28"/>
          <w:szCs w:val="28"/>
          <w:lang w:eastAsia="ru-RU"/>
        </w:rPr>
        <w:t>;</w:t>
      </w:r>
    </w:p>
    <w:p w14:paraId="60D7C85D" w14:textId="3A0CC155" w:rsidR="007B19BD" w:rsidRPr="00BB12B8" w:rsidRDefault="007B19BD" w:rsidP="00170822">
      <w:pPr>
        <w:widowControl w:val="0"/>
        <w:spacing w:before="60" w:after="0" w:line="240" w:lineRule="auto"/>
        <w:ind w:firstLine="720"/>
        <w:rPr>
          <w:rFonts w:ascii="Times New Roman" w:eastAsia="Times New Roman" w:hAnsi="Times New Roman" w:cs="Times New Roman"/>
          <w:i/>
          <w:snapToGrid w:val="0"/>
          <w:sz w:val="28"/>
          <w:szCs w:val="28"/>
          <w:lang w:eastAsia="ru-RU"/>
        </w:rPr>
      </w:pPr>
      <w:r w:rsidRPr="00BB12B8">
        <w:rPr>
          <w:rFonts w:ascii="Times New Roman" w:eastAsia="Times New Roman" w:hAnsi="Times New Roman" w:cs="Times New Roman"/>
          <w:i/>
          <w:snapToGrid w:val="0"/>
          <w:sz w:val="28"/>
          <w:szCs w:val="28"/>
          <w:lang w:eastAsia="ru-RU"/>
        </w:rPr>
        <w:t>«Развитие физической культу</w:t>
      </w:r>
      <w:r>
        <w:rPr>
          <w:rFonts w:ascii="Times New Roman" w:eastAsia="Times New Roman" w:hAnsi="Times New Roman" w:cs="Times New Roman"/>
          <w:i/>
          <w:snapToGrid w:val="0"/>
          <w:sz w:val="28"/>
          <w:szCs w:val="28"/>
          <w:lang w:eastAsia="ru-RU"/>
        </w:rPr>
        <w:t>ры и спорта в Тульской области»</w:t>
      </w:r>
    </w:p>
    <w:p w14:paraId="512E9032" w14:textId="77777777" w:rsidR="007B19BD" w:rsidRPr="002745CF" w:rsidRDefault="007B19BD" w:rsidP="007B19BD">
      <w:pPr>
        <w:widowControl w:val="0"/>
        <w:spacing w:after="0" w:line="240" w:lineRule="auto"/>
        <w:ind w:firstLine="720"/>
        <w:jc w:val="both"/>
        <w:rPr>
          <w:rFonts w:ascii="Times New Roman" w:eastAsia="Times New Roman" w:hAnsi="Times New Roman" w:cs="Times New Roman"/>
          <w:snapToGrid w:val="0"/>
          <w:color w:val="000000" w:themeColor="text1"/>
          <w:spacing w:val="-4"/>
          <w:sz w:val="28"/>
          <w:szCs w:val="28"/>
          <w:lang w:eastAsia="ru-RU"/>
        </w:rPr>
      </w:pPr>
      <w:r w:rsidRPr="002745CF">
        <w:rPr>
          <w:rFonts w:ascii="Times New Roman" w:eastAsia="Times New Roman" w:hAnsi="Times New Roman" w:cs="Times New Roman"/>
          <w:snapToGrid w:val="0"/>
          <w:color w:val="000000" w:themeColor="text1"/>
          <w:spacing w:val="-4"/>
          <w:sz w:val="28"/>
          <w:szCs w:val="28"/>
          <w:lang w:eastAsia="ru-RU"/>
        </w:rPr>
        <w:t>- на создание и модернизацию объектов спортивной инфраструктуры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2745CF">
        <w:rPr>
          <w:rFonts w:ascii="Times New Roman" w:eastAsia="Times New Roman" w:hAnsi="Times New Roman" w:cs="Times New Roman"/>
          <w:i/>
          <w:snapToGrid w:val="0"/>
          <w:color w:val="000000" w:themeColor="text1"/>
          <w:spacing w:val="-4"/>
          <w:sz w:val="28"/>
          <w:szCs w:val="28"/>
          <w:lang w:eastAsia="ru-RU"/>
        </w:rPr>
        <w:t xml:space="preserve"> </w:t>
      </w:r>
      <w:r w:rsidRPr="002745CF">
        <w:rPr>
          <w:rFonts w:ascii="Times New Roman" w:eastAsia="Times New Roman" w:hAnsi="Times New Roman" w:cs="Times New Roman"/>
          <w:snapToGrid w:val="0"/>
          <w:color w:val="000000" w:themeColor="text1"/>
          <w:spacing w:val="-4"/>
          <w:sz w:val="28"/>
          <w:szCs w:val="28"/>
          <w:lang w:eastAsia="ru-RU"/>
        </w:rPr>
        <w:t xml:space="preserve">в 2022 году в объеме 309 581,2 тыс. рублей, в 2023 году – 231 617,0 тыс. рублей, в 2024 году – 28 799,7 тыс. рублей («Крытый тренировочный манеж с футбольным полем по адресу: Тульская область, г. Тула, Центральный район, ул. </w:t>
      </w:r>
      <w:proofErr w:type="spellStart"/>
      <w:r w:rsidRPr="002745CF">
        <w:rPr>
          <w:rFonts w:ascii="Times New Roman" w:eastAsia="Times New Roman" w:hAnsi="Times New Roman" w:cs="Times New Roman"/>
          <w:snapToGrid w:val="0"/>
          <w:color w:val="000000" w:themeColor="text1"/>
          <w:spacing w:val="-4"/>
          <w:sz w:val="28"/>
          <w:szCs w:val="28"/>
          <w:lang w:eastAsia="ru-RU"/>
        </w:rPr>
        <w:t>Мопра</w:t>
      </w:r>
      <w:proofErr w:type="spellEnd"/>
      <w:r w:rsidRPr="002745CF">
        <w:rPr>
          <w:rFonts w:ascii="Times New Roman" w:eastAsia="Times New Roman" w:hAnsi="Times New Roman" w:cs="Times New Roman"/>
          <w:snapToGrid w:val="0"/>
          <w:color w:val="000000" w:themeColor="text1"/>
          <w:spacing w:val="-4"/>
          <w:sz w:val="28"/>
          <w:szCs w:val="28"/>
          <w:lang w:eastAsia="ru-RU"/>
        </w:rPr>
        <w:t>»; «Второй этап реконструкции Тульского велотрека» (г. Тула, проспект Ленина, д.87);</w:t>
      </w:r>
    </w:p>
    <w:p w14:paraId="025EA409" w14:textId="77777777" w:rsidR="007B19BD" w:rsidRPr="00BB12B8" w:rsidRDefault="007B19BD" w:rsidP="00170822">
      <w:pPr>
        <w:widowControl w:val="0"/>
        <w:spacing w:before="60" w:after="0" w:line="240" w:lineRule="auto"/>
        <w:ind w:firstLine="720"/>
        <w:rPr>
          <w:rFonts w:ascii="Times New Roman" w:eastAsia="Times New Roman" w:hAnsi="Times New Roman" w:cs="Times New Roman"/>
          <w:i/>
          <w:snapToGrid w:val="0"/>
          <w:sz w:val="28"/>
          <w:szCs w:val="28"/>
          <w:lang w:eastAsia="ru-RU"/>
        </w:rPr>
      </w:pPr>
      <w:r w:rsidRPr="00BB12B8">
        <w:rPr>
          <w:rFonts w:ascii="Times New Roman" w:eastAsia="Times New Roman" w:hAnsi="Times New Roman" w:cs="Times New Roman"/>
          <w:i/>
          <w:snapToGrid w:val="0"/>
          <w:sz w:val="28"/>
          <w:szCs w:val="28"/>
          <w:lang w:eastAsia="ru-RU"/>
        </w:rPr>
        <w:t>«Информационное общество Тульской области»</w:t>
      </w:r>
    </w:p>
    <w:p w14:paraId="03C7A6E5" w14:textId="77777777" w:rsidR="007B19BD" w:rsidRDefault="007B19BD" w:rsidP="007B19BD">
      <w:pPr>
        <w:widowControl w:val="0"/>
        <w:spacing w:after="0" w:line="240" w:lineRule="auto"/>
        <w:ind w:firstLine="720"/>
        <w:jc w:val="both"/>
      </w:pPr>
      <w:r w:rsidRPr="0071237A">
        <w:rPr>
          <w:rFonts w:ascii="Times New Roman" w:eastAsia="Times New Roman" w:hAnsi="Times New Roman" w:cs="Times New Roman"/>
          <w:snapToGrid w:val="0"/>
          <w:color w:val="000000" w:themeColor="text1"/>
          <w:sz w:val="28"/>
          <w:szCs w:val="28"/>
          <w:lang w:eastAsia="ru-RU"/>
        </w:rPr>
        <w:t>- на строительство нежилого офисного здания многофункционального центра предоставления государственных и муниципальных услуг «Флагманский центр «Мои документы</w:t>
      </w:r>
      <w:r w:rsidRPr="0071237A">
        <w:rPr>
          <w:rFonts w:ascii="Times New Roman" w:eastAsia="Times New Roman" w:hAnsi="Times New Roman" w:cs="Times New Roman"/>
          <w:snapToGrid w:val="0"/>
          <w:sz w:val="28"/>
          <w:szCs w:val="28"/>
          <w:lang w:eastAsia="ru-RU"/>
        </w:rPr>
        <w:t xml:space="preserve">» в </w:t>
      </w:r>
      <w:r w:rsidRPr="003803DC">
        <w:rPr>
          <w:rFonts w:ascii="Times New Roman" w:eastAsia="Times New Roman" w:hAnsi="Times New Roman" w:cs="Times New Roman"/>
          <w:snapToGrid w:val="0"/>
          <w:sz w:val="28"/>
          <w:szCs w:val="28"/>
          <w:lang w:eastAsia="ru-RU"/>
        </w:rPr>
        <w:t xml:space="preserve">рамках регионального проекта «Флагманский центр «Мои документы» </w:t>
      </w:r>
      <w:r w:rsidRPr="0071237A">
        <w:rPr>
          <w:rFonts w:ascii="Times New Roman" w:eastAsia="Times New Roman" w:hAnsi="Times New Roman" w:cs="Times New Roman"/>
          <w:snapToGrid w:val="0"/>
          <w:sz w:val="28"/>
          <w:szCs w:val="28"/>
          <w:lang w:eastAsia="ru-RU"/>
        </w:rPr>
        <w:t xml:space="preserve">в 2022 году – 100 000,0 </w:t>
      </w:r>
      <w:r>
        <w:rPr>
          <w:rFonts w:ascii="Times New Roman" w:eastAsia="Times New Roman" w:hAnsi="Times New Roman" w:cs="Times New Roman"/>
          <w:snapToGrid w:val="0"/>
          <w:sz w:val="28"/>
          <w:szCs w:val="28"/>
          <w:lang w:eastAsia="ru-RU"/>
        </w:rPr>
        <w:t>тыс. рублей</w:t>
      </w:r>
      <w:r w:rsidRPr="0071237A">
        <w:rPr>
          <w:rFonts w:ascii="Times New Roman" w:eastAsia="Times New Roman" w:hAnsi="Times New Roman" w:cs="Times New Roman"/>
          <w:snapToGrid w:val="0"/>
          <w:sz w:val="28"/>
          <w:szCs w:val="28"/>
          <w:lang w:eastAsia="ru-RU"/>
        </w:rPr>
        <w:t xml:space="preserve">, в 2023 году - 97 362,9 </w:t>
      </w:r>
      <w:r>
        <w:rPr>
          <w:rFonts w:ascii="Times New Roman" w:eastAsia="Times New Roman" w:hAnsi="Times New Roman" w:cs="Times New Roman"/>
          <w:snapToGrid w:val="0"/>
          <w:sz w:val="28"/>
          <w:szCs w:val="28"/>
          <w:lang w:eastAsia="ru-RU"/>
        </w:rPr>
        <w:t>тыс. рублей</w:t>
      </w:r>
      <w:r w:rsidRPr="0071237A">
        <w:rPr>
          <w:rFonts w:ascii="Times New Roman" w:eastAsia="Times New Roman" w:hAnsi="Times New Roman" w:cs="Times New Roman"/>
          <w:snapToGrid w:val="0"/>
          <w:sz w:val="28"/>
          <w:szCs w:val="28"/>
          <w:lang w:eastAsia="ru-RU"/>
        </w:rPr>
        <w:t>.</w:t>
      </w:r>
    </w:p>
    <w:p w14:paraId="2B4DC7DE" w14:textId="77777777" w:rsidR="007B19BD" w:rsidRPr="007E7605" w:rsidRDefault="007B19BD" w:rsidP="007B19BD">
      <w:pPr>
        <w:spacing w:before="120" w:after="0" w:line="240" w:lineRule="auto"/>
        <w:ind w:firstLine="709"/>
        <w:jc w:val="both"/>
        <w:rPr>
          <w:rFonts w:ascii="Times New Roman" w:hAnsi="Times New Roman" w:cs="Times New Roman"/>
          <w:sz w:val="28"/>
          <w:szCs w:val="28"/>
        </w:rPr>
      </w:pPr>
      <w:r w:rsidRPr="00D30375">
        <w:rPr>
          <w:rFonts w:ascii="Times New Roman" w:hAnsi="Times New Roman" w:cs="Times New Roman"/>
          <w:sz w:val="28"/>
          <w:szCs w:val="28"/>
        </w:rPr>
        <w:t>Расходы на предоставление средств из бюджета области</w:t>
      </w:r>
      <w:r w:rsidRPr="00D30375">
        <w:rPr>
          <w:rFonts w:ascii="Times New Roman" w:hAnsi="Times New Roman" w:cs="Times New Roman"/>
          <w:i/>
          <w:sz w:val="28"/>
          <w:szCs w:val="28"/>
        </w:rPr>
        <w:t xml:space="preserve"> юридическим лицам, не являющимся государственными (муниципальными) учреждениями и </w:t>
      </w:r>
      <w:r w:rsidRPr="007E7605">
        <w:rPr>
          <w:rFonts w:ascii="Times New Roman" w:hAnsi="Times New Roman" w:cs="Times New Roman"/>
          <w:i/>
          <w:sz w:val="28"/>
          <w:szCs w:val="28"/>
        </w:rPr>
        <w:lastRenderedPageBreak/>
        <w:t>государственными (муниципальными) унитарными предприятиями</w:t>
      </w:r>
      <w:r>
        <w:rPr>
          <w:rFonts w:ascii="Times New Roman" w:hAnsi="Times New Roman" w:cs="Times New Roman"/>
          <w:i/>
          <w:sz w:val="28"/>
          <w:szCs w:val="28"/>
        </w:rPr>
        <w:t>,</w:t>
      </w:r>
      <w:r w:rsidRPr="007E7605">
        <w:rPr>
          <w:rFonts w:ascii="Times New Roman" w:hAnsi="Times New Roman" w:cs="Times New Roman"/>
          <w:i/>
          <w:sz w:val="28"/>
          <w:szCs w:val="28"/>
        </w:rPr>
        <w:t xml:space="preserve"> </w:t>
      </w:r>
      <w:r w:rsidRPr="007E7605">
        <w:rPr>
          <w:rFonts w:ascii="Times New Roman" w:hAnsi="Times New Roman" w:cs="Times New Roman"/>
          <w:sz w:val="28"/>
          <w:szCs w:val="28"/>
        </w:rPr>
        <w:t xml:space="preserve">на 2022 год запланированы в объеме 3 627 534,7 </w:t>
      </w:r>
      <w:r>
        <w:rPr>
          <w:rFonts w:ascii="Times New Roman" w:hAnsi="Times New Roman" w:cs="Times New Roman"/>
          <w:sz w:val="28"/>
          <w:szCs w:val="28"/>
        </w:rPr>
        <w:t>тыс. рублей</w:t>
      </w:r>
      <w:r w:rsidRPr="007E7605">
        <w:rPr>
          <w:rFonts w:ascii="Times New Roman" w:hAnsi="Times New Roman" w:cs="Times New Roman"/>
          <w:sz w:val="28"/>
          <w:szCs w:val="28"/>
          <w:vertAlign w:val="superscript"/>
        </w:rPr>
        <w:footnoteReference w:id="22"/>
      </w:r>
      <w:r w:rsidRPr="007E7605">
        <w:rPr>
          <w:rFonts w:ascii="Times New Roman" w:hAnsi="Times New Roman" w:cs="Times New Roman"/>
          <w:sz w:val="28"/>
          <w:szCs w:val="28"/>
        </w:rPr>
        <w:t>, из них:</w:t>
      </w:r>
    </w:p>
    <w:p w14:paraId="61F96447" w14:textId="77777777" w:rsidR="007B19BD" w:rsidRPr="007E7605" w:rsidRDefault="007B19BD" w:rsidP="007B19BD">
      <w:pPr>
        <w:spacing w:after="0" w:line="240" w:lineRule="auto"/>
        <w:ind w:firstLine="709"/>
        <w:jc w:val="both"/>
        <w:rPr>
          <w:rFonts w:ascii="Times New Roman" w:hAnsi="Times New Roman" w:cs="Times New Roman"/>
          <w:sz w:val="28"/>
          <w:szCs w:val="28"/>
        </w:rPr>
      </w:pPr>
      <w:r w:rsidRPr="007E7605">
        <w:rPr>
          <w:rFonts w:ascii="Times New Roman" w:hAnsi="Times New Roman" w:cs="Times New Roman"/>
          <w:i/>
          <w:sz w:val="28"/>
          <w:szCs w:val="28"/>
        </w:rPr>
        <w:t xml:space="preserve">1 311 285,0 </w:t>
      </w:r>
      <w:r>
        <w:rPr>
          <w:rFonts w:ascii="Times New Roman" w:hAnsi="Times New Roman" w:cs="Times New Roman"/>
          <w:i/>
          <w:sz w:val="28"/>
          <w:szCs w:val="28"/>
        </w:rPr>
        <w:t>тыс. рублей</w:t>
      </w:r>
      <w:r w:rsidRPr="007E7605">
        <w:rPr>
          <w:rFonts w:ascii="Times New Roman" w:hAnsi="Times New Roman" w:cs="Times New Roman"/>
          <w:i/>
          <w:sz w:val="28"/>
          <w:szCs w:val="28"/>
        </w:rPr>
        <w:t xml:space="preserve"> (КВР 630)</w:t>
      </w:r>
      <w:r w:rsidRPr="007E7605">
        <w:rPr>
          <w:rFonts w:ascii="Times New Roman" w:hAnsi="Times New Roman" w:cs="Times New Roman"/>
          <w:sz w:val="28"/>
          <w:szCs w:val="28"/>
        </w:rPr>
        <w:t xml:space="preserve"> –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том числе:</w:t>
      </w:r>
    </w:p>
    <w:p w14:paraId="3788EB12" w14:textId="77777777" w:rsidR="007B19BD" w:rsidRPr="007E7605" w:rsidRDefault="007B19BD" w:rsidP="007B19BD">
      <w:pPr>
        <w:spacing w:after="0" w:line="240" w:lineRule="auto"/>
        <w:ind w:firstLine="709"/>
        <w:jc w:val="both"/>
        <w:rPr>
          <w:rFonts w:ascii="Times New Roman" w:hAnsi="Times New Roman" w:cs="Times New Roman"/>
          <w:sz w:val="28"/>
          <w:szCs w:val="28"/>
        </w:rPr>
      </w:pPr>
      <w:r w:rsidRPr="007E7605">
        <w:rPr>
          <w:rFonts w:ascii="Times New Roman" w:hAnsi="Times New Roman" w:cs="Times New Roman"/>
          <w:sz w:val="28"/>
          <w:szCs w:val="28"/>
        </w:rPr>
        <w:t xml:space="preserve">- 726 901,6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 предоставление субсидий в виде имущественных взносов в организации (фонды);</w:t>
      </w:r>
    </w:p>
    <w:p w14:paraId="1AAEE9A8" w14:textId="77777777" w:rsidR="007B19BD" w:rsidRPr="007E7605" w:rsidRDefault="007B19BD" w:rsidP="007B19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7605">
        <w:rPr>
          <w:rFonts w:ascii="Times New Roman" w:hAnsi="Times New Roman" w:cs="Times New Roman"/>
          <w:sz w:val="28"/>
          <w:szCs w:val="28"/>
        </w:rPr>
        <w:t xml:space="preserve"> 584 383,4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 субсидии Фонду капитального ремонта Тульской области на выполнение работ по замене лифтов (100 000,0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и на возмещение части затрат на выполнение работ по капитальному ремонту общего имущества в многоквартирных домах (180 000,0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субсидии Фонду «Инновационный научно-технологический центр «Композитная долина» в целях осуществления научно-технологической деятельности в сфере композитных материалов (100 000,0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субсидии иным некоммерческим организациям (133 015,4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кроме того, гранты (24 525,0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выплаты компенсаций (200,0 </w:t>
      </w:r>
      <w:r>
        <w:rPr>
          <w:rFonts w:ascii="Times New Roman" w:hAnsi="Times New Roman" w:cs="Times New Roman"/>
          <w:sz w:val="28"/>
          <w:szCs w:val="28"/>
        </w:rPr>
        <w:t>тыс. рублей</w:t>
      </w:r>
      <w:r w:rsidRPr="007E7605">
        <w:rPr>
          <w:rFonts w:ascii="Times New Roman" w:hAnsi="Times New Roman" w:cs="Times New Roman"/>
          <w:sz w:val="28"/>
          <w:szCs w:val="28"/>
        </w:rPr>
        <w:t>), оказание экономической поддержки Ассоциации «Совет муниципальных обра</w:t>
      </w:r>
      <w:r w:rsidRPr="00D30375">
        <w:rPr>
          <w:rFonts w:ascii="Times New Roman" w:hAnsi="Times New Roman" w:cs="Times New Roman"/>
          <w:sz w:val="28"/>
          <w:szCs w:val="28"/>
        </w:rPr>
        <w:t xml:space="preserve">зований Тульской </w:t>
      </w:r>
      <w:r w:rsidRPr="007E7605">
        <w:rPr>
          <w:rFonts w:ascii="Times New Roman" w:hAnsi="Times New Roman" w:cs="Times New Roman"/>
          <w:sz w:val="28"/>
          <w:szCs w:val="28"/>
        </w:rPr>
        <w:t xml:space="preserve">области» (46 643,0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w:t>
      </w:r>
    </w:p>
    <w:p w14:paraId="43469CE2" w14:textId="77777777" w:rsidR="007B19BD" w:rsidRPr="007E7605" w:rsidRDefault="007B19BD" w:rsidP="007B19BD">
      <w:pPr>
        <w:spacing w:before="60" w:after="0" w:line="240" w:lineRule="auto"/>
        <w:ind w:firstLine="709"/>
        <w:jc w:val="both"/>
        <w:rPr>
          <w:rFonts w:ascii="Times New Roman" w:hAnsi="Times New Roman" w:cs="Times New Roman"/>
          <w:sz w:val="28"/>
          <w:szCs w:val="28"/>
        </w:rPr>
      </w:pPr>
      <w:r w:rsidRPr="007E7605">
        <w:rPr>
          <w:rFonts w:ascii="Times New Roman" w:hAnsi="Times New Roman" w:cs="Times New Roman"/>
          <w:i/>
          <w:sz w:val="28"/>
          <w:szCs w:val="28"/>
        </w:rPr>
        <w:t xml:space="preserve">2 316 249,7 </w:t>
      </w:r>
      <w:r>
        <w:rPr>
          <w:rFonts w:ascii="Times New Roman" w:hAnsi="Times New Roman" w:cs="Times New Roman"/>
          <w:i/>
          <w:sz w:val="28"/>
          <w:szCs w:val="28"/>
        </w:rPr>
        <w:t>тыс. рублей</w:t>
      </w:r>
      <w:r w:rsidRPr="007E7605">
        <w:rPr>
          <w:rFonts w:ascii="Times New Roman" w:hAnsi="Times New Roman" w:cs="Times New Roman"/>
          <w:i/>
          <w:sz w:val="28"/>
          <w:szCs w:val="28"/>
        </w:rPr>
        <w:t xml:space="preserve"> (КВР 810)</w:t>
      </w:r>
      <w:r w:rsidRPr="007E7605">
        <w:rPr>
          <w:rFonts w:ascii="Times New Roman" w:hAnsi="Times New Roman" w:cs="Times New Roman"/>
          <w:sz w:val="28"/>
          <w:szCs w:val="28"/>
        </w:rPr>
        <w:t xml:space="preserve"> – субсидии юридическим лицам (кроме некоммерческих организаций), индивидуальным предпринимателям, физическим лицам – производителям товаров, работ, услуг. Основной объем субсидий планируется направить: на поддержку отраслей растениеводства, животноводства (802 582,3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на стимулирование развития приоритетных </w:t>
      </w:r>
      <w:proofErr w:type="spellStart"/>
      <w:r w:rsidRPr="007E7605">
        <w:rPr>
          <w:rFonts w:ascii="Times New Roman" w:hAnsi="Times New Roman" w:cs="Times New Roman"/>
          <w:sz w:val="28"/>
          <w:szCs w:val="28"/>
        </w:rPr>
        <w:t>подотраслей</w:t>
      </w:r>
      <w:proofErr w:type="spellEnd"/>
      <w:r w:rsidRPr="007E7605">
        <w:rPr>
          <w:rFonts w:ascii="Times New Roman" w:hAnsi="Times New Roman" w:cs="Times New Roman"/>
          <w:sz w:val="28"/>
          <w:szCs w:val="28"/>
        </w:rPr>
        <w:t xml:space="preserve"> агропромышленного комплекса и развитие малых форм хозяйствования (415 437,1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на создание системы поддержки фермеров и развитие сельской кооперации (36 040,6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на </w:t>
      </w:r>
      <w:r w:rsidRPr="00D30375">
        <w:rPr>
          <w:rFonts w:ascii="Times New Roman" w:hAnsi="Times New Roman" w:cs="Times New Roman"/>
          <w:sz w:val="28"/>
          <w:szCs w:val="28"/>
        </w:rPr>
        <w:t>возмещение части затрат на уплату про</w:t>
      </w:r>
      <w:r w:rsidRPr="007E7605">
        <w:rPr>
          <w:rFonts w:ascii="Times New Roman" w:hAnsi="Times New Roman" w:cs="Times New Roman"/>
          <w:sz w:val="28"/>
          <w:szCs w:val="28"/>
        </w:rPr>
        <w:t xml:space="preserve">центов по инвестиционным кредитам (займам) в агропромышленном комплексе (193 610,2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на компенсацию потерь в доходах, возникающих в результате государственного </w:t>
      </w:r>
      <w:r w:rsidRPr="00D30375">
        <w:rPr>
          <w:rFonts w:ascii="Times New Roman" w:hAnsi="Times New Roman" w:cs="Times New Roman"/>
          <w:sz w:val="28"/>
          <w:szCs w:val="28"/>
        </w:rPr>
        <w:t xml:space="preserve">регулирования тарифов и предоставления льгот отдельным категориям </w:t>
      </w:r>
      <w:r w:rsidRPr="007E7605">
        <w:rPr>
          <w:rFonts w:ascii="Times New Roman" w:hAnsi="Times New Roman" w:cs="Times New Roman"/>
          <w:sz w:val="28"/>
          <w:szCs w:val="28"/>
        </w:rPr>
        <w:t xml:space="preserve">граждан в пригородном сообщении, организациям железнодорожного транспорта (455 028,2 </w:t>
      </w:r>
      <w:r>
        <w:rPr>
          <w:rFonts w:ascii="Times New Roman" w:hAnsi="Times New Roman" w:cs="Times New Roman"/>
          <w:sz w:val="28"/>
          <w:szCs w:val="28"/>
        </w:rPr>
        <w:t>тыс. рублей</w:t>
      </w:r>
      <w:r w:rsidRPr="007E7605">
        <w:rPr>
          <w:rFonts w:ascii="Times New Roman" w:hAnsi="Times New Roman" w:cs="Times New Roman"/>
          <w:sz w:val="28"/>
          <w:szCs w:val="28"/>
        </w:rPr>
        <w:t>);</w:t>
      </w:r>
      <w:r>
        <w:rPr>
          <w:rFonts w:ascii="Times New Roman" w:hAnsi="Times New Roman" w:cs="Times New Roman"/>
          <w:sz w:val="28"/>
          <w:szCs w:val="28"/>
        </w:rPr>
        <w:t xml:space="preserve"> </w:t>
      </w:r>
      <w:r w:rsidRPr="007E7605">
        <w:rPr>
          <w:rFonts w:ascii="Times New Roman" w:hAnsi="Times New Roman" w:cs="Times New Roman"/>
          <w:sz w:val="28"/>
          <w:szCs w:val="28"/>
        </w:rPr>
        <w:t xml:space="preserve">на развитие заправочной инфраструктуры компримированного природного газа (144 000,0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субсидии уполномоченной организации в сфере создания и развития инфраструктуры индустриальных парков на возмещение затрат в связи с производством (реализацией) товаров, выполнением работ и оказанием услуг (50 000,0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субсидии юридическим лицам (кроме некоммерческих организаций), индивидуальным предпринимателям, имеющим статус социальных предприятий, на реализацию социальных проектов (65 885,9 </w:t>
      </w:r>
      <w:r>
        <w:rPr>
          <w:rFonts w:ascii="Times New Roman" w:hAnsi="Times New Roman" w:cs="Times New Roman"/>
          <w:sz w:val="28"/>
          <w:szCs w:val="28"/>
        </w:rPr>
        <w:lastRenderedPageBreak/>
        <w:t>тыс. рублей</w:t>
      </w:r>
      <w:r w:rsidRPr="007E7605">
        <w:rPr>
          <w:rFonts w:ascii="Times New Roman" w:hAnsi="Times New Roman" w:cs="Times New Roman"/>
          <w:sz w:val="28"/>
          <w:szCs w:val="28"/>
        </w:rPr>
        <w:t xml:space="preserve">, в том числе на предоставление грантов </w:t>
      </w:r>
      <w:r>
        <w:rPr>
          <w:rFonts w:ascii="Times New Roman" w:hAnsi="Times New Roman" w:cs="Times New Roman"/>
          <w:sz w:val="28"/>
          <w:szCs w:val="28"/>
        </w:rPr>
        <w:t xml:space="preserve">- </w:t>
      </w:r>
      <w:r w:rsidRPr="007E7605">
        <w:rPr>
          <w:rFonts w:ascii="Times New Roman" w:hAnsi="Times New Roman" w:cs="Times New Roman"/>
          <w:sz w:val="28"/>
          <w:szCs w:val="28"/>
        </w:rPr>
        <w:t xml:space="preserve">54 681,5 </w:t>
      </w:r>
      <w:r>
        <w:rPr>
          <w:rFonts w:ascii="Times New Roman" w:hAnsi="Times New Roman" w:cs="Times New Roman"/>
          <w:sz w:val="28"/>
          <w:szCs w:val="28"/>
        </w:rPr>
        <w:t>тыс. рублей</w:t>
      </w:r>
      <w:r w:rsidRPr="007E7605">
        <w:rPr>
          <w:rFonts w:ascii="Times New Roman" w:hAnsi="Times New Roman" w:cs="Times New Roman"/>
          <w:sz w:val="28"/>
          <w:szCs w:val="28"/>
        </w:rPr>
        <w:t xml:space="preserve">); субсидии юридическим лицам (кроме некоммерческих организаций), индивидуальным предпринимателям на финансовое обеспечение затрат, связанных с уплатой первого взноса договора лизинга (20 000,0 </w:t>
      </w:r>
      <w:r>
        <w:rPr>
          <w:rFonts w:ascii="Times New Roman" w:hAnsi="Times New Roman" w:cs="Times New Roman"/>
          <w:sz w:val="28"/>
          <w:szCs w:val="28"/>
        </w:rPr>
        <w:t>тыс. рублей</w:t>
      </w:r>
      <w:r w:rsidRPr="007E7605">
        <w:rPr>
          <w:rFonts w:ascii="Times New Roman" w:hAnsi="Times New Roman" w:cs="Times New Roman"/>
          <w:sz w:val="28"/>
          <w:szCs w:val="28"/>
        </w:rPr>
        <w:t>).</w:t>
      </w:r>
    </w:p>
    <w:p w14:paraId="06FD758D" w14:textId="591C2D2C" w:rsidR="007B19BD" w:rsidRPr="005E19D8" w:rsidRDefault="00290FBC" w:rsidP="00170822">
      <w:pPr>
        <w:spacing w:before="120" w:after="0" w:line="240" w:lineRule="auto"/>
        <w:ind w:firstLine="709"/>
        <w:jc w:val="both"/>
        <w:rPr>
          <w:rFonts w:ascii="Times New Roman" w:eastAsia="Times New Roman" w:hAnsi="Times New Roman" w:cs="Times New Roman"/>
          <w:sz w:val="28"/>
          <w:szCs w:val="28"/>
          <w:lang w:eastAsia="ru-RU"/>
        </w:rPr>
      </w:pPr>
      <w:r w:rsidRPr="00A5067C">
        <w:rPr>
          <w:rFonts w:ascii="Times New Roman" w:eastAsia="Times New Roman" w:hAnsi="Times New Roman" w:cs="Times New Roman"/>
          <w:b/>
          <w:sz w:val="28"/>
          <w:szCs w:val="28"/>
          <w:lang w:eastAsia="ru-RU"/>
        </w:rPr>
        <w:t>3.3.2</w:t>
      </w:r>
      <w:r w:rsidR="00A5067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7B19BD" w:rsidRPr="007E7605">
        <w:rPr>
          <w:rFonts w:ascii="Times New Roman" w:eastAsia="Times New Roman" w:hAnsi="Times New Roman" w:cs="Times New Roman"/>
          <w:sz w:val="28"/>
          <w:szCs w:val="28"/>
          <w:lang w:eastAsia="ru-RU"/>
        </w:rPr>
        <w:t xml:space="preserve">По сравнению с 2022 годом, в плановом периоде объем расходов на предоставление </w:t>
      </w:r>
      <w:r w:rsidR="007B19BD" w:rsidRPr="00290FBC">
        <w:rPr>
          <w:rFonts w:ascii="Times New Roman" w:eastAsia="Times New Roman" w:hAnsi="Times New Roman" w:cs="Times New Roman"/>
          <w:sz w:val="28"/>
          <w:szCs w:val="28"/>
          <w:lang w:eastAsia="ru-RU"/>
        </w:rPr>
        <w:t>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w:t>
      </w:r>
      <w:r w:rsidR="007B19BD" w:rsidRPr="007E7605">
        <w:rPr>
          <w:rFonts w:ascii="Times New Roman" w:eastAsia="Times New Roman" w:hAnsi="Times New Roman" w:cs="Times New Roman"/>
          <w:sz w:val="28"/>
          <w:szCs w:val="28"/>
          <w:lang w:eastAsia="ru-RU"/>
        </w:rPr>
        <w:t xml:space="preserve"> предполагается: в 2023 году – уменьшить на 481 635,3 </w:t>
      </w:r>
      <w:r w:rsidR="007B19BD">
        <w:rPr>
          <w:rFonts w:ascii="Times New Roman" w:eastAsia="Times New Roman" w:hAnsi="Times New Roman" w:cs="Times New Roman"/>
          <w:sz w:val="28"/>
          <w:szCs w:val="28"/>
          <w:lang w:eastAsia="ru-RU"/>
        </w:rPr>
        <w:t>тыс. рублей</w:t>
      </w:r>
      <w:r w:rsidR="007B19BD" w:rsidRPr="007E7605">
        <w:rPr>
          <w:rFonts w:ascii="Times New Roman" w:eastAsia="Times New Roman" w:hAnsi="Times New Roman" w:cs="Times New Roman"/>
          <w:sz w:val="28"/>
          <w:szCs w:val="28"/>
          <w:lang w:eastAsia="ru-RU"/>
        </w:rPr>
        <w:t xml:space="preserve">, или на 13,3%; в 2024 году – уменьшить на 605 455,3 </w:t>
      </w:r>
      <w:r w:rsidR="007B19BD">
        <w:rPr>
          <w:rFonts w:ascii="Times New Roman" w:eastAsia="Times New Roman" w:hAnsi="Times New Roman" w:cs="Times New Roman"/>
          <w:sz w:val="28"/>
          <w:szCs w:val="28"/>
          <w:lang w:eastAsia="ru-RU"/>
        </w:rPr>
        <w:t>тыс. рублей</w:t>
      </w:r>
      <w:r w:rsidR="007B19BD" w:rsidRPr="007E7605">
        <w:rPr>
          <w:rFonts w:ascii="Times New Roman" w:eastAsia="Times New Roman" w:hAnsi="Times New Roman" w:cs="Times New Roman"/>
          <w:sz w:val="28"/>
          <w:szCs w:val="28"/>
          <w:lang w:eastAsia="ru-RU"/>
        </w:rPr>
        <w:t xml:space="preserve">, или на 16,7%. Доля </w:t>
      </w:r>
      <w:r w:rsidR="007B19BD" w:rsidRPr="00D30375">
        <w:rPr>
          <w:rFonts w:ascii="Times New Roman" w:eastAsia="Times New Roman" w:hAnsi="Times New Roman" w:cs="Times New Roman"/>
          <w:sz w:val="28"/>
          <w:szCs w:val="28"/>
          <w:lang w:eastAsia="ru-RU"/>
        </w:rPr>
        <w:t>расходов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в общем объеме расходов бюджета области в 202</w:t>
      </w:r>
      <w:r w:rsidR="007B19BD">
        <w:rPr>
          <w:rFonts w:ascii="Times New Roman" w:eastAsia="Times New Roman" w:hAnsi="Times New Roman" w:cs="Times New Roman"/>
          <w:sz w:val="28"/>
          <w:szCs w:val="28"/>
          <w:lang w:eastAsia="ru-RU"/>
        </w:rPr>
        <w:t>2</w:t>
      </w:r>
      <w:r w:rsidR="007B19BD" w:rsidRPr="00D30375">
        <w:rPr>
          <w:rFonts w:ascii="Times New Roman" w:eastAsia="Times New Roman" w:hAnsi="Times New Roman" w:cs="Times New Roman"/>
          <w:sz w:val="28"/>
          <w:szCs w:val="28"/>
          <w:lang w:eastAsia="ru-RU"/>
        </w:rPr>
        <w:t xml:space="preserve"> году </w:t>
      </w:r>
      <w:r w:rsidR="007B19BD" w:rsidRPr="005E19D8">
        <w:rPr>
          <w:rFonts w:ascii="Times New Roman" w:eastAsia="Times New Roman" w:hAnsi="Times New Roman" w:cs="Times New Roman"/>
          <w:sz w:val="28"/>
          <w:szCs w:val="28"/>
          <w:lang w:eastAsia="ru-RU"/>
        </w:rPr>
        <w:t>составит 3,7%, в 2023 году – 3,3%, в 2024 году – 3,1%.</w:t>
      </w:r>
    </w:p>
    <w:p w14:paraId="449367D5" w14:textId="77777777" w:rsidR="007B19BD" w:rsidRPr="00D30375" w:rsidRDefault="007B19BD" w:rsidP="007B19BD">
      <w:pPr>
        <w:spacing w:before="60" w:after="0" w:line="240" w:lineRule="auto"/>
        <w:ind w:firstLine="709"/>
        <w:jc w:val="both"/>
        <w:rPr>
          <w:rFonts w:ascii="Times New Roman" w:hAnsi="Times New Roman" w:cs="Times New Roman"/>
          <w:sz w:val="28"/>
          <w:szCs w:val="28"/>
        </w:rPr>
      </w:pPr>
      <w:r w:rsidRPr="00D30375">
        <w:rPr>
          <w:rFonts w:ascii="Times New Roman" w:hAnsi="Times New Roman" w:cs="Times New Roman"/>
          <w:sz w:val="28"/>
          <w:szCs w:val="28"/>
        </w:rPr>
        <w:t>В 202</w:t>
      </w:r>
      <w:r>
        <w:rPr>
          <w:rFonts w:ascii="Times New Roman" w:hAnsi="Times New Roman" w:cs="Times New Roman"/>
          <w:sz w:val="28"/>
          <w:szCs w:val="28"/>
        </w:rPr>
        <w:t>2</w:t>
      </w:r>
      <w:r w:rsidRPr="00D30375">
        <w:rPr>
          <w:rFonts w:ascii="Times New Roman" w:hAnsi="Times New Roman" w:cs="Times New Roman"/>
          <w:sz w:val="28"/>
          <w:szCs w:val="28"/>
        </w:rPr>
        <w:t xml:space="preserve"> году из </w:t>
      </w:r>
      <w:r w:rsidRPr="005E19D8">
        <w:rPr>
          <w:rFonts w:ascii="Times New Roman" w:hAnsi="Times New Roman" w:cs="Times New Roman"/>
          <w:sz w:val="28"/>
          <w:szCs w:val="28"/>
        </w:rPr>
        <w:t xml:space="preserve">14 ГРБС, </w:t>
      </w:r>
      <w:r w:rsidRPr="00D30375">
        <w:rPr>
          <w:rFonts w:ascii="Times New Roman" w:hAnsi="Times New Roman" w:cs="Times New Roman"/>
          <w:sz w:val="28"/>
          <w:szCs w:val="28"/>
        </w:rPr>
        <w:t xml:space="preserve">по которым запланировано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467453">
        <w:rPr>
          <w:rFonts w:ascii="Times New Roman" w:hAnsi="Times New Roman" w:cs="Times New Roman"/>
          <w:sz w:val="28"/>
          <w:szCs w:val="28"/>
        </w:rPr>
        <w:t xml:space="preserve">наибольший объем расходов предусмотрен </w:t>
      </w:r>
      <w:r w:rsidRPr="005E19D8">
        <w:rPr>
          <w:rFonts w:ascii="Times New Roman" w:hAnsi="Times New Roman" w:cs="Times New Roman"/>
          <w:sz w:val="28"/>
          <w:szCs w:val="28"/>
        </w:rPr>
        <w:t xml:space="preserve">министерству сельского хозяйства области (40,7%), министерству жилищно-коммунального хозяйства области (14,3%), министерству транспорта и дорожного хозяйства области (13,2%). </w:t>
      </w:r>
      <w:r w:rsidRPr="00D30375">
        <w:rPr>
          <w:rFonts w:ascii="Times New Roman" w:hAnsi="Times New Roman" w:cs="Times New Roman"/>
          <w:sz w:val="28"/>
          <w:szCs w:val="28"/>
        </w:rPr>
        <w:t xml:space="preserve">Информация в разрезе ГРБС представлена в </w:t>
      </w:r>
      <w:r w:rsidRPr="002745CF">
        <w:rPr>
          <w:rFonts w:ascii="Times New Roman" w:hAnsi="Times New Roman" w:cs="Times New Roman"/>
          <w:sz w:val="28"/>
          <w:szCs w:val="28"/>
        </w:rPr>
        <w:t>приложении №6</w:t>
      </w:r>
      <w:r w:rsidRPr="00D30375">
        <w:rPr>
          <w:rFonts w:ascii="Times New Roman" w:hAnsi="Times New Roman" w:cs="Times New Roman"/>
          <w:sz w:val="28"/>
          <w:szCs w:val="28"/>
        </w:rPr>
        <w:t xml:space="preserve"> к заключению.</w:t>
      </w:r>
    </w:p>
    <w:p w14:paraId="21E516F6" w14:textId="2C074A91" w:rsidR="007B19BD" w:rsidRPr="006D57CE" w:rsidRDefault="00290FBC" w:rsidP="00170822">
      <w:pPr>
        <w:spacing w:before="120" w:after="0" w:line="240" w:lineRule="auto"/>
        <w:ind w:firstLine="720"/>
        <w:jc w:val="both"/>
        <w:rPr>
          <w:rFonts w:ascii="Times New Roman" w:hAnsi="Times New Roman" w:cs="Times New Roman"/>
          <w:snapToGrid w:val="0"/>
          <w:color w:val="000000" w:themeColor="text1"/>
          <w:sz w:val="28"/>
          <w:szCs w:val="28"/>
          <w:lang w:eastAsia="ru-RU"/>
        </w:rPr>
      </w:pPr>
      <w:r w:rsidRPr="00A5067C">
        <w:rPr>
          <w:rFonts w:ascii="Times New Roman" w:hAnsi="Times New Roman" w:cs="Times New Roman"/>
          <w:b/>
          <w:snapToGrid w:val="0"/>
          <w:color w:val="000000"/>
          <w:sz w:val="28"/>
          <w:szCs w:val="28"/>
          <w:lang w:eastAsia="ru-RU"/>
        </w:rPr>
        <w:t>3.3.3.</w:t>
      </w:r>
      <w:r w:rsidR="00A5067C">
        <w:rPr>
          <w:rFonts w:ascii="Times New Roman" w:hAnsi="Times New Roman" w:cs="Times New Roman"/>
          <w:b/>
          <w:snapToGrid w:val="0"/>
          <w:color w:val="000000"/>
          <w:sz w:val="28"/>
          <w:szCs w:val="28"/>
          <w:lang w:eastAsia="ru-RU"/>
        </w:rPr>
        <w:t> </w:t>
      </w:r>
      <w:r w:rsidR="007B19BD" w:rsidRPr="006D57CE">
        <w:rPr>
          <w:rFonts w:ascii="Times New Roman" w:hAnsi="Times New Roman" w:cs="Times New Roman"/>
          <w:snapToGrid w:val="0"/>
          <w:color w:val="000000"/>
          <w:sz w:val="28"/>
          <w:szCs w:val="28"/>
          <w:lang w:eastAsia="ru-RU"/>
        </w:rPr>
        <w:t xml:space="preserve">В структуре расходов бюджета области запланированы бюджетные ассигнования </w:t>
      </w:r>
      <w:r w:rsidR="007B19BD" w:rsidRPr="006D57CE">
        <w:rPr>
          <w:rFonts w:ascii="Times New Roman" w:hAnsi="Times New Roman" w:cs="Times New Roman"/>
          <w:i/>
          <w:iCs/>
          <w:snapToGrid w:val="0"/>
          <w:color w:val="000000"/>
          <w:sz w:val="28"/>
          <w:szCs w:val="28"/>
          <w:lang w:eastAsia="ru-RU"/>
        </w:rPr>
        <w:t xml:space="preserve">на предоставление субсидий местным бюджетам на </w:t>
      </w:r>
      <w:proofErr w:type="spellStart"/>
      <w:r w:rsidR="007B19BD" w:rsidRPr="006D57CE">
        <w:rPr>
          <w:rFonts w:ascii="Times New Roman" w:hAnsi="Times New Roman" w:cs="Times New Roman"/>
          <w:i/>
          <w:iCs/>
          <w:snapToGrid w:val="0"/>
          <w:color w:val="000000"/>
          <w:sz w:val="28"/>
          <w:szCs w:val="28"/>
          <w:lang w:eastAsia="ru-RU"/>
        </w:rPr>
        <w:t>софинансирование</w:t>
      </w:r>
      <w:proofErr w:type="spellEnd"/>
      <w:r w:rsidR="007B19BD" w:rsidRPr="006D57CE">
        <w:rPr>
          <w:rFonts w:ascii="Times New Roman" w:hAnsi="Times New Roman" w:cs="Times New Roman"/>
          <w:i/>
          <w:iCs/>
          <w:snapToGrid w:val="0"/>
          <w:color w:val="000000"/>
          <w:sz w:val="28"/>
          <w:szCs w:val="28"/>
          <w:lang w:eastAsia="ru-RU"/>
        </w:rPr>
        <w:t xml:space="preserve"> капитальных вложений в объекты муниципальной </w:t>
      </w:r>
      <w:r w:rsidR="007B19BD" w:rsidRPr="006D57CE">
        <w:rPr>
          <w:rFonts w:ascii="Times New Roman" w:hAnsi="Times New Roman" w:cs="Times New Roman"/>
          <w:i/>
          <w:iCs/>
          <w:snapToGrid w:val="0"/>
          <w:color w:val="000000" w:themeColor="text1"/>
          <w:sz w:val="28"/>
          <w:szCs w:val="28"/>
          <w:lang w:eastAsia="ru-RU"/>
        </w:rPr>
        <w:t>собственности</w:t>
      </w:r>
      <w:r w:rsidR="007B19BD" w:rsidRPr="006D57CE">
        <w:rPr>
          <w:rFonts w:ascii="Times New Roman" w:hAnsi="Times New Roman" w:cs="Times New Roman"/>
          <w:snapToGrid w:val="0"/>
          <w:color w:val="000000" w:themeColor="text1"/>
          <w:sz w:val="28"/>
          <w:szCs w:val="28"/>
          <w:lang w:eastAsia="ru-RU"/>
        </w:rPr>
        <w:t>, которые осуществляются из местных бюджетов, в том числе по отдельным укрупненным мероприятиям в рамках госпрограмм:</w:t>
      </w:r>
    </w:p>
    <w:p w14:paraId="6CAE912A" w14:textId="77777777" w:rsidR="007B19BD" w:rsidRPr="006D57CE" w:rsidRDefault="007B19BD" w:rsidP="007B19BD">
      <w:pPr>
        <w:spacing w:after="0" w:line="240" w:lineRule="auto"/>
        <w:ind w:firstLine="720"/>
        <w:jc w:val="both"/>
        <w:rPr>
          <w:rFonts w:ascii="Times New Roman" w:hAnsi="Times New Roman" w:cs="Times New Roman"/>
          <w:snapToGrid w:val="0"/>
          <w:color w:val="000000" w:themeColor="text1"/>
          <w:sz w:val="28"/>
          <w:szCs w:val="28"/>
          <w:lang w:eastAsia="ru-RU"/>
        </w:rPr>
      </w:pPr>
      <w:r w:rsidRPr="006D57CE">
        <w:rPr>
          <w:rFonts w:ascii="Times New Roman" w:hAnsi="Times New Roman" w:cs="Times New Roman"/>
          <w:snapToGrid w:val="0"/>
          <w:color w:val="000000" w:themeColor="text1"/>
          <w:sz w:val="28"/>
          <w:szCs w:val="28"/>
          <w:lang w:eastAsia="ru-RU"/>
        </w:rPr>
        <w:t>«Модернизация и развитие автомобильных дорог общего пользования в Тульской области»</w:t>
      </w:r>
      <w:r>
        <w:rPr>
          <w:rFonts w:ascii="Times New Roman" w:hAnsi="Times New Roman" w:cs="Times New Roman"/>
          <w:snapToGrid w:val="0"/>
          <w:color w:val="000000" w:themeColor="text1"/>
          <w:sz w:val="28"/>
          <w:szCs w:val="28"/>
          <w:lang w:eastAsia="ru-RU"/>
        </w:rPr>
        <w:t xml:space="preserve"> -</w:t>
      </w:r>
      <w:r w:rsidRPr="006D57CE">
        <w:rPr>
          <w:rFonts w:ascii="Times New Roman" w:hAnsi="Times New Roman" w:cs="Times New Roman"/>
          <w:snapToGrid w:val="0"/>
          <w:color w:val="000000" w:themeColor="text1"/>
          <w:sz w:val="28"/>
          <w:szCs w:val="28"/>
          <w:lang w:eastAsia="ru-RU"/>
        </w:rPr>
        <w:t xml:space="preserve"> субсидии бюджету муниципального образования город Тула на строительство автодорожного мостового перехода через реку </w:t>
      </w:r>
      <w:proofErr w:type="spellStart"/>
      <w:r w:rsidRPr="006D57CE">
        <w:rPr>
          <w:rFonts w:ascii="Times New Roman" w:hAnsi="Times New Roman" w:cs="Times New Roman"/>
          <w:snapToGrid w:val="0"/>
          <w:color w:val="000000" w:themeColor="text1"/>
          <w:sz w:val="28"/>
          <w:szCs w:val="28"/>
          <w:lang w:eastAsia="ru-RU"/>
        </w:rPr>
        <w:t>Упу</w:t>
      </w:r>
      <w:proofErr w:type="spellEnd"/>
      <w:r w:rsidRPr="006D57CE">
        <w:rPr>
          <w:rFonts w:ascii="Times New Roman" w:hAnsi="Times New Roman" w:cs="Times New Roman"/>
          <w:snapToGrid w:val="0"/>
          <w:color w:val="000000" w:themeColor="text1"/>
          <w:sz w:val="28"/>
          <w:szCs w:val="28"/>
          <w:lang w:eastAsia="ru-RU"/>
        </w:rPr>
        <w:t>, в том числе ПИР</w:t>
      </w:r>
      <w:r>
        <w:rPr>
          <w:rFonts w:ascii="Times New Roman" w:hAnsi="Times New Roman" w:cs="Times New Roman"/>
          <w:snapToGrid w:val="0"/>
          <w:color w:val="000000" w:themeColor="text1"/>
          <w:sz w:val="28"/>
          <w:szCs w:val="28"/>
          <w:lang w:eastAsia="ru-RU"/>
        </w:rPr>
        <w:t>,</w:t>
      </w:r>
      <w:r w:rsidRPr="006D57CE">
        <w:rPr>
          <w:rFonts w:ascii="Times New Roman" w:hAnsi="Times New Roman" w:cs="Times New Roman"/>
          <w:snapToGrid w:val="0"/>
          <w:color w:val="000000" w:themeColor="text1"/>
          <w:sz w:val="28"/>
          <w:szCs w:val="28"/>
          <w:lang w:eastAsia="ru-RU"/>
        </w:rPr>
        <w:t xml:space="preserve"> в 2022 году в сумме 50 000,0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в 2023 и 2024 годах в сумме 300 000,0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ежегодно;</w:t>
      </w:r>
    </w:p>
    <w:p w14:paraId="0003E223" w14:textId="77777777" w:rsidR="007B19BD" w:rsidRPr="006D57CE" w:rsidRDefault="007B19BD" w:rsidP="007B19BD">
      <w:pPr>
        <w:spacing w:after="0" w:line="240" w:lineRule="auto"/>
        <w:ind w:firstLine="720"/>
        <w:jc w:val="both"/>
        <w:rPr>
          <w:rFonts w:ascii="Times New Roman" w:hAnsi="Times New Roman" w:cs="Times New Roman"/>
          <w:snapToGrid w:val="0"/>
          <w:color w:val="000000" w:themeColor="text1"/>
          <w:sz w:val="28"/>
          <w:szCs w:val="28"/>
          <w:lang w:eastAsia="ru-RU"/>
        </w:rPr>
      </w:pPr>
      <w:r w:rsidRPr="006D57CE">
        <w:rPr>
          <w:rFonts w:ascii="Times New Roman" w:hAnsi="Times New Roman" w:cs="Times New Roman"/>
          <w:snapToGrid w:val="0"/>
          <w:color w:val="000000" w:themeColor="text1"/>
          <w:sz w:val="28"/>
          <w:szCs w:val="28"/>
          <w:lang w:eastAsia="ru-RU"/>
        </w:rPr>
        <w:t xml:space="preserve">«Комплексное развитие сельских территорий Тульской области» </w:t>
      </w:r>
      <w:r>
        <w:rPr>
          <w:rFonts w:ascii="Times New Roman" w:hAnsi="Times New Roman" w:cs="Times New Roman"/>
          <w:snapToGrid w:val="0"/>
          <w:color w:val="000000" w:themeColor="text1"/>
          <w:sz w:val="28"/>
          <w:szCs w:val="28"/>
          <w:lang w:eastAsia="ru-RU"/>
        </w:rPr>
        <w:t xml:space="preserve">- </w:t>
      </w:r>
      <w:r w:rsidRPr="006D57CE">
        <w:rPr>
          <w:rFonts w:ascii="Times New Roman" w:hAnsi="Times New Roman" w:cs="Times New Roman"/>
          <w:snapToGrid w:val="0"/>
          <w:color w:val="000000" w:themeColor="text1"/>
          <w:sz w:val="28"/>
          <w:szCs w:val="28"/>
          <w:lang w:eastAsia="ru-RU"/>
        </w:rPr>
        <w:t xml:space="preserve">на развитие транспортной инфраструктуры на сельских территориях в 2022 году в объеме 4 547,1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w:t>
      </w:r>
      <w:r w:rsidRPr="006D57CE">
        <w:rPr>
          <w:rFonts w:ascii="Times New Roman" w:hAnsi="Times New Roman" w:cs="Times New Roman"/>
          <w:snapToGrid w:val="0"/>
          <w:sz w:val="28"/>
          <w:szCs w:val="28"/>
          <w:lang w:eastAsia="ru-RU"/>
        </w:rPr>
        <w:t xml:space="preserve">(субсидии бюджету муниципального образования Ясногорский район), </w:t>
      </w:r>
      <w:r w:rsidRPr="006D57CE">
        <w:rPr>
          <w:rFonts w:ascii="Times New Roman" w:hAnsi="Times New Roman" w:cs="Times New Roman"/>
          <w:snapToGrid w:val="0"/>
          <w:color w:val="000000" w:themeColor="text1"/>
          <w:sz w:val="28"/>
          <w:szCs w:val="28"/>
          <w:lang w:eastAsia="ru-RU"/>
        </w:rPr>
        <w:t>в плановом периоде 2023 и 2024 годов в объем</w:t>
      </w:r>
      <w:r>
        <w:rPr>
          <w:rFonts w:ascii="Times New Roman" w:hAnsi="Times New Roman" w:cs="Times New Roman"/>
          <w:snapToGrid w:val="0"/>
          <w:color w:val="000000" w:themeColor="text1"/>
          <w:sz w:val="28"/>
          <w:szCs w:val="28"/>
          <w:lang w:eastAsia="ru-RU"/>
        </w:rPr>
        <w:t>е 50 000,0 тыс. рублей ежегодно</w:t>
      </w:r>
      <w:r w:rsidRPr="006D57CE">
        <w:rPr>
          <w:rFonts w:ascii="Times New Roman" w:hAnsi="Times New Roman" w:cs="Times New Roman"/>
          <w:snapToGrid w:val="0"/>
          <w:color w:val="000000" w:themeColor="text1"/>
          <w:spacing w:val="-4"/>
          <w:sz w:val="28"/>
          <w:szCs w:val="28"/>
          <w:lang w:eastAsia="ru-RU"/>
        </w:rPr>
        <w:t>;</w:t>
      </w:r>
    </w:p>
    <w:p w14:paraId="3006FF28" w14:textId="77777777" w:rsidR="007B19BD" w:rsidRPr="006D57CE" w:rsidRDefault="007B19BD" w:rsidP="007B19BD">
      <w:pPr>
        <w:spacing w:after="0" w:line="240" w:lineRule="auto"/>
        <w:ind w:firstLine="720"/>
        <w:jc w:val="both"/>
        <w:rPr>
          <w:rFonts w:ascii="Times New Roman" w:hAnsi="Times New Roman" w:cs="Times New Roman"/>
          <w:snapToGrid w:val="0"/>
          <w:color w:val="000000"/>
          <w:sz w:val="28"/>
          <w:szCs w:val="28"/>
          <w:lang w:eastAsia="ru-RU"/>
        </w:rPr>
      </w:pPr>
      <w:r w:rsidRPr="006D57CE">
        <w:rPr>
          <w:rFonts w:ascii="Times New Roman" w:hAnsi="Times New Roman" w:cs="Times New Roman"/>
          <w:snapToGrid w:val="0"/>
          <w:color w:val="000000"/>
          <w:sz w:val="28"/>
          <w:szCs w:val="28"/>
          <w:lang w:eastAsia="ru-RU"/>
        </w:rPr>
        <w:t>«Обеспечение доступным и комфортным жильем населения Тульской области»:</w:t>
      </w:r>
    </w:p>
    <w:p w14:paraId="17775BFB" w14:textId="77777777" w:rsidR="007B19BD" w:rsidRPr="006D57CE" w:rsidRDefault="007B19BD" w:rsidP="007B19BD">
      <w:pPr>
        <w:spacing w:after="0" w:line="240" w:lineRule="auto"/>
        <w:ind w:firstLine="720"/>
        <w:jc w:val="both"/>
        <w:rPr>
          <w:rFonts w:ascii="Times New Roman" w:hAnsi="Times New Roman" w:cs="Times New Roman"/>
          <w:snapToGrid w:val="0"/>
          <w:color w:val="000000" w:themeColor="text1"/>
          <w:sz w:val="28"/>
          <w:szCs w:val="28"/>
          <w:lang w:eastAsia="ru-RU"/>
        </w:rPr>
      </w:pPr>
      <w:r>
        <w:rPr>
          <w:rFonts w:ascii="Times New Roman" w:hAnsi="Times New Roman" w:cs="Times New Roman"/>
          <w:snapToGrid w:val="0"/>
          <w:sz w:val="28"/>
          <w:szCs w:val="28"/>
          <w:lang w:eastAsia="ru-RU"/>
        </w:rPr>
        <w:t>- </w:t>
      </w:r>
      <w:r w:rsidRPr="006D57CE">
        <w:rPr>
          <w:rFonts w:ascii="Times New Roman" w:hAnsi="Times New Roman" w:cs="Times New Roman"/>
          <w:snapToGrid w:val="0"/>
          <w:sz w:val="28"/>
          <w:szCs w:val="28"/>
          <w:lang w:eastAsia="ru-RU"/>
        </w:rPr>
        <w:t xml:space="preserve">в рамках </w:t>
      </w:r>
      <w:r w:rsidRPr="001C34E9">
        <w:rPr>
          <w:rFonts w:ascii="Times New Roman" w:hAnsi="Times New Roman" w:cs="Times New Roman"/>
          <w:snapToGrid w:val="0"/>
          <w:sz w:val="28"/>
          <w:szCs w:val="28"/>
          <w:lang w:eastAsia="ru-RU"/>
        </w:rPr>
        <w:t xml:space="preserve">регионального проекта «Создание условий для строительства </w:t>
      </w:r>
      <w:proofErr w:type="spellStart"/>
      <w:r w:rsidRPr="001C34E9">
        <w:rPr>
          <w:rFonts w:ascii="Times New Roman" w:hAnsi="Times New Roman" w:cs="Times New Roman"/>
          <w:snapToGrid w:val="0"/>
          <w:sz w:val="28"/>
          <w:szCs w:val="28"/>
          <w:lang w:eastAsia="ru-RU"/>
        </w:rPr>
        <w:t>внутрипоселковых</w:t>
      </w:r>
      <w:proofErr w:type="spellEnd"/>
      <w:r w:rsidRPr="001C34E9">
        <w:rPr>
          <w:rFonts w:ascii="Times New Roman" w:hAnsi="Times New Roman" w:cs="Times New Roman"/>
          <w:snapToGrid w:val="0"/>
          <w:sz w:val="28"/>
          <w:szCs w:val="28"/>
          <w:lang w:eastAsia="ru-RU"/>
        </w:rPr>
        <w:t xml:space="preserve"> распределительных сетей»</w:t>
      </w:r>
      <w:r>
        <w:rPr>
          <w:rFonts w:ascii="Times New Roman" w:hAnsi="Times New Roman" w:cs="Times New Roman"/>
          <w:snapToGrid w:val="0"/>
          <w:sz w:val="28"/>
          <w:szCs w:val="28"/>
          <w:lang w:eastAsia="ru-RU"/>
        </w:rPr>
        <w:t xml:space="preserve"> -</w:t>
      </w:r>
      <w:r w:rsidRPr="001C34E9">
        <w:rPr>
          <w:rFonts w:ascii="Times New Roman" w:hAnsi="Times New Roman" w:cs="Times New Roman"/>
          <w:snapToGrid w:val="0"/>
          <w:sz w:val="28"/>
          <w:szCs w:val="28"/>
          <w:lang w:eastAsia="ru-RU"/>
        </w:rPr>
        <w:t xml:space="preserve"> на строительство </w:t>
      </w:r>
      <w:proofErr w:type="spellStart"/>
      <w:r w:rsidRPr="001C34E9">
        <w:rPr>
          <w:rFonts w:ascii="Times New Roman" w:hAnsi="Times New Roman" w:cs="Times New Roman"/>
          <w:snapToGrid w:val="0"/>
          <w:sz w:val="28"/>
          <w:szCs w:val="28"/>
          <w:lang w:eastAsia="ru-RU"/>
        </w:rPr>
        <w:t>внутрипоселковых</w:t>
      </w:r>
      <w:proofErr w:type="spellEnd"/>
      <w:r w:rsidRPr="006D57CE">
        <w:rPr>
          <w:rFonts w:ascii="Times New Roman" w:hAnsi="Times New Roman" w:cs="Times New Roman"/>
          <w:snapToGrid w:val="0"/>
          <w:sz w:val="28"/>
          <w:szCs w:val="28"/>
          <w:lang w:eastAsia="ru-RU"/>
        </w:rPr>
        <w:t xml:space="preserve"> распределительных </w:t>
      </w:r>
      <w:r w:rsidRPr="006D57CE">
        <w:rPr>
          <w:rFonts w:ascii="Times New Roman" w:hAnsi="Times New Roman" w:cs="Times New Roman"/>
          <w:snapToGrid w:val="0"/>
          <w:color w:val="000000" w:themeColor="text1"/>
          <w:sz w:val="28"/>
          <w:szCs w:val="28"/>
          <w:lang w:eastAsia="ru-RU"/>
        </w:rPr>
        <w:t xml:space="preserve">сетей в 2022 году в восьми </w:t>
      </w:r>
      <w:r w:rsidRPr="006D57CE">
        <w:rPr>
          <w:rFonts w:ascii="Times New Roman" w:hAnsi="Times New Roman" w:cs="Times New Roman"/>
          <w:snapToGrid w:val="0"/>
          <w:color w:val="000000" w:themeColor="text1"/>
          <w:sz w:val="28"/>
          <w:szCs w:val="28"/>
          <w:lang w:eastAsia="ru-RU"/>
        </w:rPr>
        <w:lastRenderedPageBreak/>
        <w:t xml:space="preserve">муниципальных образованиях в сумме 300 000,0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в 2023 и 2024 годах в объеме 150 000,0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ежегодно;</w:t>
      </w:r>
    </w:p>
    <w:p w14:paraId="59106132" w14:textId="77777777" w:rsidR="007B19BD" w:rsidRPr="006D57CE" w:rsidRDefault="007B19BD" w:rsidP="007B19BD">
      <w:pPr>
        <w:spacing w:after="0" w:line="240" w:lineRule="auto"/>
        <w:ind w:firstLine="851"/>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w:t>
      </w:r>
      <w:r w:rsidRPr="006D57CE">
        <w:rPr>
          <w:rFonts w:ascii="Times New Roman" w:hAnsi="Times New Roman" w:cs="Times New Roman"/>
          <w:snapToGrid w:val="0"/>
          <w:sz w:val="28"/>
          <w:szCs w:val="28"/>
          <w:lang w:eastAsia="ru-RU"/>
        </w:rPr>
        <w:t xml:space="preserve">в рамках </w:t>
      </w:r>
      <w:r w:rsidRPr="001C34E9">
        <w:rPr>
          <w:rFonts w:ascii="Times New Roman" w:hAnsi="Times New Roman" w:cs="Times New Roman"/>
          <w:snapToGrid w:val="0"/>
          <w:sz w:val="28"/>
          <w:szCs w:val="28"/>
          <w:lang w:eastAsia="ru-RU"/>
        </w:rPr>
        <w:t>регионального проекта «Жилье»</w:t>
      </w:r>
      <w:r w:rsidRPr="006D57CE">
        <w:rPr>
          <w:rFonts w:ascii="Times New Roman" w:hAnsi="Times New Roman" w:cs="Times New Roman"/>
          <w:snapToGrid w:val="0"/>
          <w:sz w:val="28"/>
          <w:szCs w:val="28"/>
          <w:lang w:eastAsia="ru-RU"/>
        </w:rPr>
        <w:t xml:space="preserve"> на мероприятия по стимулированию программ развития жилищного строительства муниципальных образований Тульской области в целях обеспечения территорий жилой застройки (стандартное жилье) объектами инженерной </w:t>
      </w:r>
      <w:r w:rsidRPr="006D57CE">
        <w:rPr>
          <w:rFonts w:ascii="Times New Roman" w:hAnsi="Times New Roman" w:cs="Times New Roman"/>
          <w:snapToGrid w:val="0"/>
          <w:color w:val="000000" w:themeColor="text1"/>
          <w:sz w:val="28"/>
          <w:szCs w:val="28"/>
          <w:lang w:eastAsia="ru-RU"/>
        </w:rPr>
        <w:t xml:space="preserve">инфраструктуры в 2022 году в сумме 269 466,7 </w:t>
      </w:r>
      <w:r>
        <w:rPr>
          <w:rFonts w:ascii="Times New Roman" w:hAnsi="Times New Roman" w:cs="Times New Roman"/>
          <w:snapToGrid w:val="0"/>
          <w:color w:val="000000" w:themeColor="text1"/>
          <w:sz w:val="28"/>
          <w:szCs w:val="28"/>
          <w:lang w:eastAsia="ru-RU"/>
        </w:rPr>
        <w:t>тыс. рублей</w:t>
      </w:r>
      <w:r w:rsidRPr="006D57CE">
        <w:rPr>
          <w:rFonts w:ascii="Times New Roman" w:hAnsi="Times New Roman" w:cs="Times New Roman"/>
          <w:snapToGrid w:val="0"/>
          <w:color w:val="000000" w:themeColor="text1"/>
          <w:sz w:val="28"/>
          <w:szCs w:val="28"/>
          <w:lang w:eastAsia="ru-RU"/>
        </w:rPr>
        <w:t xml:space="preserve"> </w:t>
      </w:r>
      <w:r w:rsidRPr="006D57CE">
        <w:rPr>
          <w:rFonts w:ascii="Times New Roman" w:hAnsi="Times New Roman" w:cs="Times New Roman"/>
          <w:snapToGrid w:val="0"/>
          <w:sz w:val="28"/>
          <w:szCs w:val="28"/>
          <w:lang w:eastAsia="ru-RU"/>
        </w:rPr>
        <w:t>(субсидии бюджетам 4-х муниципальных образований: Киреевский, Ясногорский районы, г. Новомосковск, г. Тула). На 2023 и 2024 годы субсидии местным бюджетам на указанные цели не предусмотрены;</w:t>
      </w:r>
    </w:p>
    <w:p w14:paraId="646D956A" w14:textId="77777777" w:rsidR="007B19BD" w:rsidRPr="006D57CE" w:rsidRDefault="007B19BD" w:rsidP="007B19BD">
      <w:pPr>
        <w:spacing w:after="0" w:line="240" w:lineRule="auto"/>
        <w:ind w:firstLine="851"/>
        <w:jc w:val="both"/>
        <w:rPr>
          <w:rFonts w:ascii="Times New Roman" w:hAnsi="Times New Roman" w:cs="Times New Roman"/>
          <w:snapToGrid w:val="0"/>
          <w:sz w:val="28"/>
          <w:szCs w:val="28"/>
          <w:lang w:eastAsia="ru-RU"/>
        </w:rPr>
      </w:pPr>
      <w:r w:rsidRPr="006D57CE">
        <w:rPr>
          <w:rFonts w:ascii="Times New Roman" w:hAnsi="Times New Roman" w:cs="Times New Roman"/>
          <w:snapToGrid w:val="0"/>
          <w:color w:val="000000"/>
          <w:sz w:val="28"/>
          <w:szCs w:val="28"/>
          <w:lang w:eastAsia="ru-RU"/>
        </w:rPr>
        <w:t xml:space="preserve">«Развитие физической культуры и спорта в Тульской области» </w:t>
      </w:r>
      <w:r w:rsidRPr="006D57CE">
        <w:rPr>
          <w:rFonts w:ascii="Times New Roman" w:hAnsi="Times New Roman" w:cs="Times New Roman"/>
          <w:snapToGrid w:val="0"/>
          <w:sz w:val="28"/>
          <w:szCs w:val="28"/>
          <w:lang w:eastAsia="ru-RU"/>
        </w:rPr>
        <w:t xml:space="preserve">в рамках </w:t>
      </w:r>
      <w:r w:rsidRPr="001C34E9">
        <w:rPr>
          <w:rFonts w:ascii="Times New Roman" w:hAnsi="Times New Roman" w:cs="Times New Roman"/>
          <w:snapToGrid w:val="0"/>
          <w:sz w:val="28"/>
          <w:szCs w:val="28"/>
          <w:lang w:eastAsia="ru-RU"/>
        </w:rPr>
        <w:t>регионального проекта «Совершенствование спортивной инфраструктуры и материально-технической базы для занятий физической культурой и массовым спортом»</w:t>
      </w:r>
      <w:r w:rsidRPr="006D57CE">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 xml:space="preserve">- </w:t>
      </w:r>
      <w:r w:rsidRPr="006D57CE">
        <w:rPr>
          <w:rFonts w:ascii="Times New Roman" w:hAnsi="Times New Roman" w:cs="Times New Roman"/>
          <w:snapToGrid w:val="0"/>
          <w:sz w:val="28"/>
          <w:szCs w:val="28"/>
          <w:lang w:eastAsia="ru-RU"/>
        </w:rPr>
        <w:t xml:space="preserve">на строительство (реконструкцию) объектов спорта, находящихся в муниципальной собственности в 2022 году в сумме 58 714,7 </w:t>
      </w:r>
      <w:r>
        <w:rPr>
          <w:rFonts w:ascii="Times New Roman" w:hAnsi="Times New Roman" w:cs="Times New Roman"/>
          <w:snapToGrid w:val="0"/>
          <w:sz w:val="28"/>
          <w:szCs w:val="28"/>
          <w:lang w:eastAsia="ru-RU"/>
        </w:rPr>
        <w:t>тыс. рублей</w:t>
      </w:r>
      <w:r w:rsidRPr="006D57CE">
        <w:rPr>
          <w:rFonts w:ascii="Times New Roman" w:hAnsi="Times New Roman" w:cs="Times New Roman"/>
          <w:snapToGrid w:val="0"/>
          <w:sz w:val="28"/>
          <w:szCs w:val="28"/>
          <w:lang w:eastAsia="ru-RU"/>
        </w:rPr>
        <w:t xml:space="preserve"> (субсидии бюджету муниципального образования</w:t>
      </w:r>
      <w:r w:rsidRPr="006D57CE">
        <w:rPr>
          <w:rFonts w:ascii="Calibri" w:hAnsi="Calibri" w:cs="Times New Roman"/>
        </w:rPr>
        <w:t xml:space="preserve"> </w:t>
      </w:r>
      <w:r w:rsidRPr="006D57CE">
        <w:rPr>
          <w:rFonts w:ascii="Times New Roman" w:hAnsi="Times New Roman" w:cs="Times New Roman"/>
          <w:snapToGrid w:val="0"/>
          <w:sz w:val="28"/>
          <w:szCs w:val="28"/>
          <w:lang w:eastAsia="ru-RU"/>
        </w:rPr>
        <w:t>Ясногорский район). На 2023 и 2024 годы субсидии местным бюджетам на указанные цели не предусмотрены;</w:t>
      </w:r>
    </w:p>
    <w:p w14:paraId="5B09E85C" w14:textId="77777777" w:rsidR="007B19BD" w:rsidRPr="006D57CE" w:rsidRDefault="007B19BD" w:rsidP="007B19BD">
      <w:pPr>
        <w:spacing w:after="0" w:line="240" w:lineRule="auto"/>
        <w:ind w:firstLine="720"/>
        <w:jc w:val="both"/>
        <w:rPr>
          <w:rFonts w:ascii="Times New Roman" w:hAnsi="Times New Roman" w:cs="Times New Roman"/>
          <w:snapToGrid w:val="0"/>
          <w:spacing w:val="-4"/>
          <w:sz w:val="28"/>
          <w:szCs w:val="28"/>
          <w:lang w:eastAsia="ru-RU"/>
        </w:rPr>
      </w:pPr>
      <w:r w:rsidRPr="006D57CE">
        <w:rPr>
          <w:rFonts w:ascii="Times New Roman" w:hAnsi="Times New Roman" w:cs="Times New Roman"/>
          <w:snapToGrid w:val="0"/>
          <w:spacing w:val="-4"/>
          <w:sz w:val="28"/>
          <w:szCs w:val="28"/>
          <w:lang w:eastAsia="ru-RU"/>
        </w:rPr>
        <w:t>«Обеспечение качественными услугами жилищно-коммунального хозяйства населения Тульской области»:</w:t>
      </w:r>
    </w:p>
    <w:p w14:paraId="2623FDFF" w14:textId="77777777" w:rsidR="007B19BD" w:rsidRPr="001C34E9" w:rsidRDefault="007B19BD" w:rsidP="007B19BD">
      <w:pPr>
        <w:spacing w:after="0" w:line="240" w:lineRule="auto"/>
        <w:ind w:firstLine="720"/>
        <w:jc w:val="both"/>
        <w:rPr>
          <w:rFonts w:ascii="Times New Roman" w:hAnsi="Times New Roman" w:cs="Times New Roman"/>
          <w:snapToGrid w:val="0"/>
          <w:spacing w:val="-4"/>
          <w:sz w:val="28"/>
          <w:szCs w:val="28"/>
          <w:lang w:eastAsia="ru-RU"/>
        </w:rPr>
      </w:pPr>
      <w:r>
        <w:rPr>
          <w:rFonts w:ascii="Times New Roman" w:hAnsi="Times New Roman" w:cs="Times New Roman"/>
          <w:snapToGrid w:val="0"/>
          <w:spacing w:val="-4"/>
          <w:sz w:val="28"/>
          <w:szCs w:val="28"/>
          <w:lang w:eastAsia="ru-RU"/>
        </w:rPr>
        <w:t>- </w:t>
      </w:r>
      <w:r w:rsidRPr="006D57CE">
        <w:rPr>
          <w:rFonts w:ascii="Times New Roman" w:hAnsi="Times New Roman" w:cs="Times New Roman"/>
          <w:snapToGrid w:val="0"/>
          <w:spacing w:val="-4"/>
          <w:sz w:val="28"/>
          <w:szCs w:val="28"/>
          <w:lang w:eastAsia="ru-RU"/>
        </w:rPr>
        <w:t xml:space="preserve">в рамках </w:t>
      </w:r>
      <w:r w:rsidRPr="001C34E9">
        <w:rPr>
          <w:rFonts w:ascii="Times New Roman" w:hAnsi="Times New Roman" w:cs="Times New Roman"/>
          <w:snapToGrid w:val="0"/>
          <w:spacing w:val="-4"/>
          <w:sz w:val="28"/>
          <w:szCs w:val="28"/>
          <w:lang w:eastAsia="ru-RU"/>
        </w:rPr>
        <w:t>регионального проекта «Чистая вода»</w:t>
      </w:r>
      <w:r>
        <w:rPr>
          <w:rFonts w:ascii="Times New Roman" w:hAnsi="Times New Roman" w:cs="Times New Roman"/>
          <w:snapToGrid w:val="0"/>
          <w:spacing w:val="-4"/>
          <w:sz w:val="28"/>
          <w:szCs w:val="28"/>
          <w:lang w:eastAsia="ru-RU"/>
        </w:rPr>
        <w:t xml:space="preserve"> -</w:t>
      </w:r>
      <w:r w:rsidRPr="001C34E9">
        <w:rPr>
          <w:rFonts w:ascii="Times New Roman" w:hAnsi="Times New Roman" w:cs="Times New Roman"/>
          <w:snapToGrid w:val="0"/>
          <w:spacing w:val="-4"/>
          <w:sz w:val="28"/>
          <w:szCs w:val="28"/>
          <w:lang w:eastAsia="ru-RU"/>
        </w:rPr>
        <w:t xml:space="preserve"> на строительство и реконструкцию (модернизацию) объектов питьевого </w:t>
      </w:r>
      <w:r w:rsidRPr="001C34E9">
        <w:rPr>
          <w:rFonts w:ascii="Times New Roman" w:hAnsi="Times New Roman" w:cs="Times New Roman"/>
          <w:snapToGrid w:val="0"/>
          <w:color w:val="000000" w:themeColor="text1"/>
          <w:spacing w:val="-4"/>
          <w:sz w:val="28"/>
          <w:szCs w:val="28"/>
          <w:lang w:eastAsia="ru-RU"/>
        </w:rPr>
        <w:t xml:space="preserve">водоснабжения в 2022 году в сумме 309 337,2 </w:t>
      </w:r>
      <w:r>
        <w:rPr>
          <w:rFonts w:ascii="Times New Roman" w:hAnsi="Times New Roman" w:cs="Times New Roman"/>
          <w:snapToGrid w:val="0"/>
          <w:color w:val="000000" w:themeColor="text1"/>
          <w:spacing w:val="-4"/>
          <w:sz w:val="28"/>
          <w:szCs w:val="28"/>
          <w:lang w:eastAsia="ru-RU"/>
        </w:rPr>
        <w:t>тыс. рублей</w:t>
      </w:r>
      <w:r w:rsidRPr="001C34E9">
        <w:rPr>
          <w:rFonts w:ascii="Times New Roman" w:hAnsi="Times New Roman" w:cs="Times New Roman"/>
          <w:snapToGrid w:val="0"/>
          <w:color w:val="000000" w:themeColor="text1"/>
          <w:spacing w:val="-4"/>
          <w:sz w:val="28"/>
          <w:szCs w:val="28"/>
          <w:lang w:eastAsia="ru-RU"/>
        </w:rPr>
        <w:t xml:space="preserve">, в 2023 году – 359 233,9 </w:t>
      </w:r>
      <w:r>
        <w:rPr>
          <w:rFonts w:ascii="Times New Roman" w:hAnsi="Times New Roman" w:cs="Times New Roman"/>
          <w:snapToGrid w:val="0"/>
          <w:color w:val="000000" w:themeColor="text1"/>
          <w:spacing w:val="-4"/>
          <w:sz w:val="28"/>
          <w:szCs w:val="28"/>
          <w:lang w:eastAsia="ru-RU"/>
        </w:rPr>
        <w:t>тыс. рублей</w:t>
      </w:r>
      <w:r w:rsidRPr="001C34E9">
        <w:rPr>
          <w:rFonts w:ascii="Times New Roman" w:hAnsi="Times New Roman" w:cs="Times New Roman"/>
          <w:snapToGrid w:val="0"/>
          <w:color w:val="000000" w:themeColor="text1"/>
          <w:spacing w:val="-4"/>
          <w:sz w:val="28"/>
          <w:szCs w:val="28"/>
          <w:lang w:eastAsia="ru-RU"/>
        </w:rPr>
        <w:t>, в 20</w:t>
      </w:r>
      <w:r>
        <w:rPr>
          <w:rFonts w:ascii="Times New Roman" w:hAnsi="Times New Roman" w:cs="Times New Roman"/>
          <w:snapToGrid w:val="0"/>
          <w:color w:val="000000" w:themeColor="text1"/>
          <w:spacing w:val="-4"/>
          <w:sz w:val="28"/>
          <w:szCs w:val="28"/>
          <w:lang w:eastAsia="ru-RU"/>
        </w:rPr>
        <w:t>24 году – 239 272,8 тыс. рублей</w:t>
      </w:r>
      <w:r w:rsidRPr="001C34E9">
        <w:rPr>
          <w:rFonts w:ascii="Times New Roman" w:hAnsi="Times New Roman" w:cs="Times New Roman"/>
          <w:snapToGrid w:val="0"/>
          <w:spacing w:val="-4"/>
          <w:sz w:val="28"/>
          <w:szCs w:val="28"/>
          <w:lang w:eastAsia="ru-RU"/>
        </w:rPr>
        <w:t>;</w:t>
      </w:r>
    </w:p>
    <w:p w14:paraId="4DD3DAAE" w14:textId="77777777" w:rsidR="007B19BD" w:rsidRPr="001C34E9" w:rsidRDefault="007B19BD" w:rsidP="007B19BD">
      <w:pPr>
        <w:spacing w:after="0" w:line="240" w:lineRule="auto"/>
        <w:ind w:firstLine="720"/>
        <w:jc w:val="both"/>
        <w:rPr>
          <w:rFonts w:ascii="Times New Roman" w:hAnsi="Times New Roman" w:cs="Times New Roman"/>
          <w:snapToGrid w:val="0"/>
          <w:spacing w:val="-4"/>
          <w:sz w:val="28"/>
          <w:szCs w:val="28"/>
          <w:lang w:eastAsia="ru-RU"/>
        </w:rPr>
      </w:pPr>
      <w:r>
        <w:rPr>
          <w:rFonts w:ascii="Times New Roman" w:hAnsi="Times New Roman" w:cs="Times New Roman"/>
          <w:snapToGrid w:val="0"/>
          <w:spacing w:val="-4"/>
          <w:sz w:val="28"/>
          <w:szCs w:val="28"/>
          <w:lang w:eastAsia="ru-RU"/>
        </w:rPr>
        <w:t>- </w:t>
      </w:r>
      <w:r w:rsidRPr="001C34E9">
        <w:rPr>
          <w:rFonts w:ascii="Times New Roman" w:hAnsi="Times New Roman" w:cs="Times New Roman"/>
          <w:snapToGrid w:val="0"/>
          <w:spacing w:val="-4"/>
          <w:sz w:val="28"/>
          <w:szCs w:val="28"/>
          <w:lang w:eastAsia="ru-RU"/>
        </w:rPr>
        <w:t xml:space="preserve">в рамках регионального проекта «Модернизация и развитие систем водоотведения» </w:t>
      </w:r>
      <w:r>
        <w:rPr>
          <w:rFonts w:ascii="Times New Roman" w:hAnsi="Times New Roman" w:cs="Times New Roman"/>
          <w:snapToGrid w:val="0"/>
          <w:spacing w:val="-4"/>
          <w:sz w:val="28"/>
          <w:szCs w:val="28"/>
          <w:lang w:eastAsia="ru-RU"/>
        </w:rPr>
        <w:t xml:space="preserve">- </w:t>
      </w:r>
      <w:r w:rsidRPr="001C34E9">
        <w:rPr>
          <w:rFonts w:ascii="Times New Roman" w:hAnsi="Times New Roman" w:cs="Times New Roman"/>
          <w:snapToGrid w:val="0"/>
          <w:spacing w:val="-4"/>
          <w:sz w:val="28"/>
          <w:szCs w:val="28"/>
          <w:lang w:eastAsia="ru-RU"/>
        </w:rPr>
        <w:t xml:space="preserve">на строительство и реконструкцию очистных сооружений канализации на 2022 год в сумме 24 221,4 </w:t>
      </w:r>
      <w:r>
        <w:rPr>
          <w:rFonts w:ascii="Times New Roman" w:hAnsi="Times New Roman" w:cs="Times New Roman"/>
          <w:snapToGrid w:val="0"/>
          <w:spacing w:val="-4"/>
          <w:sz w:val="28"/>
          <w:szCs w:val="28"/>
          <w:lang w:eastAsia="ru-RU"/>
        </w:rPr>
        <w:t>тыс. рублей</w:t>
      </w:r>
      <w:r w:rsidRPr="001C34E9">
        <w:rPr>
          <w:rFonts w:ascii="Times New Roman" w:hAnsi="Times New Roman" w:cs="Times New Roman"/>
          <w:snapToGrid w:val="0"/>
          <w:spacing w:val="-4"/>
          <w:sz w:val="28"/>
          <w:szCs w:val="28"/>
          <w:lang w:eastAsia="ru-RU"/>
        </w:rPr>
        <w:t xml:space="preserve">, 2023 год </w:t>
      </w:r>
      <w:r>
        <w:rPr>
          <w:rFonts w:ascii="Times New Roman" w:hAnsi="Times New Roman" w:cs="Times New Roman"/>
          <w:snapToGrid w:val="0"/>
          <w:spacing w:val="-4"/>
          <w:sz w:val="28"/>
          <w:szCs w:val="28"/>
          <w:lang w:eastAsia="ru-RU"/>
        </w:rPr>
        <w:t xml:space="preserve">- </w:t>
      </w:r>
      <w:r w:rsidRPr="001C34E9">
        <w:rPr>
          <w:rFonts w:ascii="Times New Roman" w:hAnsi="Times New Roman" w:cs="Times New Roman"/>
          <w:snapToGrid w:val="0"/>
          <w:spacing w:val="-4"/>
          <w:sz w:val="28"/>
          <w:szCs w:val="28"/>
          <w:lang w:eastAsia="ru-RU"/>
        </w:rPr>
        <w:t xml:space="preserve">34 341,3 </w:t>
      </w:r>
      <w:r>
        <w:rPr>
          <w:rFonts w:ascii="Times New Roman" w:hAnsi="Times New Roman" w:cs="Times New Roman"/>
          <w:snapToGrid w:val="0"/>
          <w:spacing w:val="-4"/>
          <w:sz w:val="28"/>
          <w:szCs w:val="28"/>
          <w:lang w:eastAsia="ru-RU"/>
        </w:rPr>
        <w:t>тыс. рублей</w:t>
      </w:r>
      <w:r w:rsidRPr="001C34E9">
        <w:rPr>
          <w:rFonts w:ascii="Times New Roman" w:hAnsi="Times New Roman" w:cs="Times New Roman"/>
          <w:snapToGrid w:val="0"/>
          <w:spacing w:val="-4"/>
          <w:sz w:val="28"/>
          <w:szCs w:val="28"/>
          <w:lang w:eastAsia="ru-RU"/>
        </w:rPr>
        <w:t xml:space="preserve">; 2024 </w:t>
      </w:r>
      <w:r>
        <w:rPr>
          <w:rFonts w:ascii="Times New Roman" w:hAnsi="Times New Roman" w:cs="Times New Roman"/>
          <w:snapToGrid w:val="0"/>
          <w:spacing w:val="-4"/>
          <w:sz w:val="28"/>
          <w:szCs w:val="28"/>
          <w:lang w:eastAsia="ru-RU"/>
        </w:rPr>
        <w:t>год - 7 663,0 тыс. рублей</w:t>
      </w:r>
      <w:r w:rsidRPr="001C34E9">
        <w:rPr>
          <w:rFonts w:ascii="Times New Roman" w:hAnsi="Times New Roman" w:cs="Times New Roman"/>
          <w:snapToGrid w:val="0"/>
          <w:spacing w:val="-4"/>
          <w:sz w:val="28"/>
          <w:szCs w:val="28"/>
          <w:lang w:eastAsia="ru-RU"/>
        </w:rPr>
        <w:t>;</w:t>
      </w:r>
    </w:p>
    <w:p w14:paraId="53792425" w14:textId="77777777" w:rsidR="007B19BD" w:rsidRPr="001C34E9" w:rsidRDefault="007B19BD" w:rsidP="007B19BD">
      <w:pPr>
        <w:spacing w:after="0" w:line="240" w:lineRule="auto"/>
        <w:ind w:firstLine="720"/>
        <w:jc w:val="both"/>
        <w:rPr>
          <w:rFonts w:ascii="Times New Roman" w:hAnsi="Times New Roman" w:cs="Times New Roman"/>
          <w:snapToGrid w:val="0"/>
          <w:sz w:val="28"/>
          <w:szCs w:val="28"/>
          <w:lang w:eastAsia="ru-RU"/>
        </w:rPr>
      </w:pPr>
      <w:r w:rsidRPr="001C34E9">
        <w:rPr>
          <w:rFonts w:ascii="Times New Roman" w:hAnsi="Times New Roman" w:cs="Times New Roman"/>
          <w:snapToGrid w:val="0"/>
          <w:color w:val="000000" w:themeColor="text1"/>
          <w:spacing w:val="-4"/>
          <w:sz w:val="28"/>
          <w:szCs w:val="28"/>
          <w:lang w:eastAsia="ru-RU"/>
        </w:rPr>
        <w:t xml:space="preserve">«Развитие культуры и туризма Тульской области» </w:t>
      </w:r>
      <w:r>
        <w:rPr>
          <w:rFonts w:ascii="Times New Roman" w:hAnsi="Times New Roman" w:cs="Times New Roman"/>
          <w:snapToGrid w:val="0"/>
          <w:color w:val="000000" w:themeColor="text1"/>
          <w:spacing w:val="-4"/>
          <w:sz w:val="28"/>
          <w:szCs w:val="28"/>
          <w:lang w:eastAsia="ru-RU"/>
        </w:rPr>
        <w:t xml:space="preserve">- </w:t>
      </w:r>
      <w:r w:rsidRPr="001C34E9">
        <w:rPr>
          <w:rFonts w:ascii="Times New Roman" w:hAnsi="Times New Roman" w:cs="Times New Roman"/>
          <w:snapToGrid w:val="0"/>
          <w:color w:val="000000" w:themeColor="text1"/>
          <w:spacing w:val="-4"/>
          <w:sz w:val="28"/>
          <w:szCs w:val="28"/>
          <w:lang w:eastAsia="ru-RU"/>
        </w:rPr>
        <w:t xml:space="preserve">на строительство (реконструкцию), приобретение (выкуп) зданий под размещение муниципальных учреждений культуры в рамках регионального проекта «Государственная поддержка муниципальных учреждений культуры» в 2022 году в объеме 11 109,9 </w:t>
      </w:r>
      <w:r>
        <w:rPr>
          <w:rFonts w:ascii="Times New Roman" w:hAnsi="Times New Roman" w:cs="Times New Roman"/>
          <w:snapToGrid w:val="0"/>
          <w:color w:val="000000" w:themeColor="text1"/>
          <w:spacing w:val="-4"/>
          <w:sz w:val="28"/>
          <w:szCs w:val="28"/>
          <w:lang w:eastAsia="ru-RU"/>
        </w:rPr>
        <w:t>тыс. рублей</w:t>
      </w:r>
      <w:r w:rsidRPr="001C34E9">
        <w:rPr>
          <w:rFonts w:ascii="Times New Roman" w:hAnsi="Times New Roman" w:cs="Times New Roman"/>
          <w:snapToGrid w:val="0"/>
          <w:color w:val="000000" w:themeColor="text1"/>
          <w:spacing w:val="-4"/>
          <w:sz w:val="28"/>
          <w:szCs w:val="28"/>
          <w:lang w:eastAsia="ru-RU"/>
        </w:rPr>
        <w:t xml:space="preserve"> (субсидии бюджету муниципального образования </w:t>
      </w:r>
      <w:proofErr w:type="spellStart"/>
      <w:r w:rsidRPr="001C34E9">
        <w:rPr>
          <w:rFonts w:ascii="Times New Roman" w:hAnsi="Times New Roman" w:cs="Times New Roman"/>
          <w:snapToGrid w:val="0"/>
          <w:color w:val="000000" w:themeColor="text1"/>
          <w:spacing w:val="-4"/>
          <w:sz w:val="28"/>
          <w:szCs w:val="28"/>
          <w:lang w:eastAsia="ru-RU"/>
        </w:rPr>
        <w:t>Арсеньевский</w:t>
      </w:r>
      <w:proofErr w:type="spellEnd"/>
      <w:r w:rsidRPr="001C34E9">
        <w:rPr>
          <w:rFonts w:ascii="Times New Roman" w:hAnsi="Times New Roman" w:cs="Times New Roman"/>
          <w:snapToGrid w:val="0"/>
          <w:color w:val="000000" w:themeColor="text1"/>
          <w:spacing w:val="-4"/>
          <w:sz w:val="28"/>
          <w:szCs w:val="28"/>
          <w:lang w:eastAsia="ru-RU"/>
        </w:rPr>
        <w:t xml:space="preserve"> район</w:t>
      </w:r>
      <w:r w:rsidRPr="001C34E9">
        <w:rPr>
          <w:rFonts w:ascii="Times New Roman" w:hAnsi="Times New Roman" w:cs="Times New Roman"/>
          <w:snapToGrid w:val="0"/>
          <w:spacing w:val="-4"/>
          <w:sz w:val="28"/>
          <w:szCs w:val="28"/>
          <w:lang w:eastAsia="ru-RU"/>
        </w:rPr>
        <w:t>)</w:t>
      </w:r>
      <w:r>
        <w:rPr>
          <w:rFonts w:ascii="Times New Roman" w:hAnsi="Times New Roman" w:cs="Times New Roman"/>
          <w:snapToGrid w:val="0"/>
          <w:spacing w:val="-4"/>
          <w:sz w:val="28"/>
          <w:szCs w:val="28"/>
          <w:lang w:eastAsia="ru-RU"/>
        </w:rPr>
        <w:t>,</w:t>
      </w:r>
      <w:r w:rsidRPr="001C34E9">
        <w:rPr>
          <w:rFonts w:ascii="Times New Roman" w:hAnsi="Times New Roman" w:cs="Times New Roman"/>
          <w:snapToGrid w:val="0"/>
          <w:spacing w:val="-4"/>
          <w:sz w:val="28"/>
          <w:szCs w:val="28"/>
          <w:lang w:eastAsia="ru-RU"/>
        </w:rPr>
        <w:t xml:space="preserve"> </w:t>
      </w:r>
      <w:r>
        <w:rPr>
          <w:rFonts w:ascii="Times New Roman" w:hAnsi="Times New Roman" w:cs="Times New Roman"/>
          <w:snapToGrid w:val="0"/>
          <w:spacing w:val="-4"/>
          <w:sz w:val="28"/>
          <w:szCs w:val="28"/>
          <w:lang w:eastAsia="ru-RU"/>
        </w:rPr>
        <w:t>н</w:t>
      </w:r>
      <w:r w:rsidRPr="001C34E9">
        <w:rPr>
          <w:rFonts w:ascii="Times New Roman" w:hAnsi="Times New Roman" w:cs="Times New Roman"/>
          <w:snapToGrid w:val="0"/>
          <w:sz w:val="28"/>
          <w:szCs w:val="28"/>
          <w:lang w:eastAsia="ru-RU"/>
        </w:rPr>
        <w:t xml:space="preserve">а </w:t>
      </w:r>
      <w:r>
        <w:rPr>
          <w:rFonts w:ascii="Times New Roman" w:hAnsi="Times New Roman" w:cs="Times New Roman"/>
          <w:snapToGrid w:val="0"/>
          <w:sz w:val="28"/>
          <w:szCs w:val="28"/>
          <w:lang w:eastAsia="ru-RU"/>
        </w:rPr>
        <w:t xml:space="preserve">плановый период </w:t>
      </w:r>
      <w:r w:rsidRPr="001C34E9">
        <w:rPr>
          <w:rFonts w:ascii="Times New Roman" w:hAnsi="Times New Roman" w:cs="Times New Roman"/>
          <w:snapToGrid w:val="0"/>
          <w:sz w:val="28"/>
          <w:szCs w:val="28"/>
          <w:lang w:eastAsia="ru-RU"/>
        </w:rPr>
        <w:t>2023 и 2024 год</w:t>
      </w:r>
      <w:r>
        <w:rPr>
          <w:rFonts w:ascii="Times New Roman" w:hAnsi="Times New Roman" w:cs="Times New Roman"/>
          <w:snapToGrid w:val="0"/>
          <w:sz w:val="28"/>
          <w:szCs w:val="28"/>
          <w:lang w:eastAsia="ru-RU"/>
        </w:rPr>
        <w:t>ов</w:t>
      </w:r>
      <w:r w:rsidRPr="001C34E9">
        <w:rPr>
          <w:rFonts w:ascii="Times New Roman" w:hAnsi="Times New Roman" w:cs="Times New Roman"/>
          <w:snapToGrid w:val="0"/>
          <w:sz w:val="28"/>
          <w:szCs w:val="28"/>
          <w:lang w:eastAsia="ru-RU"/>
        </w:rPr>
        <w:t xml:space="preserve"> субсидии местным бюджетам на указанные цели не предусмотрены;</w:t>
      </w:r>
    </w:p>
    <w:p w14:paraId="696C7E99" w14:textId="77777777" w:rsidR="007B19BD" w:rsidRDefault="007B19BD" w:rsidP="007B19BD">
      <w:pPr>
        <w:spacing w:after="0" w:line="240" w:lineRule="auto"/>
        <w:ind w:firstLine="720"/>
        <w:jc w:val="both"/>
        <w:rPr>
          <w:rFonts w:ascii="Times New Roman" w:hAnsi="Times New Roman" w:cs="Times New Roman"/>
          <w:sz w:val="28"/>
          <w:szCs w:val="28"/>
          <w:lang w:eastAsia="ru-RU"/>
        </w:rPr>
      </w:pPr>
      <w:r w:rsidRPr="001C34E9">
        <w:rPr>
          <w:rFonts w:ascii="Times New Roman" w:hAnsi="Times New Roman" w:cs="Times New Roman"/>
          <w:sz w:val="28"/>
          <w:szCs w:val="28"/>
          <w:lang w:eastAsia="ru-RU"/>
        </w:rPr>
        <w:t>«Улучшение инвестиционного климата Тульской области»</w:t>
      </w:r>
      <w:r>
        <w:rPr>
          <w:rFonts w:ascii="Times New Roman" w:hAnsi="Times New Roman" w:cs="Times New Roman"/>
          <w:sz w:val="28"/>
          <w:szCs w:val="28"/>
          <w:lang w:eastAsia="ru-RU"/>
        </w:rPr>
        <w:t xml:space="preserve"> -</w:t>
      </w:r>
      <w:r w:rsidRPr="001C34E9">
        <w:rPr>
          <w:rFonts w:ascii="Times New Roman" w:hAnsi="Times New Roman" w:cs="Times New Roman"/>
          <w:sz w:val="28"/>
          <w:szCs w:val="28"/>
          <w:lang w:eastAsia="ru-RU"/>
        </w:rPr>
        <w:t xml:space="preserve"> на строительство и (или) реконструкцию объектов инфраструктуры, необходимых для осуществления инвестиционных проектов инициаторами проектов в </w:t>
      </w:r>
      <w:proofErr w:type="spellStart"/>
      <w:r w:rsidRPr="001C34E9">
        <w:rPr>
          <w:rFonts w:ascii="Times New Roman" w:hAnsi="Times New Roman" w:cs="Times New Roman"/>
          <w:sz w:val="28"/>
          <w:szCs w:val="28"/>
          <w:lang w:eastAsia="ru-RU"/>
        </w:rPr>
        <w:t>монопрофильном</w:t>
      </w:r>
      <w:proofErr w:type="spellEnd"/>
      <w:r w:rsidRPr="001C34E9">
        <w:rPr>
          <w:rFonts w:ascii="Times New Roman" w:hAnsi="Times New Roman" w:cs="Times New Roman"/>
          <w:sz w:val="28"/>
          <w:szCs w:val="28"/>
          <w:lang w:eastAsia="ru-RU"/>
        </w:rPr>
        <w:t xml:space="preserve"> муниципальном образовании Тульской области</w:t>
      </w:r>
      <w:r>
        <w:rPr>
          <w:rFonts w:ascii="Times New Roman" w:hAnsi="Times New Roman" w:cs="Times New Roman"/>
          <w:sz w:val="28"/>
          <w:szCs w:val="28"/>
          <w:lang w:eastAsia="ru-RU"/>
        </w:rPr>
        <w:t>,</w:t>
      </w:r>
      <w:r w:rsidRPr="001C34E9">
        <w:rPr>
          <w:rFonts w:ascii="Times New Roman" w:hAnsi="Times New Roman" w:cs="Times New Roman"/>
          <w:sz w:val="28"/>
          <w:szCs w:val="28"/>
          <w:lang w:eastAsia="ru-RU"/>
        </w:rPr>
        <w:t xml:space="preserve"> в рамках</w:t>
      </w:r>
      <w:r w:rsidRPr="001C34E9">
        <w:rPr>
          <w:rFonts w:ascii="Calibri" w:hAnsi="Calibri" w:cs="Times New Roman"/>
        </w:rPr>
        <w:t xml:space="preserve"> </w:t>
      </w:r>
      <w:r w:rsidRPr="001C34E9">
        <w:rPr>
          <w:rFonts w:ascii="Times New Roman" w:hAnsi="Times New Roman" w:cs="Times New Roman"/>
          <w:sz w:val="28"/>
          <w:szCs w:val="28"/>
          <w:lang w:eastAsia="ru-RU"/>
        </w:rPr>
        <w:t xml:space="preserve">регионального проекта «Повышение инвестиционной привлекательности региона» в 2022 году в объеме 50 000,0 </w:t>
      </w:r>
      <w:r>
        <w:rPr>
          <w:rFonts w:ascii="Times New Roman" w:hAnsi="Times New Roman" w:cs="Times New Roman"/>
          <w:sz w:val="28"/>
          <w:szCs w:val="28"/>
          <w:lang w:eastAsia="ru-RU"/>
        </w:rPr>
        <w:t>тыс. рублей</w:t>
      </w:r>
      <w:r w:rsidRPr="001C34E9">
        <w:rPr>
          <w:rFonts w:ascii="Times New Roman" w:hAnsi="Times New Roman" w:cs="Times New Roman"/>
          <w:sz w:val="28"/>
          <w:szCs w:val="28"/>
          <w:lang w:eastAsia="ru-RU"/>
        </w:rPr>
        <w:t xml:space="preserve"> (субсидии бюджету муниципального образования г. Алексин), в 2023 </w:t>
      </w:r>
      <w:r>
        <w:rPr>
          <w:rFonts w:ascii="Times New Roman" w:hAnsi="Times New Roman" w:cs="Times New Roman"/>
          <w:sz w:val="28"/>
          <w:szCs w:val="28"/>
          <w:lang w:eastAsia="ru-RU"/>
        </w:rPr>
        <w:t xml:space="preserve">году </w:t>
      </w:r>
      <w:r w:rsidRPr="001C34E9">
        <w:rPr>
          <w:rFonts w:ascii="Times New Roman" w:hAnsi="Times New Roman" w:cs="Times New Roman"/>
          <w:sz w:val="28"/>
          <w:szCs w:val="28"/>
          <w:lang w:eastAsia="ru-RU"/>
        </w:rPr>
        <w:t xml:space="preserve">(субсидии бюджетам муниципальных образований: Белевский район и </w:t>
      </w:r>
      <w:r w:rsidRPr="001C34E9">
        <w:rPr>
          <w:rFonts w:ascii="Times New Roman" w:hAnsi="Times New Roman" w:cs="Times New Roman"/>
          <w:sz w:val="28"/>
          <w:szCs w:val="28"/>
          <w:lang w:eastAsia="ru-RU"/>
        </w:rPr>
        <w:lastRenderedPageBreak/>
        <w:t>г. Ефремов)</w:t>
      </w:r>
      <w:r>
        <w:rPr>
          <w:rFonts w:ascii="Times New Roman" w:hAnsi="Times New Roman" w:cs="Times New Roman"/>
          <w:sz w:val="28"/>
          <w:szCs w:val="28"/>
          <w:lang w:eastAsia="ru-RU"/>
        </w:rPr>
        <w:t>,</w:t>
      </w:r>
      <w:r w:rsidRPr="001C34E9">
        <w:rPr>
          <w:rFonts w:ascii="Times New Roman" w:hAnsi="Times New Roman" w:cs="Times New Roman"/>
          <w:sz w:val="28"/>
          <w:szCs w:val="28"/>
          <w:lang w:eastAsia="ru-RU"/>
        </w:rPr>
        <w:t xml:space="preserve"> в 2024 год</w:t>
      </w:r>
      <w:r>
        <w:rPr>
          <w:rFonts w:ascii="Times New Roman" w:hAnsi="Times New Roman" w:cs="Times New Roman"/>
          <w:sz w:val="28"/>
          <w:szCs w:val="28"/>
          <w:lang w:eastAsia="ru-RU"/>
        </w:rPr>
        <w:t>у</w:t>
      </w:r>
      <w:r w:rsidRPr="001C34E9">
        <w:rPr>
          <w:rFonts w:ascii="Times New Roman" w:hAnsi="Times New Roman" w:cs="Times New Roman"/>
          <w:sz w:val="28"/>
          <w:szCs w:val="28"/>
          <w:lang w:eastAsia="ru-RU"/>
        </w:rPr>
        <w:t xml:space="preserve"> (субсидии бюджетам муниципальных образований: г. Алексин и г. Ефремов) в объеме 80 000,0 </w:t>
      </w:r>
      <w:r>
        <w:rPr>
          <w:rFonts w:ascii="Times New Roman" w:hAnsi="Times New Roman" w:cs="Times New Roman"/>
          <w:sz w:val="28"/>
          <w:szCs w:val="28"/>
          <w:lang w:eastAsia="ru-RU"/>
        </w:rPr>
        <w:t>тыс. рублей</w:t>
      </w:r>
      <w:r w:rsidRPr="001C34E9">
        <w:rPr>
          <w:rFonts w:ascii="Times New Roman" w:hAnsi="Times New Roman" w:cs="Times New Roman"/>
          <w:sz w:val="28"/>
          <w:szCs w:val="28"/>
          <w:lang w:eastAsia="ru-RU"/>
        </w:rPr>
        <w:t xml:space="preserve"> ежегодно.</w:t>
      </w:r>
    </w:p>
    <w:p w14:paraId="0241A7A6" w14:textId="48C36E53" w:rsidR="007B19BD" w:rsidRPr="00D30375" w:rsidRDefault="00290FBC" w:rsidP="007B19BD">
      <w:pPr>
        <w:widowControl w:val="0"/>
        <w:spacing w:before="120" w:after="0" w:line="240" w:lineRule="auto"/>
        <w:ind w:firstLine="709"/>
        <w:jc w:val="both"/>
        <w:rPr>
          <w:rFonts w:ascii="Times New Roman" w:eastAsia="Times New Roman" w:hAnsi="Times New Roman" w:cs="Times New Roman"/>
          <w:sz w:val="28"/>
          <w:szCs w:val="28"/>
          <w:lang w:eastAsia="ru-RU"/>
        </w:rPr>
      </w:pPr>
      <w:r w:rsidRPr="00A65E4C">
        <w:rPr>
          <w:rFonts w:ascii="Times New Roman" w:eastAsia="Calibri" w:hAnsi="Times New Roman" w:cs="Times New Roman"/>
          <w:b/>
          <w:sz w:val="28"/>
          <w:szCs w:val="28"/>
        </w:rPr>
        <w:t>3.3.4</w:t>
      </w:r>
      <w:r w:rsidRPr="00A65E4C">
        <w:rPr>
          <w:rFonts w:ascii="Times New Roman" w:eastAsia="Calibri" w:hAnsi="Times New Roman" w:cs="Times New Roman"/>
          <w:sz w:val="28"/>
          <w:szCs w:val="28"/>
        </w:rPr>
        <w:t>.</w:t>
      </w:r>
      <w:r w:rsidR="00A65E4C">
        <w:rPr>
          <w:rFonts w:ascii="Times New Roman" w:eastAsia="Calibri" w:hAnsi="Times New Roman" w:cs="Times New Roman"/>
          <w:sz w:val="28"/>
          <w:szCs w:val="28"/>
        </w:rPr>
        <w:t> </w:t>
      </w:r>
      <w:r w:rsidR="007B19BD" w:rsidRPr="00D30375">
        <w:rPr>
          <w:rFonts w:ascii="Times New Roman" w:eastAsia="Calibri" w:hAnsi="Times New Roman" w:cs="Times New Roman"/>
          <w:sz w:val="28"/>
          <w:szCs w:val="28"/>
        </w:rPr>
        <w:t>В расходах бюджета области</w:t>
      </w:r>
      <w:r w:rsidR="007B19BD" w:rsidRPr="00D30375">
        <w:rPr>
          <w:rFonts w:ascii="Times New Roman" w:eastAsia="Times New Roman" w:hAnsi="Times New Roman" w:cs="Times New Roman"/>
          <w:sz w:val="28"/>
          <w:szCs w:val="28"/>
          <w:lang w:eastAsia="ru-RU"/>
        </w:rPr>
        <w:t xml:space="preserve"> в прогнозируемом периоде </w:t>
      </w:r>
      <w:r w:rsidR="007B19BD" w:rsidRPr="00EC39F0">
        <w:rPr>
          <w:rFonts w:ascii="Times New Roman" w:eastAsia="Times New Roman" w:hAnsi="Times New Roman" w:cs="Times New Roman"/>
          <w:sz w:val="28"/>
          <w:szCs w:val="28"/>
          <w:lang w:eastAsia="ru-RU"/>
        </w:rPr>
        <w:t xml:space="preserve">предусматриваются бюджетные ассигнования </w:t>
      </w:r>
      <w:r w:rsidR="007B19BD" w:rsidRPr="00EC39F0">
        <w:rPr>
          <w:rFonts w:ascii="Times New Roman" w:eastAsia="Times New Roman" w:hAnsi="Times New Roman" w:cs="Times New Roman"/>
          <w:i/>
          <w:sz w:val="28"/>
          <w:szCs w:val="28"/>
          <w:lang w:eastAsia="ru-RU"/>
        </w:rPr>
        <w:t>на предоставление субсидий в виде имущественных взносов</w:t>
      </w:r>
      <w:r w:rsidR="007B19BD" w:rsidRPr="00EC39F0">
        <w:rPr>
          <w:rFonts w:ascii="Times New Roman" w:eastAsia="Times New Roman" w:hAnsi="Times New Roman" w:cs="Times New Roman"/>
          <w:sz w:val="28"/>
          <w:szCs w:val="28"/>
          <w:lang w:eastAsia="ru-RU"/>
        </w:rPr>
        <w:t xml:space="preserve"> девяти организациям (фондам): в 2022 году в объеме 726 901,6 </w:t>
      </w:r>
      <w:r w:rsidR="007B19BD">
        <w:rPr>
          <w:rFonts w:ascii="Times New Roman" w:eastAsia="Times New Roman" w:hAnsi="Times New Roman" w:cs="Times New Roman"/>
          <w:sz w:val="28"/>
          <w:szCs w:val="28"/>
          <w:lang w:eastAsia="ru-RU"/>
        </w:rPr>
        <w:t>тыс. рублей</w:t>
      </w:r>
      <w:r w:rsidR="007B19BD" w:rsidRPr="00EC39F0">
        <w:rPr>
          <w:rFonts w:ascii="Times New Roman" w:eastAsia="Times New Roman" w:hAnsi="Times New Roman" w:cs="Times New Roman"/>
          <w:sz w:val="28"/>
          <w:szCs w:val="28"/>
          <w:lang w:eastAsia="ru-RU"/>
        </w:rPr>
        <w:t xml:space="preserve">, в 2023 году – 551 567,9 </w:t>
      </w:r>
      <w:r w:rsidR="007B19BD">
        <w:rPr>
          <w:rFonts w:ascii="Times New Roman" w:eastAsia="Times New Roman" w:hAnsi="Times New Roman" w:cs="Times New Roman"/>
          <w:sz w:val="28"/>
          <w:szCs w:val="28"/>
          <w:lang w:eastAsia="ru-RU"/>
        </w:rPr>
        <w:t>тыс. рублей</w:t>
      </w:r>
      <w:r w:rsidR="007B19BD" w:rsidRPr="00EC39F0">
        <w:rPr>
          <w:rFonts w:ascii="Times New Roman" w:eastAsia="Times New Roman" w:hAnsi="Times New Roman" w:cs="Times New Roman"/>
          <w:sz w:val="28"/>
          <w:szCs w:val="28"/>
          <w:lang w:eastAsia="ru-RU"/>
        </w:rPr>
        <w:t xml:space="preserve">, </w:t>
      </w:r>
      <w:r w:rsidR="007B19BD" w:rsidRPr="00206D18">
        <w:rPr>
          <w:rFonts w:ascii="Times New Roman" w:eastAsia="Times New Roman" w:hAnsi="Times New Roman" w:cs="Times New Roman"/>
          <w:sz w:val="28"/>
          <w:szCs w:val="28"/>
          <w:lang w:eastAsia="ru-RU"/>
        </w:rPr>
        <w:t>в 2024 году</w:t>
      </w:r>
      <w:r w:rsidR="007B19BD" w:rsidRPr="00EC39F0">
        <w:rPr>
          <w:rFonts w:ascii="Times New Roman" w:eastAsia="Times New Roman" w:hAnsi="Times New Roman" w:cs="Times New Roman"/>
          <w:sz w:val="28"/>
          <w:szCs w:val="28"/>
          <w:lang w:eastAsia="ru-RU"/>
        </w:rPr>
        <w:t xml:space="preserve"> </w:t>
      </w:r>
      <w:r w:rsidR="007B19BD" w:rsidRPr="00D30375">
        <w:rPr>
          <w:rFonts w:ascii="Times New Roman" w:eastAsia="Times New Roman" w:hAnsi="Times New Roman" w:cs="Times New Roman"/>
          <w:sz w:val="28"/>
          <w:szCs w:val="28"/>
          <w:lang w:eastAsia="ru-RU"/>
        </w:rPr>
        <w:t>–</w:t>
      </w:r>
      <w:r w:rsidR="007B19BD">
        <w:rPr>
          <w:rFonts w:ascii="Times New Roman" w:eastAsia="Times New Roman" w:hAnsi="Times New Roman" w:cs="Times New Roman"/>
          <w:sz w:val="28"/>
          <w:szCs w:val="28"/>
          <w:lang w:eastAsia="ru-RU"/>
        </w:rPr>
        <w:t xml:space="preserve"> </w:t>
      </w:r>
      <w:r w:rsidR="007B19BD" w:rsidRPr="00EC39F0">
        <w:rPr>
          <w:rFonts w:ascii="Times New Roman" w:eastAsia="Times New Roman" w:hAnsi="Times New Roman" w:cs="Times New Roman"/>
          <w:sz w:val="28"/>
          <w:szCs w:val="28"/>
          <w:lang w:eastAsia="ru-RU"/>
        </w:rPr>
        <w:t xml:space="preserve">465 200,1 </w:t>
      </w:r>
      <w:r w:rsidR="007B19BD">
        <w:rPr>
          <w:rFonts w:ascii="Times New Roman" w:eastAsia="Times New Roman" w:hAnsi="Times New Roman" w:cs="Times New Roman"/>
          <w:sz w:val="28"/>
          <w:szCs w:val="28"/>
          <w:lang w:eastAsia="ru-RU"/>
        </w:rPr>
        <w:t>тыс. рублей</w:t>
      </w:r>
      <w:r w:rsidR="007B19BD" w:rsidRPr="00EC39F0">
        <w:rPr>
          <w:rFonts w:ascii="Times New Roman" w:eastAsia="Times New Roman" w:hAnsi="Times New Roman" w:cs="Times New Roman"/>
          <w:sz w:val="28"/>
          <w:szCs w:val="28"/>
          <w:lang w:eastAsia="ru-RU"/>
        </w:rPr>
        <w:t xml:space="preserve"> </w:t>
      </w:r>
      <w:r w:rsidR="007B19BD" w:rsidRPr="00D30375">
        <w:rPr>
          <w:rFonts w:ascii="Times New Roman" w:eastAsia="Times New Roman" w:hAnsi="Times New Roman" w:cs="Times New Roman"/>
          <w:sz w:val="28"/>
          <w:szCs w:val="28"/>
          <w:lang w:eastAsia="ru-RU"/>
        </w:rPr>
        <w:t xml:space="preserve">(информация </w:t>
      </w:r>
      <w:r w:rsidR="007B19BD" w:rsidRPr="002745CF">
        <w:rPr>
          <w:rFonts w:ascii="Times New Roman" w:eastAsia="Times New Roman" w:hAnsi="Times New Roman" w:cs="Times New Roman"/>
          <w:sz w:val="28"/>
          <w:szCs w:val="28"/>
          <w:lang w:eastAsia="ru-RU"/>
        </w:rPr>
        <w:t>представлена в приложении №7</w:t>
      </w:r>
      <w:r w:rsidR="007B19BD" w:rsidRPr="00D30375">
        <w:rPr>
          <w:rFonts w:ascii="Times New Roman" w:eastAsia="Times New Roman" w:hAnsi="Times New Roman" w:cs="Times New Roman"/>
          <w:sz w:val="28"/>
          <w:szCs w:val="28"/>
          <w:lang w:eastAsia="ru-RU"/>
        </w:rPr>
        <w:t xml:space="preserve"> к заключению). По сравнению с 202</w:t>
      </w:r>
      <w:r w:rsidR="007B19BD">
        <w:rPr>
          <w:rFonts w:ascii="Times New Roman" w:eastAsia="Times New Roman" w:hAnsi="Times New Roman" w:cs="Times New Roman"/>
          <w:sz w:val="28"/>
          <w:szCs w:val="28"/>
          <w:lang w:eastAsia="ru-RU"/>
        </w:rPr>
        <w:t>1</w:t>
      </w:r>
      <w:r w:rsidR="007B19BD" w:rsidRPr="00D30375">
        <w:rPr>
          <w:rFonts w:ascii="Times New Roman" w:eastAsia="Times New Roman" w:hAnsi="Times New Roman" w:cs="Times New Roman"/>
          <w:sz w:val="28"/>
          <w:szCs w:val="28"/>
          <w:lang w:eastAsia="ru-RU"/>
        </w:rPr>
        <w:t xml:space="preserve"> годом</w:t>
      </w:r>
      <w:r w:rsidR="007B19BD">
        <w:rPr>
          <w:rFonts w:ascii="Times New Roman" w:eastAsia="Times New Roman" w:hAnsi="Times New Roman" w:cs="Times New Roman"/>
          <w:sz w:val="28"/>
          <w:szCs w:val="28"/>
          <w:lang w:eastAsia="ru-RU"/>
        </w:rPr>
        <w:t>,</w:t>
      </w:r>
      <w:r w:rsidR="007B19BD" w:rsidRPr="00D30375">
        <w:rPr>
          <w:rFonts w:ascii="Times New Roman" w:eastAsia="Times New Roman" w:hAnsi="Times New Roman" w:cs="Times New Roman"/>
          <w:sz w:val="28"/>
          <w:szCs w:val="28"/>
          <w:lang w:eastAsia="ru-RU"/>
        </w:rPr>
        <w:t xml:space="preserve"> в 202</w:t>
      </w:r>
      <w:r w:rsidR="007B19BD">
        <w:rPr>
          <w:rFonts w:ascii="Times New Roman" w:eastAsia="Times New Roman" w:hAnsi="Times New Roman" w:cs="Times New Roman"/>
          <w:sz w:val="28"/>
          <w:szCs w:val="28"/>
          <w:lang w:eastAsia="ru-RU"/>
        </w:rPr>
        <w:t>2</w:t>
      </w:r>
      <w:r w:rsidR="007B19BD" w:rsidRPr="00D30375">
        <w:rPr>
          <w:rFonts w:ascii="Times New Roman" w:eastAsia="Times New Roman" w:hAnsi="Times New Roman" w:cs="Times New Roman"/>
          <w:sz w:val="28"/>
          <w:szCs w:val="28"/>
          <w:lang w:eastAsia="ru-RU"/>
        </w:rPr>
        <w:t xml:space="preserve"> году уменьшение расходов бюджета на указанные цели составляет </w:t>
      </w:r>
      <w:r w:rsidR="007B19BD" w:rsidRPr="00EC39F0">
        <w:rPr>
          <w:rFonts w:ascii="Times New Roman" w:eastAsia="Times New Roman" w:hAnsi="Times New Roman" w:cs="Times New Roman"/>
          <w:sz w:val="28"/>
          <w:szCs w:val="28"/>
          <w:lang w:eastAsia="ru-RU"/>
        </w:rPr>
        <w:t xml:space="preserve">53 825,0 </w:t>
      </w:r>
      <w:r w:rsidR="007B19BD">
        <w:rPr>
          <w:rFonts w:ascii="Times New Roman" w:eastAsia="Times New Roman" w:hAnsi="Times New Roman" w:cs="Times New Roman"/>
          <w:sz w:val="28"/>
          <w:szCs w:val="28"/>
          <w:lang w:eastAsia="ru-RU"/>
        </w:rPr>
        <w:t>тыс. рублей</w:t>
      </w:r>
      <w:r w:rsidR="007B19BD" w:rsidRPr="00EC39F0">
        <w:rPr>
          <w:rFonts w:ascii="Times New Roman" w:eastAsia="Times New Roman" w:hAnsi="Times New Roman" w:cs="Times New Roman"/>
          <w:sz w:val="28"/>
          <w:szCs w:val="28"/>
          <w:lang w:eastAsia="ru-RU"/>
        </w:rPr>
        <w:t>, или 6,9%. В плановом периоде 2023 и 2024 годов</w:t>
      </w:r>
      <w:r w:rsidR="007B19BD">
        <w:rPr>
          <w:rFonts w:ascii="Times New Roman" w:eastAsia="Times New Roman" w:hAnsi="Times New Roman" w:cs="Times New Roman"/>
          <w:sz w:val="28"/>
          <w:szCs w:val="28"/>
          <w:lang w:eastAsia="ru-RU"/>
        </w:rPr>
        <w:t>,</w:t>
      </w:r>
      <w:r w:rsidR="007B19BD" w:rsidRPr="00EC39F0">
        <w:rPr>
          <w:rFonts w:ascii="Times New Roman" w:eastAsia="Times New Roman" w:hAnsi="Times New Roman" w:cs="Times New Roman"/>
          <w:sz w:val="28"/>
          <w:szCs w:val="28"/>
          <w:lang w:eastAsia="ru-RU"/>
        </w:rPr>
        <w:t xml:space="preserve"> по сравнению с 2022 годом</w:t>
      </w:r>
      <w:r w:rsidR="007B19BD">
        <w:rPr>
          <w:rFonts w:ascii="Times New Roman" w:eastAsia="Times New Roman" w:hAnsi="Times New Roman" w:cs="Times New Roman"/>
          <w:sz w:val="28"/>
          <w:szCs w:val="28"/>
          <w:lang w:eastAsia="ru-RU"/>
        </w:rPr>
        <w:t>,</w:t>
      </w:r>
      <w:r w:rsidR="007B19BD" w:rsidRPr="00EC39F0">
        <w:rPr>
          <w:rFonts w:ascii="Times New Roman" w:eastAsia="Times New Roman" w:hAnsi="Times New Roman" w:cs="Times New Roman"/>
          <w:sz w:val="28"/>
          <w:szCs w:val="28"/>
          <w:lang w:eastAsia="ru-RU"/>
        </w:rPr>
        <w:t xml:space="preserve"> расходы бюджета области на эти </w:t>
      </w:r>
      <w:r w:rsidR="007B19BD" w:rsidRPr="00206D18">
        <w:rPr>
          <w:rFonts w:ascii="Times New Roman" w:eastAsia="Times New Roman" w:hAnsi="Times New Roman" w:cs="Times New Roman"/>
          <w:sz w:val="28"/>
          <w:szCs w:val="28"/>
          <w:lang w:eastAsia="ru-RU"/>
        </w:rPr>
        <w:t>цели уменьшены</w:t>
      </w:r>
      <w:r w:rsidR="007B19BD" w:rsidRPr="00EC39F0">
        <w:rPr>
          <w:rFonts w:ascii="Times New Roman" w:eastAsia="Times New Roman" w:hAnsi="Times New Roman" w:cs="Times New Roman"/>
          <w:sz w:val="28"/>
          <w:szCs w:val="28"/>
          <w:lang w:eastAsia="ru-RU"/>
        </w:rPr>
        <w:t xml:space="preserve"> на 24,1% и 36%</w:t>
      </w:r>
      <w:r w:rsidR="007B19BD">
        <w:rPr>
          <w:rFonts w:ascii="Times New Roman" w:eastAsia="Times New Roman" w:hAnsi="Times New Roman" w:cs="Times New Roman"/>
          <w:sz w:val="28"/>
          <w:szCs w:val="28"/>
          <w:lang w:eastAsia="ru-RU"/>
        </w:rPr>
        <w:t>,</w:t>
      </w:r>
      <w:r w:rsidR="007B19BD" w:rsidRPr="00EC39F0">
        <w:rPr>
          <w:rFonts w:ascii="Times New Roman" w:eastAsia="Times New Roman" w:hAnsi="Times New Roman" w:cs="Times New Roman"/>
          <w:sz w:val="28"/>
          <w:szCs w:val="28"/>
          <w:lang w:eastAsia="ru-RU"/>
        </w:rPr>
        <w:t xml:space="preserve"> соответственно</w:t>
      </w:r>
      <w:r w:rsidR="007B19BD">
        <w:rPr>
          <w:rFonts w:ascii="Times New Roman" w:eastAsia="Times New Roman" w:hAnsi="Times New Roman" w:cs="Times New Roman"/>
          <w:sz w:val="28"/>
          <w:szCs w:val="28"/>
          <w:lang w:eastAsia="ru-RU"/>
        </w:rPr>
        <w:t>.</w:t>
      </w:r>
    </w:p>
    <w:p w14:paraId="2BC94CA5" w14:textId="77777777" w:rsidR="007B19BD" w:rsidRPr="00D30375"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30375">
        <w:rPr>
          <w:rFonts w:ascii="Times New Roman" w:eastAsia="Times New Roman" w:hAnsi="Times New Roman" w:cs="Times New Roman"/>
          <w:sz w:val="28"/>
          <w:szCs w:val="28"/>
          <w:lang w:eastAsia="ru-RU"/>
        </w:rPr>
        <w:t xml:space="preserve">Цели предоставления субсидий в виде имущественных взносов, предусмотренные Законопроектом, в рассматриваемом периоде в основном </w:t>
      </w:r>
      <w:r w:rsidRPr="00206D18">
        <w:rPr>
          <w:rFonts w:ascii="Times New Roman" w:eastAsia="Times New Roman" w:hAnsi="Times New Roman" w:cs="Times New Roman"/>
          <w:sz w:val="28"/>
          <w:szCs w:val="28"/>
          <w:lang w:eastAsia="ru-RU"/>
        </w:rPr>
        <w:t>остаются неизменными</w:t>
      </w:r>
      <w:r>
        <w:rPr>
          <w:rFonts w:ascii="Times New Roman" w:eastAsia="Times New Roman" w:hAnsi="Times New Roman" w:cs="Times New Roman"/>
          <w:sz w:val="28"/>
          <w:szCs w:val="28"/>
          <w:lang w:eastAsia="ru-RU"/>
        </w:rPr>
        <w:t>,</w:t>
      </w:r>
      <w:r w:rsidRPr="00D30375">
        <w:rPr>
          <w:rFonts w:ascii="Times New Roman" w:eastAsia="Times New Roman" w:hAnsi="Times New Roman" w:cs="Times New Roman"/>
          <w:sz w:val="28"/>
          <w:szCs w:val="28"/>
          <w:lang w:eastAsia="ru-RU"/>
        </w:rPr>
        <w:t xml:space="preserve"> по сравнению с 202</w:t>
      </w:r>
      <w:r>
        <w:rPr>
          <w:rFonts w:ascii="Times New Roman" w:eastAsia="Times New Roman" w:hAnsi="Times New Roman" w:cs="Times New Roman"/>
          <w:sz w:val="28"/>
          <w:szCs w:val="28"/>
          <w:lang w:eastAsia="ru-RU"/>
        </w:rPr>
        <w:t>1</w:t>
      </w:r>
      <w:r w:rsidRPr="00D30375">
        <w:rPr>
          <w:rFonts w:ascii="Times New Roman" w:eastAsia="Times New Roman" w:hAnsi="Times New Roman" w:cs="Times New Roman"/>
          <w:sz w:val="28"/>
          <w:szCs w:val="28"/>
          <w:lang w:eastAsia="ru-RU"/>
        </w:rPr>
        <w:t xml:space="preserve"> годом.</w:t>
      </w:r>
    </w:p>
    <w:p w14:paraId="648E1867"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30375">
        <w:rPr>
          <w:rFonts w:ascii="Times New Roman" w:eastAsia="Times New Roman" w:hAnsi="Times New Roman" w:cs="Times New Roman"/>
          <w:sz w:val="28"/>
          <w:szCs w:val="28"/>
          <w:lang w:eastAsia="ru-RU"/>
        </w:rPr>
        <w:t xml:space="preserve">В прогнозируемом периоде планируется предоставление </w:t>
      </w:r>
      <w:r w:rsidRPr="00264FF0">
        <w:rPr>
          <w:rFonts w:ascii="Times New Roman" w:eastAsia="Times New Roman" w:hAnsi="Times New Roman" w:cs="Times New Roman"/>
          <w:sz w:val="28"/>
          <w:szCs w:val="28"/>
          <w:lang w:eastAsia="ru-RU"/>
        </w:rPr>
        <w:t>имущественных взносов на реализацию пяти региональных проектов:</w:t>
      </w:r>
    </w:p>
    <w:p w14:paraId="3A4B1CAE"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«Повышение туристического потенциала Тульской области» - на продвижение туристического потенциала Тульской области по 39 885,7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ежегодно;</w:t>
      </w:r>
    </w:p>
    <w:p w14:paraId="6E982350"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«Создание благоприятных условий для осуществления деятельности </w:t>
      </w:r>
      <w:proofErr w:type="spellStart"/>
      <w:r w:rsidRPr="00264FF0">
        <w:rPr>
          <w:rFonts w:ascii="Times New Roman" w:eastAsia="Times New Roman" w:hAnsi="Times New Roman" w:cs="Times New Roman"/>
          <w:sz w:val="28"/>
          <w:szCs w:val="28"/>
          <w:lang w:eastAsia="ru-RU"/>
        </w:rPr>
        <w:t>самозанятыми</w:t>
      </w:r>
      <w:proofErr w:type="spellEnd"/>
      <w:r w:rsidRPr="00264FF0">
        <w:rPr>
          <w:rFonts w:ascii="Times New Roman" w:eastAsia="Times New Roman" w:hAnsi="Times New Roman" w:cs="Times New Roman"/>
          <w:sz w:val="28"/>
          <w:szCs w:val="28"/>
          <w:lang w:eastAsia="ru-RU"/>
        </w:rPr>
        <w:t xml:space="preserve"> гражданами» - на оказание поддержки физическим лицам, применяющим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r w:rsidRPr="00264FF0">
        <w:rPr>
          <w:rFonts w:ascii="Times New Roman" w:eastAsia="Times New Roman" w:hAnsi="Times New Roman" w:cs="Times New Roman"/>
          <w:sz w:val="28"/>
          <w:szCs w:val="28"/>
          <w:lang w:eastAsia="ru-RU"/>
        </w:rPr>
        <w:t xml:space="preserve"> на 2022 год – 4 879,4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2023 год – 5 911,4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2024 год – 6 508,1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w:t>
      </w:r>
    </w:p>
    <w:p w14:paraId="5D8FA7AD"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«Создание условий для легкого старта и комфортного ведения бизнеса» - на реализацию комплекса услуг, направленных на вовлечение в предпринимательскую деятельность</w:t>
      </w:r>
      <w:r>
        <w:rPr>
          <w:rFonts w:ascii="Times New Roman" w:eastAsia="Times New Roman" w:hAnsi="Times New Roman" w:cs="Times New Roman"/>
          <w:sz w:val="28"/>
          <w:szCs w:val="28"/>
          <w:lang w:eastAsia="ru-RU"/>
        </w:rPr>
        <w:t>,</w:t>
      </w:r>
      <w:r w:rsidRPr="00264FF0">
        <w:rPr>
          <w:rFonts w:ascii="Times New Roman" w:eastAsia="Times New Roman" w:hAnsi="Times New Roman" w:cs="Times New Roman"/>
          <w:sz w:val="28"/>
          <w:szCs w:val="28"/>
          <w:lang w:eastAsia="ru-RU"/>
        </w:rPr>
        <w:t xml:space="preserve"> на 2022 год – 10 164,5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2023 год – 15 848,0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2024 год – 17 914,8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w:t>
      </w:r>
    </w:p>
    <w:p w14:paraId="6B207C2D"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«Акселерация субъектов малого и среднего предпринимательства»:</w:t>
      </w:r>
    </w:p>
    <w:p w14:paraId="5848AC81"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 на создание и обеспечение деятельности центра «Мой бизнес» на 2022 </w:t>
      </w:r>
      <w:r>
        <w:rPr>
          <w:rFonts w:ascii="Times New Roman" w:eastAsia="Times New Roman" w:hAnsi="Times New Roman" w:cs="Times New Roman"/>
          <w:sz w:val="28"/>
          <w:szCs w:val="28"/>
          <w:lang w:eastAsia="ru-RU"/>
        </w:rPr>
        <w:t xml:space="preserve">год </w:t>
      </w:r>
      <w:r w:rsidRPr="00264FF0">
        <w:rPr>
          <w:rFonts w:ascii="Times New Roman" w:eastAsia="Times New Roman" w:hAnsi="Times New Roman" w:cs="Times New Roman"/>
          <w:sz w:val="28"/>
          <w:szCs w:val="28"/>
          <w:lang w:eastAsia="ru-RU"/>
        </w:rPr>
        <w:t xml:space="preserve">– 52 586,9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2023 год – 49 948,1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2024 год –</w:t>
      </w:r>
      <w:r>
        <w:rPr>
          <w:rFonts w:ascii="Times New Roman" w:eastAsia="Times New Roman" w:hAnsi="Times New Roman" w:cs="Times New Roman"/>
          <w:sz w:val="28"/>
          <w:szCs w:val="28"/>
          <w:lang w:eastAsia="ru-RU"/>
        </w:rPr>
        <w:t xml:space="preserve"> </w:t>
      </w:r>
      <w:r w:rsidRPr="00264FF0">
        <w:rPr>
          <w:rFonts w:ascii="Times New Roman" w:eastAsia="Times New Roman" w:hAnsi="Times New Roman" w:cs="Times New Roman"/>
          <w:sz w:val="28"/>
          <w:szCs w:val="28"/>
          <w:lang w:eastAsia="ru-RU"/>
        </w:rPr>
        <w:t xml:space="preserve">31 137,8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w:t>
      </w:r>
    </w:p>
    <w:p w14:paraId="770EA8E7"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 на функционирование Центра поддержки экспорта на 2022 год – 29 695,8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2023 год – 56 391,1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2024 год – 40 144,0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w:t>
      </w:r>
    </w:p>
    <w:p w14:paraId="0872902C"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 на развитие деятельности Тульского областного гарантийного фонда на 2022 год – 51 406,3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2023 год – 95 300,6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xml:space="preserve">, 2024 год – 20 308,0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w:t>
      </w:r>
    </w:p>
    <w:p w14:paraId="2E118AFA"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«Развитие ипотечного жилищного кредитования в Тульской области»:</w:t>
      </w:r>
    </w:p>
    <w:p w14:paraId="720D6BFD"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 на осуществление инвестиционной деятельности в целях формирования рынка доступного и комфортного жилья на территории Тульской области на 2022 год – 250 000,0 </w:t>
      </w:r>
      <w:r>
        <w:rPr>
          <w:rFonts w:ascii="Times New Roman" w:eastAsia="Times New Roman" w:hAnsi="Times New Roman" w:cs="Times New Roman"/>
          <w:sz w:val="28"/>
          <w:szCs w:val="28"/>
          <w:lang w:eastAsia="ru-RU"/>
        </w:rPr>
        <w:t>тыс. рублей</w:t>
      </w:r>
      <w:r w:rsidRPr="00264FF0">
        <w:rPr>
          <w:rFonts w:ascii="Times New Roman" w:eastAsia="Times New Roman" w:hAnsi="Times New Roman" w:cs="Times New Roman"/>
          <w:sz w:val="28"/>
          <w:szCs w:val="28"/>
          <w:lang w:eastAsia="ru-RU"/>
        </w:rPr>
        <w:t>, на 2023 и 2024 годы бюджетные ассигнования не предусмотрены;</w:t>
      </w:r>
    </w:p>
    <w:p w14:paraId="07F4BA95" w14:textId="77777777" w:rsidR="007B19BD" w:rsidRPr="00264FF0" w:rsidRDefault="007B19BD" w:rsidP="007B19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64FF0">
        <w:rPr>
          <w:rFonts w:ascii="Times New Roman" w:eastAsia="Times New Roman" w:hAnsi="Times New Roman" w:cs="Times New Roman"/>
          <w:sz w:val="28"/>
          <w:szCs w:val="28"/>
          <w:lang w:eastAsia="ru-RU"/>
        </w:rPr>
        <w:t xml:space="preserve">- на предоставление льготных ипотечных займов для определенных </w:t>
      </w:r>
      <w:r w:rsidRPr="00264FF0">
        <w:rPr>
          <w:rFonts w:ascii="Times New Roman" w:eastAsia="Times New Roman" w:hAnsi="Times New Roman" w:cs="Times New Roman"/>
          <w:sz w:val="28"/>
          <w:szCs w:val="28"/>
          <w:lang w:eastAsia="ru-RU"/>
        </w:rPr>
        <w:lastRenderedPageBreak/>
        <w:t xml:space="preserve">категорий граждан </w:t>
      </w:r>
      <w:r>
        <w:rPr>
          <w:rFonts w:ascii="Times New Roman" w:eastAsia="Times New Roman" w:hAnsi="Times New Roman" w:cs="Times New Roman"/>
          <w:sz w:val="28"/>
          <w:szCs w:val="28"/>
          <w:lang w:eastAsia="ru-RU"/>
        </w:rPr>
        <w:t>–</w:t>
      </w:r>
      <w:r w:rsidRPr="00264F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2022 год и плановый период 2023 и 2024 годов </w:t>
      </w:r>
      <w:r w:rsidRPr="00264FF0">
        <w:rPr>
          <w:rFonts w:ascii="Times New Roman" w:eastAsia="Times New Roman" w:hAnsi="Times New Roman" w:cs="Times New Roman"/>
          <w:sz w:val="28"/>
          <w:szCs w:val="28"/>
          <w:lang w:eastAsia="ru-RU"/>
        </w:rPr>
        <w:t xml:space="preserve">по 30 000,0 </w:t>
      </w:r>
      <w:r>
        <w:rPr>
          <w:rFonts w:ascii="Times New Roman" w:eastAsia="Times New Roman" w:hAnsi="Times New Roman" w:cs="Times New Roman"/>
          <w:sz w:val="28"/>
          <w:szCs w:val="28"/>
          <w:lang w:eastAsia="ru-RU"/>
        </w:rPr>
        <w:t>тыс. рублей</w:t>
      </w:r>
      <w:r w:rsidRPr="00264FF0">
        <w:t xml:space="preserve"> </w:t>
      </w:r>
      <w:r w:rsidRPr="00264FF0">
        <w:rPr>
          <w:rFonts w:ascii="Times New Roman" w:eastAsia="Times New Roman" w:hAnsi="Times New Roman" w:cs="Times New Roman"/>
          <w:sz w:val="28"/>
          <w:szCs w:val="28"/>
          <w:lang w:eastAsia="ru-RU"/>
        </w:rPr>
        <w:t>ежегодно.</w:t>
      </w:r>
    </w:p>
    <w:p w14:paraId="5CBDAB97" w14:textId="37A833AB" w:rsidR="00A65E4C" w:rsidRPr="00A65E4C" w:rsidRDefault="00D875D8" w:rsidP="00A65E4C">
      <w:pPr>
        <w:tabs>
          <w:tab w:val="left" w:pos="993"/>
        </w:tabs>
        <w:spacing w:before="240" w:after="120" w:line="240" w:lineRule="auto"/>
        <w:ind w:firstLine="709"/>
        <w:jc w:val="both"/>
        <w:rPr>
          <w:rFonts w:ascii="Times New Roman" w:eastAsia="Times New Roman" w:hAnsi="Times New Roman" w:cs="Times New Roman"/>
          <w:sz w:val="28"/>
          <w:szCs w:val="28"/>
          <w:lang w:eastAsia="ru-RU"/>
        </w:rPr>
      </w:pPr>
      <w:r w:rsidRPr="00D875D8">
        <w:rPr>
          <w:rFonts w:ascii="Times New Roman" w:eastAsia="Calibri" w:hAnsi="Times New Roman" w:cs="Times New Roman"/>
          <w:b/>
          <w:bCs/>
          <w:iCs/>
          <w:spacing w:val="-4"/>
          <w:sz w:val="28"/>
          <w:szCs w:val="28"/>
          <w:lang w:eastAsia="ru-RU"/>
        </w:rPr>
        <w:t>3.4.</w:t>
      </w:r>
      <w:r>
        <w:rPr>
          <w:rFonts w:ascii="Times New Roman" w:eastAsia="Calibri" w:hAnsi="Times New Roman" w:cs="Times New Roman"/>
          <w:bCs/>
          <w:iCs/>
          <w:spacing w:val="-4"/>
          <w:sz w:val="28"/>
          <w:szCs w:val="28"/>
          <w:lang w:eastAsia="ru-RU"/>
        </w:rPr>
        <w:t> </w:t>
      </w:r>
      <w:r w:rsidR="00A65E4C" w:rsidRPr="00A65E4C">
        <w:rPr>
          <w:rFonts w:ascii="Times New Roman" w:eastAsia="Times New Roman" w:hAnsi="Times New Roman" w:cs="Times New Roman"/>
          <w:sz w:val="28"/>
          <w:szCs w:val="28"/>
          <w:lang w:eastAsia="ru-RU"/>
        </w:rPr>
        <w:t xml:space="preserve">Информация о </w:t>
      </w:r>
      <w:r w:rsidR="00A65E4C" w:rsidRPr="00A65E4C">
        <w:rPr>
          <w:rFonts w:ascii="Times New Roman" w:eastAsia="Times New Roman" w:hAnsi="Times New Roman" w:cs="Times New Roman"/>
          <w:i/>
          <w:sz w:val="28"/>
          <w:szCs w:val="28"/>
          <w:lang w:eastAsia="ru-RU"/>
        </w:rPr>
        <w:t>зарезервированных бюджетных ассигнованиях</w:t>
      </w:r>
      <w:r w:rsidR="00A65E4C" w:rsidRPr="00A65E4C">
        <w:rPr>
          <w:rFonts w:ascii="Times New Roman" w:eastAsia="Times New Roman" w:hAnsi="Times New Roman" w:cs="Times New Roman"/>
          <w:sz w:val="28"/>
          <w:szCs w:val="28"/>
          <w:lang w:eastAsia="ru-RU"/>
        </w:rPr>
        <w:t xml:space="preserve"> (КВР 800 «Иные бюджетные ассигнования», подгруппа 870 «Резервные средства») представлена в таблице.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660"/>
        <w:gridCol w:w="1126"/>
        <w:gridCol w:w="1074"/>
        <w:gridCol w:w="1077"/>
      </w:tblGrid>
      <w:tr w:rsidR="00A65E4C" w:rsidRPr="00A65E4C" w14:paraId="751B0BD1" w14:textId="77777777" w:rsidTr="00723408">
        <w:trPr>
          <w:trHeight w:val="248"/>
          <w:tblHeader/>
          <w:jc w:val="center"/>
        </w:trPr>
        <w:tc>
          <w:tcPr>
            <w:tcW w:w="4330" w:type="dxa"/>
            <w:vMerge w:val="restart"/>
            <w:vAlign w:val="center"/>
            <w:hideMark/>
          </w:tcPr>
          <w:p w14:paraId="736C99B1"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4"/>
                <w:szCs w:val="24"/>
                <w:lang w:eastAsia="ru-RU"/>
              </w:rPr>
            </w:pPr>
            <w:r w:rsidRPr="00A65E4C">
              <w:rPr>
                <w:rFonts w:ascii="Times New Roman" w:eastAsia="Times New Roman" w:hAnsi="Times New Roman" w:cs="Times New Roman"/>
                <w:color w:val="000000"/>
                <w:sz w:val="24"/>
                <w:szCs w:val="24"/>
                <w:lang w:eastAsia="ru-RU"/>
              </w:rPr>
              <w:t>Наименование</w:t>
            </w:r>
          </w:p>
        </w:tc>
        <w:tc>
          <w:tcPr>
            <w:tcW w:w="1660" w:type="dxa"/>
            <w:vMerge w:val="restart"/>
            <w:shd w:val="clear" w:color="auto" w:fill="auto"/>
            <w:vAlign w:val="center"/>
            <w:hideMark/>
          </w:tcPr>
          <w:p w14:paraId="28511356"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Закон о бюджете области на 2021 год</w:t>
            </w:r>
            <w:r w:rsidRPr="00A65E4C">
              <w:rPr>
                <w:rStyle w:val="a5"/>
                <w:rFonts w:ascii="Times New Roman" w:eastAsia="Times New Roman" w:hAnsi="Times New Roman" w:cs="Times New Roman"/>
                <w:color w:val="000000"/>
                <w:sz w:val="20"/>
                <w:szCs w:val="20"/>
                <w:lang w:eastAsia="ru-RU"/>
              </w:rPr>
              <w:footnoteReference w:id="23"/>
            </w:r>
            <w:r w:rsidRPr="00A65E4C">
              <w:rPr>
                <w:rFonts w:ascii="Times New Roman" w:eastAsia="Times New Roman" w:hAnsi="Times New Roman" w:cs="Times New Roman"/>
                <w:color w:val="000000"/>
                <w:sz w:val="20"/>
                <w:szCs w:val="20"/>
                <w:lang w:eastAsia="ru-RU"/>
              </w:rPr>
              <w:t>, млн. рублей</w:t>
            </w:r>
          </w:p>
        </w:tc>
        <w:tc>
          <w:tcPr>
            <w:tcW w:w="3277" w:type="dxa"/>
            <w:gridSpan w:val="3"/>
            <w:shd w:val="clear" w:color="auto" w:fill="auto"/>
            <w:vAlign w:val="center"/>
            <w:hideMark/>
          </w:tcPr>
          <w:p w14:paraId="495FA3C8"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18"/>
                <w:szCs w:val="18"/>
                <w:lang w:eastAsia="ru-RU"/>
              </w:rPr>
            </w:pPr>
            <w:r w:rsidRPr="00A65E4C">
              <w:rPr>
                <w:rFonts w:ascii="Times New Roman" w:eastAsia="Times New Roman" w:hAnsi="Times New Roman" w:cs="Times New Roman"/>
                <w:color w:val="000000"/>
                <w:sz w:val="18"/>
                <w:szCs w:val="18"/>
                <w:lang w:eastAsia="ru-RU"/>
              </w:rPr>
              <w:t>Законопроект, млн. рублей</w:t>
            </w:r>
          </w:p>
        </w:tc>
      </w:tr>
      <w:tr w:rsidR="00A65E4C" w:rsidRPr="00A65E4C" w14:paraId="245021AE" w14:textId="77777777" w:rsidTr="00723408">
        <w:trPr>
          <w:trHeight w:val="229"/>
          <w:tblHeader/>
          <w:jc w:val="center"/>
        </w:trPr>
        <w:tc>
          <w:tcPr>
            <w:tcW w:w="4330" w:type="dxa"/>
            <w:vMerge/>
            <w:vAlign w:val="center"/>
            <w:hideMark/>
          </w:tcPr>
          <w:p w14:paraId="29A13ACD"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4"/>
                <w:szCs w:val="24"/>
                <w:lang w:eastAsia="ru-RU"/>
              </w:rPr>
            </w:pPr>
          </w:p>
        </w:tc>
        <w:tc>
          <w:tcPr>
            <w:tcW w:w="1660" w:type="dxa"/>
            <w:vMerge/>
            <w:shd w:val="clear" w:color="auto" w:fill="auto"/>
            <w:vAlign w:val="center"/>
            <w:hideMark/>
          </w:tcPr>
          <w:p w14:paraId="29599747"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26" w:type="dxa"/>
            <w:shd w:val="clear" w:color="auto" w:fill="auto"/>
            <w:vAlign w:val="center"/>
            <w:hideMark/>
          </w:tcPr>
          <w:p w14:paraId="6D0D393C"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18"/>
                <w:szCs w:val="18"/>
                <w:lang w:eastAsia="ru-RU"/>
              </w:rPr>
            </w:pPr>
            <w:r w:rsidRPr="00A65E4C">
              <w:rPr>
                <w:rFonts w:ascii="Times New Roman" w:eastAsia="Times New Roman" w:hAnsi="Times New Roman" w:cs="Times New Roman"/>
                <w:color w:val="000000"/>
                <w:sz w:val="18"/>
                <w:szCs w:val="18"/>
                <w:lang w:eastAsia="ru-RU"/>
              </w:rPr>
              <w:t>2022 год</w:t>
            </w:r>
          </w:p>
        </w:tc>
        <w:tc>
          <w:tcPr>
            <w:tcW w:w="1074" w:type="dxa"/>
            <w:shd w:val="clear" w:color="auto" w:fill="auto"/>
            <w:vAlign w:val="center"/>
            <w:hideMark/>
          </w:tcPr>
          <w:p w14:paraId="2F59A6B6"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18"/>
                <w:szCs w:val="18"/>
                <w:lang w:eastAsia="ru-RU"/>
              </w:rPr>
            </w:pPr>
            <w:r w:rsidRPr="00A65E4C">
              <w:rPr>
                <w:rFonts w:ascii="Times New Roman" w:eastAsia="Times New Roman" w:hAnsi="Times New Roman" w:cs="Times New Roman"/>
                <w:color w:val="000000"/>
                <w:sz w:val="18"/>
                <w:szCs w:val="18"/>
                <w:lang w:eastAsia="ru-RU"/>
              </w:rPr>
              <w:t>2023 год</w:t>
            </w:r>
          </w:p>
        </w:tc>
        <w:tc>
          <w:tcPr>
            <w:tcW w:w="1077" w:type="dxa"/>
            <w:shd w:val="clear" w:color="auto" w:fill="auto"/>
            <w:vAlign w:val="center"/>
            <w:hideMark/>
          </w:tcPr>
          <w:p w14:paraId="1D5D6DF5"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18"/>
                <w:szCs w:val="18"/>
                <w:lang w:eastAsia="ru-RU"/>
              </w:rPr>
            </w:pPr>
            <w:r w:rsidRPr="00A65E4C">
              <w:rPr>
                <w:rFonts w:ascii="Times New Roman" w:eastAsia="Times New Roman" w:hAnsi="Times New Roman" w:cs="Times New Roman"/>
                <w:color w:val="000000"/>
                <w:sz w:val="18"/>
                <w:szCs w:val="18"/>
                <w:lang w:eastAsia="ru-RU"/>
              </w:rPr>
              <w:t>2024 год</w:t>
            </w:r>
          </w:p>
        </w:tc>
      </w:tr>
      <w:tr w:rsidR="00A65E4C" w:rsidRPr="00A65E4C" w14:paraId="4F08CD81" w14:textId="77777777" w:rsidTr="00723408">
        <w:trPr>
          <w:trHeight w:val="229"/>
          <w:jc w:val="center"/>
        </w:trPr>
        <w:tc>
          <w:tcPr>
            <w:tcW w:w="4330" w:type="dxa"/>
            <w:shd w:val="clear" w:color="auto" w:fill="auto"/>
            <w:vAlign w:val="center"/>
            <w:hideMark/>
          </w:tcPr>
          <w:p w14:paraId="3128C33D"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Резервный фонд Правительства области</w:t>
            </w:r>
          </w:p>
        </w:tc>
        <w:tc>
          <w:tcPr>
            <w:tcW w:w="1660" w:type="dxa"/>
            <w:shd w:val="clear" w:color="auto" w:fill="auto"/>
            <w:vAlign w:val="center"/>
            <w:hideMark/>
          </w:tcPr>
          <w:p w14:paraId="03D6C964"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100,0</w:t>
            </w:r>
          </w:p>
        </w:tc>
        <w:tc>
          <w:tcPr>
            <w:tcW w:w="1126" w:type="dxa"/>
            <w:shd w:val="clear" w:color="auto" w:fill="auto"/>
            <w:vAlign w:val="center"/>
            <w:hideMark/>
          </w:tcPr>
          <w:p w14:paraId="61F8A6B7"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100,0</w:t>
            </w:r>
          </w:p>
        </w:tc>
        <w:tc>
          <w:tcPr>
            <w:tcW w:w="1074" w:type="dxa"/>
            <w:shd w:val="clear" w:color="auto" w:fill="auto"/>
            <w:hideMark/>
          </w:tcPr>
          <w:p w14:paraId="1B20ACD3"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100,0</w:t>
            </w:r>
          </w:p>
        </w:tc>
        <w:tc>
          <w:tcPr>
            <w:tcW w:w="1077" w:type="dxa"/>
            <w:shd w:val="clear" w:color="auto" w:fill="auto"/>
            <w:hideMark/>
          </w:tcPr>
          <w:p w14:paraId="4F92D52C"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100,0</w:t>
            </w:r>
          </w:p>
        </w:tc>
      </w:tr>
      <w:tr w:rsidR="00A65E4C" w:rsidRPr="00A65E4C" w14:paraId="17D8C3E3" w14:textId="77777777" w:rsidTr="00723408">
        <w:trPr>
          <w:trHeight w:val="229"/>
          <w:jc w:val="center"/>
        </w:trPr>
        <w:tc>
          <w:tcPr>
            <w:tcW w:w="4330" w:type="dxa"/>
            <w:shd w:val="clear" w:color="auto" w:fill="auto"/>
            <w:vAlign w:val="center"/>
          </w:tcPr>
          <w:p w14:paraId="1FC0A382"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 xml:space="preserve">Мероприятия по профилактике нераспространения и устранению последствий новой </w:t>
            </w:r>
            <w:proofErr w:type="spellStart"/>
            <w:r w:rsidRPr="00A65E4C">
              <w:rPr>
                <w:rFonts w:ascii="Times New Roman" w:eastAsia="Times New Roman" w:hAnsi="Times New Roman" w:cs="Times New Roman"/>
                <w:color w:val="000000"/>
                <w:sz w:val="20"/>
                <w:szCs w:val="20"/>
                <w:lang w:eastAsia="ru-RU"/>
              </w:rPr>
              <w:t>коронавирусной</w:t>
            </w:r>
            <w:proofErr w:type="spellEnd"/>
            <w:r w:rsidRPr="00A65E4C">
              <w:rPr>
                <w:rFonts w:ascii="Times New Roman" w:eastAsia="Times New Roman" w:hAnsi="Times New Roman" w:cs="Times New Roman"/>
                <w:color w:val="000000"/>
                <w:sz w:val="20"/>
                <w:szCs w:val="20"/>
                <w:lang w:eastAsia="ru-RU"/>
              </w:rPr>
              <w:t xml:space="preserve"> инфекции (COVID-19)</w:t>
            </w:r>
          </w:p>
        </w:tc>
        <w:tc>
          <w:tcPr>
            <w:tcW w:w="1660" w:type="dxa"/>
            <w:shd w:val="clear" w:color="auto" w:fill="auto"/>
            <w:vAlign w:val="center"/>
          </w:tcPr>
          <w:p w14:paraId="3C4D7D4E"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272,0</w:t>
            </w:r>
          </w:p>
        </w:tc>
        <w:tc>
          <w:tcPr>
            <w:tcW w:w="1126" w:type="dxa"/>
            <w:shd w:val="clear" w:color="auto" w:fill="auto"/>
            <w:vAlign w:val="center"/>
          </w:tcPr>
          <w:p w14:paraId="03CCF354"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50,0</w:t>
            </w:r>
          </w:p>
        </w:tc>
        <w:tc>
          <w:tcPr>
            <w:tcW w:w="1074" w:type="dxa"/>
            <w:shd w:val="clear" w:color="auto" w:fill="auto"/>
            <w:vAlign w:val="center"/>
          </w:tcPr>
          <w:p w14:paraId="689F96C2"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c>
          <w:tcPr>
            <w:tcW w:w="1077" w:type="dxa"/>
            <w:shd w:val="clear" w:color="auto" w:fill="auto"/>
            <w:vAlign w:val="center"/>
          </w:tcPr>
          <w:p w14:paraId="4D6787FD"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r>
      <w:tr w:rsidR="00A65E4C" w:rsidRPr="00A65E4C" w14:paraId="5AFA6299" w14:textId="77777777" w:rsidTr="00723408">
        <w:trPr>
          <w:trHeight w:val="229"/>
          <w:jc w:val="center"/>
        </w:trPr>
        <w:tc>
          <w:tcPr>
            <w:tcW w:w="4330" w:type="dxa"/>
            <w:shd w:val="clear" w:color="auto" w:fill="auto"/>
            <w:vAlign w:val="center"/>
          </w:tcPr>
          <w:p w14:paraId="71DFA02C"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Мероприятия, осуществляемые на основании отдельных решений правительства Тульской области</w:t>
            </w:r>
          </w:p>
        </w:tc>
        <w:tc>
          <w:tcPr>
            <w:tcW w:w="1660" w:type="dxa"/>
            <w:shd w:val="clear" w:color="auto" w:fill="auto"/>
            <w:vAlign w:val="center"/>
          </w:tcPr>
          <w:p w14:paraId="2B10A77B"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1 742,9</w:t>
            </w:r>
          </w:p>
        </w:tc>
        <w:tc>
          <w:tcPr>
            <w:tcW w:w="1126" w:type="dxa"/>
            <w:shd w:val="clear" w:color="auto" w:fill="auto"/>
            <w:vAlign w:val="center"/>
          </w:tcPr>
          <w:p w14:paraId="38F5D7F3"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803,5</w:t>
            </w:r>
          </w:p>
        </w:tc>
        <w:tc>
          <w:tcPr>
            <w:tcW w:w="1074" w:type="dxa"/>
            <w:shd w:val="clear" w:color="auto" w:fill="auto"/>
            <w:vAlign w:val="center"/>
          </w:tcPr>
          <w:p w14:paraId="4A6A5CF1"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1 103,2</w:t>
            </w:r>
          </w:p>
        </w:tc>
        <w:tc>
          <w:tcPr>
            <w:tcW w:w="1077" w:type="dxa"/>
            <w:shd w:val="clear" w:color="auto" w:fill="auto"/>
            <w:vAlign w:val="center"/>
          </w:tcPr>
          <w:p w14:paraId="6D7C7751"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907,9</w:t>
            </w:r>
          </w:p>
        </w:tc>
      </w:tr>
      <w:tr w:rsidR="00A65E4C" w:rsidRPr="00A65E4C" w14:paraId="6C19DE27" w14:textId="77777777" w:rsidTr="00723408">
        <w:trPr>
          <w:trHeight w:val="229"/>
          <w:jc w:val="center"/>
        </w:trPr>
        <w:tc>
          <w:tcPr>
            <w:tcW w:w="4330" w:type="dxa"/>
            <w:shd w:val="clear" w:color="auto" w:fill="auto"/>
            <w:vAlign w:val="center"/>
            <w:hideMark/>
          </w:tcPr>
          <w:p w14:paraId="52A5714E"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Инвестиционный фонд Тульской области</w:t>
            </w:r>
          </w:p>
        </w:tc>
        <w:tc>
          <w:tcPr>
            <w:tcW w:w="1660" w:type="dxa"/>
            <w:shd w:val="clear" w:color="auto" w:fill="auto"/>
            <w:vAlign w:val="center"/>
            <w:hideMark/>
          </w:tcPr>
          <w:p w14:paraId="2FF8A27E"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c>
          <w:tcPr>
            <w:tcW w:w="1126" w:type="dxa"/>
            <w:shd w:val="clear" w:color="auto" w:fill="auto"/>
            <w:vAlign w:val="center"/>
            <w:hideMark/>
          </w:tcPr>
          <w:p w14:paraId="707E777D"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0,9</w:t>
            </w:r>
          </w:p>
        </w:tc>
        <w:tc>
          <w:tcPr>
            <w:tcW w:w="1074" w:type="dxa"/>
            <w:shd w:val="clear" w:color="auto" w:fill="auto"/>
            <w:hideMark/>
          </w:tcPr>
          <w:p w14:paraId="3EBAEDB2"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0,9</w:t>
            </w:r>
          </w:p>
        </w:tc>
        <w:tc>
          <w:tcPr>
            <w:tcW w:w="1077" w:type="dxa"/>
            <w:shd w:val="clear" w:color="auto" w:fill="auto"/>
            <w:hideMark/>
          </w:tcPr>
          <w:p w14:paraId="243DA619"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0,9</w:t>
            </w:r>
          </w:p>
        </w:tc>
      </w:tr>
      <w:tr w:rsidR="00A65E4C" w:rsidRPr="00A65E4C" w14:paraId="14BB5A98" w14:textId="77777777" w:rsidTr="00723408">
        <w:trPr>
          <w:trHeight w:val="415"/>
          <w:jc w:val="center"/>
        </w:trPr>
        <w:tc>
          <w:tcPr>
            <w:tcW w:w="4330" w:type="dxa"/>
            <w:shd w:val="clear" w:color="auto" w:fill="auto"/>
            <w:vAlign w:val="center"/>
          </w:tcPr>
          <w:p w14:paraId="376C6C8A"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Финансовое обеспечение услуг по дополнительному образованию детей на основе персонифицированного финансирования</w:t>
            </w:r>
          </w:p>
        </w:tc>
        <w:tc>
          <w:tcPr>
            <w:tcW w:w="1660" w:type="dxa"/>
            <w:shd w:val="clear" w:color="auto" w:fill="auto"/>
            <w:vAlign w:val="center"/>
          </w:tcPr>
          <w:p w14:paraId="558CB309"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14,4</w:t>
            </w:r>
          </w:p>
        </w:tc>
        <w:tc>
          <w:tcPr>
            <w:tcW w:w="1126" w:type="dxa"/>
            <w:shd w:val="clear" w:color="auto" w:fill="auto"/>
            <w:vAlign w:val="center"/>
          </w:tcPr>
          <w:p w14:paraId="11BD565C"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28,8</w:t>
            </w:r>
          </w:p>
        </w:tc>
        <w:tc>
          <w:tcPr>
            <w:tcW w:w="1074" w:type="dxa"/>
            <w:shd w:val="clear" w:color="auto" w:fill="auto"/>
            <w:vAlign w:val="center"/>
          </w:tcPr>
          <w:p w14:paraId="27A6C517"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31,0</w:t>
            </w:r>
          </w:p>
        </w:tc>
        <w:tc>
          <w:tcPr>
            <w:tcW w:w="1077" w:type="dxa"/>
            <w:shd w:val="clear" w:color="auto" w:fill="auto"/>
            <w:vAlign w:val="center"/>
          </w:tcPr>
          <w:p w14:paraId="43E3C9A3"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32,8</w:t>
            </w:r>
          </w:p>
        </w:tc>
      </w:tr>
      <w:tr w:rsidR="00A65E4C" w:rsidRPr="00A65E4C" w14:paraId="427B2DAC" w14:textId="77777777" w:rsidTr="00723408">
        <w:trPr>
          <w:trHeight w:val="716"/>
          <w:jc w:val="center"/>
        </w:trPr>
        <w:tc>
          <w:tcPr>
            <w:tcW w:w="4330" w:type="dxa"/>
            <w:shd w:val="clear" w:color="auto" w:fill="auto"/>
            <w:vAlign w:val="center"/>
          </w:tcPr>
          <w:p w14:paraId="728F2DAA" w14:textId="77777777" w:rsidR="00A65E4C" w:rsidRPr="00A65E4C" w:rsidRDefault="00A65E4C" w:rsidP="00723408">
            <w:pPr>
              <w:spacing w:after="0" w:line="240" w:lineRule="auto"/>
              <w:ind w:left="-57" w:right="-57"/>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Гранты в форме субсидий на поддержку загородных оздоровительных лагерей, расположенных на территории Тульской области</w:t>
            </w:r>
          </w:p>
        </w:tc>
        <w:tc>
          <w:tcPr>
            <w:tcW w:w="1660" w:type="dxa"/>
            <w:shd w:val="clear" w:color="auto" w:fill="auto"/>
            <w:vAlign w:val="center"/>
          </w:tcPr>
          <w:p w14:paraId="79D7D8A7"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2,5</w:t>
            </w:r>
          </w:p>
        </w:tc>
        <w:tc>
          <w:tcPr>
            <w:tcW w:w="1126" w:type="dxa"/>
            <w:shd w:val="clear" w:color="auto" w:fill="auto"/>
            <w:vAlign w:val="center"/>
          </w:tcPr>
          <w:p w14:paraId="689F6F48"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c>
          <w:tcPr>
            <w:tcW w:w="1074" w:type="dxa"/>
            <w:shd w:val="clear" w:color="auto" w:fill="auto"/>
            <w:vAlign w:val="center"/>
          </w:tcPr>
          <w:p w14:paraId="477D1DA8"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c>
          <w:tcPr>
            <w:tcW w:w="1077" w:type="dxa"/>
            <w:shd w:val="clear" w:color="auto" w:fill="auto"/>
            <w:vAlign w:val="center"/>
          </w:tcPr>
          <w:p w14:paraId="25E7A394" w14:textId="77777777" w:rsidR="00A65E4C" w:rsidRPr="00A65E4C" w:rsidRDefault="00A65E4C" w:rsidP="00723408">
            <w:pPr>
              <w:spacing w:after="0" w:line="240" w:lineRule="auto"/>
              <w:ind w:left="-57" w:right="-57"/>
              <w:jc w:val="center"/>
              <w:rPr>
                <w:rFonts w:ascii="Times New Roman" w:eastAsia="Times New Roman" w:hAnsi="Times New Roman" w:cs="Times New Roman"/>
                <w:color w:val="000000"/>
                <w:sz w:val="20"/>
                <w:szCs w:val="20"/>
                <w:lang w:eastAsia="ru-RU"/>
              </w:rPr>
            </w:pPr>
            <w:r w:rsidRPr="00A65E4C">
              <w:rPr>
                <w:rFonts w:ascii="Times New Roman" w:eastAsia="Times New Roman" w:hAnsi="Times New Roman" w:cs="Times New Roman"/>
                <w:color w:val="000000"/>
                <w:sz w:val="20"/>
                <w:szCs w:val="20"/>
                <w:lang w:eastAsia="ru-RU"/>
              </w:rPr>
              <w:t>0</w:t>
            </w:r>
          </w:p>
        </w:tc>
      </w:tr>
      <w:tr w:rsidR="00A65E4C" w:rsidRPr="00A65E4C" w14:paraId="2EEF727A" w14:textId="77777777" w:rsidTr="00723408">
        <w:trPr>
          <w:trHeight w:val="229"/>
          <w:jc w:val="center"/>
        </w:trPr>
        <w:tc>
          <w:tcPr>
            <w:tcW w:w="4330" w:type="dxa"/>
            <w:shd w:val="clear" w:color="auto" w:fill="auto"/>
            <w:vAlign w:val="center"/>
            <w:hideMark/>
          </w:tcPr>
          <w:p w14:paraId="0A93EF36" w14:textId="77777777" w:rsidR="00A65E4C" w:rsidRPr="00A65E4C" w:rsidRDefault="00A65E4C" w:rsidP="00723408">
            <w:pPr>
              <w:spacing w:after="0" w:line="240" w:lineRule="auto"/>
              <w:ind w:left="-57" w:right="-57"/>
              <w:rPr>
                <w:rFonts w:ascii="Times New Roman" w:eastAsia="Times New Roman" w:hAnsi="Times New Roman" w:cs="Times New Roman"/>
                <w:b/>
                <w:color w:val="000000"/>
                <w:sz w:val="20"/>
                <w:szCs w:val="20"/>
                <w:lang w:eastAsia="ru-RU"/>
              </w:rPr>
            </w:pPr>
            <w:r w:rsidRPr="00A65E4C">
              <w:rPr>
                <w:rFonts w:ascii="Times New Roman" w:eastAsia="Times New Roman" w:hAnsi="Times New Roman" w:cs="Times New Roman"/>
                <w:b/>
                <w:color w:val="000000"/>
                <w:sz w:val="20"/>
                <w:szCs w:val="20"/>
                <w:lang w:eastAsia="ru-RU"/>
              </w:rPr>
              <w:t>ИТОГО</w:t>
            </w:r>
          </w:p>
        </w:tc>
        <w:tc>
          <w:tcPr>
            <w:tcW w:w="1660" w:type="dxa"/>
            <w:shd w:val="clear" w:color="auto" w:fill="auto"/>
            <w:vAlign w:val="center"/>
            <w:hideMark/>
          </w:tcPr>
          <w:p w14:paraId="684CA848" w14:textId="77777777" w:rsidR="00A65E4C" w:rsidRPr="00A65E4C" w:rsidRDefault="00A65E4C" w:rsidP="00723408">
            <w:pPr>
              <w:spacing w:after="0" w:line="240" w:lineRule="auto"/>
              <w:ind w:left="-57" w:right="-57"/>
              <w:jc w:val="center"/>
              <w:rPr>
                <w:rFonts w:ascii="Times New Roman" w:eastAsia="Times New Roman" w:hAnsi="Times New Roman" w:cs="Times New Roman"/>
                <w:b/>
                <w:color w:val="000000"/>
                <w:sz w:val="20"/>
                <w:szCs w:val="20"/>
                <w:lang w:eastAsia="ru-RU"/>
              </w:rPr>
            </w:pPr>
            <w:r w:rsidRPr="00A65E4C">
              <w:rPr>
                <w:rFonts w:ascii="Times New Roman" w:eastAsia="Times New Roman" w:hAnsi="Times New Roman" w:cs="Times New Roman"/>
                <w:b/>
                <w:color w:val="000000"/>
                <w:sz w:val="20"/>
                <w:szCs w:val="20"/>
                <w:lang w:eastAsia="ru-RU"/>
              </w:rPr>
              <w:t>2 131,8</w:t>
            </w:r>
          </w:p>
        </w:tc>
        <w:tc>
          <w:tcPr>
            <w:tcW w:w="1126" w:type="dxa"/>
            <w:shd w:val="clear" w:color="auto" w:fill="auto"/>
            <w:vAlign w:val="center"/>
            <w:hideMark/>
          </w:tcPr>
          <w:p w14:paraId="5FE0BECD" w14:textId="77777777" w:rsidR="00A65E4C" w:rsidRPr="00A65E4C" w:rsidRDefault="00A65E4C" w:rsidP="00723408">
            <w:pPr>
              <w:spacing w:after="0" w:line="240" w:lineRule="auto"/>
              <w:ind w:left="-57" w:right="-57"/>
              <w:jc w:val="center"/>
              <w:rPr>
                <w:rFonts w:ascii="Times New Roman" w:eastAsia="Times New Roman" w:hAnsi="Times New Roman" w:cs="Times New Roman"/>
                <w:b/>
                <w:color w:val="000000"/>
                <w:sz w:val="20"/>
                <w:szCs w:val="20"/>
                <w:lang w:eastAsia="ru-RU"/>
              </w:rPr>
            </w:pPr>
            <w:r w:rsidRPr="00A65E4C">
              <w:rPr>
                <w:rFonts w:ascii="Times New Roman" w:eastAsia="Times New Roman" w:hAnsi="Times New Roman" w:cs="Times New Roman"/>
                <w:b/>
                <w:color w:val="000000"/>
                <w:sz w:val="20"/>
                <w:szCs w:val="20"/>
                <w:lang w:eastAsia="ru-RU"/>
              </w:rPr>
              <w:t>983,2</w:t>
            </w:r>
          </w:p>
        </w:tc>
        <w:tc>
          <w:tcPr>
            <w:tcW w:w="1074" w:type="dxa"/>
            <w:shd w:val="clear" w:color="auto" w:fill="auto"/>
            <w:vAlign w:val="center"/>
            <w:hideMark/>
          </w:tcPr>
          <w:p w14:paraId="4C04A6D9" w14:textId="77777777" w:rsidR="00A65E4C" w:rsidRPr="00A65E4C" w:rsidRDefault="00A65E4C" w:rsidP="00723408">
            <w:pPr>
              <w:spacing w:after="0" w:line="240" w:lineRule="auto"/>
              <w:ind w:left="-57" w:right="-57"/>
              <w:jc w:val="center"/>
              <w:rPr>
                <w:rFonts w:ascii="Times New Roman" w:eastAsia="Times New Roman" w:hAnsi="Times New Roman" w:cs="Times New Roman"/>
                <w:b/>
                <w:color w:val="000000"/>
                <w:sz w:val="20"/>
                <w:szCs w:val="20"/>
                <w:lang w:eastAsia="ru-RU"/>
              </w:rPr>
            </w:pPr>
            <w:r w:rsidRPr="00A65E4C">
              <w:rPr>
                <w:rFonts w:ascii="Times New Roman" w:eastAsia="Times New Roman" w:hAnsi="Times New Roman" w:cs="Times New Roman"/>
                <w:b/>
                <w:color w:val="000000"/>
                <w:sz w:val="20"/>
                <w:szCs w:val="20"/>
                <w:lang w:eastAsia="ru-RU"/>
              </w:rPr>
              <w:t>1 235,1</w:t>
            </w:r>
          </w:p>
        </w:tc>
        <w:tc>
          <w:tcPr>
            <w:tcW w:w="1077" w:type="dxa"/>
            <w:shd w:val="clear" w:color="auto" w:fill="auto"/>
            <w:vAlign w:val="center"/>
            <w:hideMark/>
          </w:tcPr>
          <w:p w14:paraId="6981ADA5" w14:textId="77777777" w:rsidR="00A65E4C" w:rsidRPr="00A65E4C" w:rsidRDefault="00A65E4C" w:rsidP="00723408">
            <w:pPr>
              <w:spacing w:after="0" w:line="240" w:lineRule="auto"/>
              <w:ind w:left="-57" w:right="-57"/>
              <w:jc w:val="center"/>
              <w:rPr>
                <w:rFonts w:ascii="Times New Roman" w:eastAsia="Times New Roman" w:hAnsi="Times New Roman" w:cs="Times New Roman"/>
                <w:b/>
                <w:color w:val="000000"/>
                <w:sz w:val="20"/>
                <w:szCs w:val="20"/>
                <w:lang w:eastAsia="ru-RU"/>
              </w:rPr>
            </w:pPr>
            <w:r w:rsidRPr="00A65E4C">
              <w:rPr>
                <w:rFonts w:ascii="Times New Roman" w:eastAsia="Times New Roman" w:hAnsi="Times New Roman" w:cs="Times New Roman"/>
                <w:b/>
                <w:color w:val="000000"/>
                <w:sz w:val="20"/>
                <w:szCs w:val="20"/>
                <w:lang w:eastAsia="ru-RU"/>
              </w:rPr>
              <w:t>1 041,6</w:t>
            </w:r>
          </w:p>
        </w:tc>
      </w:tr>
    </w:tbl>
    <w:p w14:paraId="33077C80" w14:textId="77777777" w:rsidR="00A65E4C" w:rsidRPr="00A65E4C" w:rsidRDefault="00A65E4C" w:rsidP="00A65E4C">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65E4C">
        <w:rPr>
          <w:rFonts w:ascii="Times New Roman" w:eastAsia="Times New Roman" w:hAnsi="Times New Roman" w:cs="Times New Roman"/>
          <w:sz w:val="28"/>
          <w:szCs w:val="28"/>
          <w:lang w:eastAsia="ru-RU"/>
        </w:rPr>
        <w:t xml:space="preserve">Объем зарезервированных средств на 2022 год согласно </w:t>
      </w:r>
      <w:proofErr w:type="gramStart"/>
      <w:r w:rsidRPr="00A65E4C">
        <w:rPr>
          <w:rFonts w:ascii="Times New Roman" w:eastAsia="Times New Roman" w:hAnsi="Times New Roman" w:cs="Times New Roman"/>
          <w:sz w:val="28"/>
          <w:szCs w:val="28"/>
          <w:lang w:eastAsia="ru-RU"/>
        </w:rPr>
        <w:t>Законопроекту</w:t>
      </w:r>
      <w:proofErr w:type="gramEnd"/>
      <w:r w:rsidRPr="00A65E4C">
        <w:rPr>
          <w:rFonts w:ascii="Times New Roman" w:eastAsia="Times New Roman" w:hAnsi="Times New Roman" w:cs="Times New Roman"/>
          <w:sz w:val="28"/>
          <w:szCs w:val="28"/>
          <w:lang w:eastAsia="ru-RU"/>
        </w:rPr>
        <w:t xml:space="preserve"> планируется в сумме 983,2 млн. рублей, в том числе 953,5 млн. рублей предусматривается в части непрограммных расходов бюджета области. Из представленной таблицы видно, что сокращение зарезервированных средств в 2022 году по отношению к 2021 году (почти в два раза) предусмотрено Законопроектом в основном за счет уменьшения объема расходов на мероприятия, осуществляемые на основании отдельных решений правительства Тульской области.</w:t>
      </w:r>
    </w:p>
    <w:p w14:paraId="15FD3F20" w14:textId="484EF24A" w:rsidR="003C6F50" w:rsidRPr="003C6F50" w:rsidRDefault="004C2844" w:rsidP="003C6F50">
      <w:pPr>
        <w:autoSpaceDE w:val="0"/>
        <w:autoSpaceDN w:val="0"/>
        <w:spacing w:before="120" w:after="0" w:line="240" w:lineRule="auto"/>
        <w:ind w:firstLine="709"/>
        <w:jc w:val="both"/>
        <w:rPr>
          <w:rFonts w:ascii="Times New Roman" w:hAnsi="Times New Roman" w:cs="Times New Roman"/>
          <w:spacing w:val="-4"/>
          <w:kern w:val="28"/>
          <w:sz w:val="28"/>
        </w:rPr>
      </w:pPr>
      <w:r>
        <w:rPr>
          <w:rFonts w:ascii="Times New Roman" w:eastAsia="Calibri" w:hAnsi="Times New Roman" w:cs="Times New Roman"/>
          <w:bCs/>
          <w:iCs/>
          <w:spacing w:val="-4"/>
          <w:sz w:val="28"/>
          <w:szCs w:val="28"/>
          <w:lang w:eastAsia="ru-RU"/>
        </w:rPr>
        <w:t>Резервный фонд п</w:t>
      </w:r>
      <w:r w:rsidR="003C6F50" w:rsidRPr="003C6F50">
        <w:rPr>
          <w:rFonts w:ascii="Times New Roman" w:eastAsia="Calibri" w:hAnsi="Times New Roman" w:cs="Times New Roman"/>
          <w:bCs/>
          <w:iCs/>
          <w:spacing w:val="-4"/>
          <w:sz w:val="28"/>
          <w:szCs w:val="28"/>
          <w:lang w:eastAsia="ru-RU"/>
        </w:rPr>
        <w:t>равительства области</w:t>
      </w:r>
      <w:r w:rsidR="003C6F50" w:rsidRPr="003C6F50">
        <w:rPr>
          <w:rFonts w:ascii="Times New Roman" w:eastAsia="Calibri" w:hAnsi="Times New Roman" w:cs="Times New Roman"/>
          <w:spacing w:val="-4"/>
          <w:sz w:val="28"/>
          <w:szCs w:val="28"/>
          <w:lang w:eastAsia="ru-RU"/>
        </w:rPr>
        <w:t xml:space="preserve"> на 2022-2024 годы утверждается </w:t>
      </w:r>
      <w:r w:rsidR="001558BD">
        <w:rPr>
          <w:rFonts w:ascii="Times New Roman" w:eastAsia="Calibri" w:hAnsi="Times New Roman" w:cs="Times New Roman"/>
          <w:spacing w:val="-4"/>
          <w:sz w:val="28"/>
          <w:szCs w:val="28"/>
          <w:lang w:eastAsia="ru-RU"/>
        </w:rPr>
        <w:t xml:space="preserve">в </w:t>
      </w:r>
      <w:r w:rsidR="003C6F50" w:rsidRPr="003C6F50">
        <w:rPr>
          <w:rFonts w:ascii="Times New Roman" w:eastAsia="Calibri" w:hAnsi="Times New Roman" w:cs="Times New Roman"/>
          <w:spacing w:val="-4"/>
          <w:sz w:val="28"/>
          <w:szCs w:val="28"/>
          <w:lang w:eastAsia="ru-RU"/>
        </w:rPr>
        <w:t>статье 1</w:t>
      </w:r>
      <w:r w:rsidR="001558BD">
        <w:rPr>
          <w:rFonts w:ascii="Times New Roman" w:eastAsia="Calibri" w:hAnsi="Times New Roman" w:cs="Times New Roman"/>
          <w:spacing w:val="-4"/>
          <w:sz w:val="28"/>
          <w:szCs w:val="28"/>
          <w:lang w:eastAsia="ru-RU"/>
        </w:rPr>
        <w:t>0</w:t>
      </w:r>
      <w:r w:rsidR="003C6F50" w:rsidRPr="003C6F50">
        <w:rPr>
          <w:rFonts w:ascii="Times New Roman" w:eastAsia="Calibri" w:hAnsi="Times New Roman" w:cs="Times New Roman"/>
          <w:spacing w:val="-4"/>
          <w:sz w:val="28"/>
          <w:szCs w:val="28"/>
          <w:lang w:eastAsia="ru-RU"/>
        </w:rPr>
        <w:t xml:space="preserve"> Законопроекта в объеме по 100,0 млн. рублей ежегодно, аналогично параметру, утвержденному на 2021 год.</w:t>
      </w:r>
      <w:r>
        <w:rPr>
          <w:rFonts w:ascii="Times New Roman" w:eastAsia="Calibri" w:hAnsi="Times New Roman" w:cs="Times New Roman"/>
          <w:spacing w:val="-4"/>
          <w:sz w:val="28"/>
          <w:szCs w:val="28"/>
          <w:lang w:eastAsia="ru-RU"/>
        </w:rPr>
        <w:t xml:space="preserve"> Доля средств Резервного фонда п</w:t>
      </w:r>
      <w:r w:rsidR="003C6F50" w:rsidRPr="003C6F50">
        <w:rPr>
          <w:rFonts w:ascii="Times New Roman" w:eastAsia="Calibri" w:hAnsi="Times New Roman" w:cs="Times New Roman"/>
          <w:spacing w:val="-4"/>
          <w:sz w:val="28"/>
          <w:szCs w:val="28"/>
          <w:lang w:eastAsia="ru-RU"/>
        </w:rPr>
        <w:t xml:space="preserve">равительства области на 2022-2024 годы составляет 0,1% от общего объема расходов, предусмотренного Законопроектом на 2022 и плановый период 2023-2024 годов. При </w:t>
      </w:r>
      <w:r w:rsidR="003C6F50" w:rsidRPr="00AA26A2">
        <w:rPr>
          <w:rFonts w:ascii="Times New Roman" w:eastAsia="Calibri" w:hAnsi="Times New Roman" w:cs="Times New Roman"/>
          <w:spacing w:val="-4"/>
          <w:sz w:val="28"/>
          <w:szCs w:val="28"/>
          <w:lang w:eastAsia="ru-RU"/>
        </w:rPr>
        <w:t>устано</w:t>
      </w:r>
      <w:r>
        <w:rPr>
          <w:rFonts w:ascii="Times New Roman" w:eastAsia="Calibri" w:hAnsi="Times New Roman" w:cs="Times New Roman"/>
          <w:spacing w:val="-4"/>
          <w:sz w:val="28"/>
          <w:szCs w:val="28"/>
          <w:lang w:eastAsia="ru-RU"/>
        </w:rPr>
        <w:t>влении объема резервного фонда п</w:t>
      </w:r>
      <w:r w:rsidR="003C6F50" w:rsidRPr="00AA26A2">
        <w:rPr>
          <w:rFonts w:ascii="Times New Roman" w:eastAsia="Calibri" w:hAnsi="Times New Roman" w:cs="Times New Roman"/>
          <w:spacing w:val="-4"/>
          <w:sz w:val="28"/>
          <w:szCs w:val="28"/>
          <w:lang w:eastAsia="ru-RU"/>
        </w:rPr>
        <w:t>равительства области соблюдены требования статьи 81 БК РФ</w:t>
      </w:r>
      <w:r w:rsidR="003C6F50" w:rsidRPr="00AA26A2">
        <w:rPr>
          <w:rFonts w:ascii="Times New Roman" w:eastAsia="Calibri" w:hAnsi="Times New Roman" w:cs="Times New Roman"/>
          <w:spacing w:val="-4"/>
          <w:sz w:val="28"/>
          <w:szCs w:val="28"/>
          <w:vertAlign w:val="superscript"/>
          <w:lang w:eastAsia="ru-RU"/>
        </w:rPr>
        <w:footnoteReference w:id="24"/>
      </w:r>
      <w:r w:rsidR="003C6F50" w:rsidRPr="00AA26A2">
        <w:rPr>
          <w:rFonts w:ascii="Times New Roman" w:eastAsia="Calibri" w:hAnsi="Times New Roman" w:cs="Times New Roman"/>
          <w:spacing w:val="-4"/>
          <w:sz w:val="28"/>
          <w:szCs w:val="28"/>
          <w:lang w:eastAsia="ru-RU"/>
        </w:rPr>
        <w:t>.</w:t>
      </w:r>
      <w:r w:rsidR="003C6F50" w:rsidRPr="003C6F50">
        <w:rPr>
          <w:rFonts w:ascii="Times New Roman" w:eastAsia="Calibri" w:hAnsi="Times New Roman" w:cs="Times New Roman"/>
          <w:spacing w:val="-4"/>
          <w:sz w:val="28"/>
          <w:szCs w:val="28"/>
          <w:lang w:eastAsia="ru-RU"/>
        </w:rPr>
        <w:t xml:space="preserve"> </w:t>
      </w:r>
    </w:p>
    <w:p w14:paraId="648E5135" w14:textId="6CB30C37" w:rsidR="00D875D8" w:rsidRPr="00C84E2D" w:rsidRDefault="00D875D8" w:rsidP="000E2058">
      <w:pPr>
        <w:tabs>
          <w:tab w:val="left" w:pos="993"/>
        </w:tabs>
        <w:spacing w:before="240" w:after="0" w:line="240" w:lineRule="auto"/>
        <w:ind w:firstLine="709"/>
        <w:jc w:val="both"/>
        <w:rPr>
          <w:rFonts w:ascii="Times New Roman" w:eastAsia="Calibri" w:hAnsi="Times New Roman" w:cs="Times New Roman"/>
          <w:color w:val="000000" w:themeColor="text1"/>
          <w:sz w:val="28"/>
          <w:szCs w:val="28"/>
        </w:rPr>
      </w:pPr>
      <w:r w:rsidRPr="007B19BD">
        <w:rPr>
          <w:rFonts w:ascii="Times New Roman" w:hAnsi="Times New Roman" w:cs="Times New Roman"/>
          <w:b/>
          <w:spacing w:val="-4"/>
          <w:kern w:val="28"/>
          <w:sz w:val="28"/>
          <w:lang w:eastAsia="ru-RU"/>
        </w:rPr>
        <w:t>3.</w:t>
      </w:r>
      <w:r>
        <w:rPr>
          <w:rFonts w:ascii="Times New Roman" w:hAnsi="Times New Roman" w:cs="Times New Roman"/>
          <w:b/>
          <w:spacing w:val="-4"/>
          <w:kern w:val="28"/>
          <w:sz w:val="28"/>
          <w:lang w:eastAsia="ru-RU"/>
        </w:rPr>
        <w:t>5</w:t>
      </w:r>
      <w:r w:rsidRPr="007B19BD">
        <w:rPr>
          <w:rFonts w:ascii="Times New Roman" w:hAnsi="Times New Roman" w:cs="Times New Roman"/>
          <w:b/>
          <w:spacing w:val="-4"/>
          <w:kern w:val="28"/>
          <w:sz w:val="28"/>
          <w:lang w:eastAsia="ru-RU"/>
        </w:rPr>
        <w:t xml:space="preserve">. </w:t>
      </w:r>
      <w:r w:rsidRPr="007B19BD">
        <w:rPr>
          <w:rFonts w:ascii="Times New Roman" w:eastAsia="Times New Roman" w:hAnsi="Times New Roman" w:cs="Times New Roman"/>
          <w:i/>
          <w:spacing w:val="-6"/>
          <w:sz w:val="28"/>
          <w:szCs w:val="28"/>
          <w:lang w:eastAsia="ru-RU"/>
        </w:rPr>
        <w:t xml:space="preserve">Дорожный фонд Тульской </w:t>
      </w:r>
      <w:r w:rsidRPr="000E2058">
        <w:rPr>
          <w:rFonts w:ascii="Times New Roman" w:eastAsia="Times New Roman" w:hAnsi="Times New Roman" w:cs="Times New Roman"/>
          <w:i/>
          <w:spacing w:val="-6"/>
          <w:sz w:val="28"/>
          <w:szCs w:val="28"/>
          <w:lang w:eastAsia="ru-RU"/>
        </w:rPr>
        <w:t>области</w:t>
      </w:r>
      <w:r w:rsidRPr="000E2058">
        <w:rPr>
          <w:rFonts w:ascii="Times New Roman" w:eastAsia="Times New Roman" w:hAnsi="Times New Roman" w:cs="Times New Roman"/>
          <w:spacing w:val="-6"/>
          <w:sz w:val="28"/>
          <w:szCs w:val="28"/>
          <w:lang w:eastAsia="ru-RU"/>
        </w:rPr>
        <w:t xml:space="preserve"> (статья </w:t>
      </w:r>
      <w:r w:rsidR="000E2058" w:rsidRPr="000E2058">
        <w:rPr>
          <w:rFonts w:ascii="Times New Roman" w:eastAsia="Times New Roman" w:hAnsi="Times New Roman" w:cs="Times New Roman"/>
          <w:spacing w:val="-6"/>
          <w:sz w:val="28"/>
          <w:szCs w:val="28"/>
          <w:lang w:eastAsia="ru-RU"/>
        </w:rPr>
        <w:t>8</w:t>
      </w:r>
      <w:r w:rsidRPr="000E2058">
        <w:rPr>
          <w:rFonts w:ascii="Times New Roman" w:eastAsia="Times New Roman" w:hAnsi="Times New Roman" w:cs="Times New Roman"/>
          <w:spacing w:val="-6"/>
          <w:sz w:val="28"/>
          <w:szCs w:val="28"/>
          <w:lang w:eastAsia="ru-RU"/>
        </w:rPr>
        <w:t xml:space="preserve"> Законопроекта) </w:t>
      </w:r>
      <w:r w:rsidRPr="00C84E2D">
        <w:rPr>
          <w:rFonts w:ascii="Times New Roman" w:eastAsia="Calibri" w:hAnsi="Times New Roman" w:cs="Times New Roman"/>
          <w:color w:val="000000" w:themeColor="text1"/>
          <w:sz w:val="28"/>
          <w:szCs w:val="28"/>
        </w:rPr>
        <w:t>на 2022</w:t>
      </w:r>
      <w:r w:rsidRPr="00C84E2D">
        <w:rPr>
          <w:rFonts w:ascii="Times New Roman" w:eastAsia="Calibri" w:hAnsi="Times New Roman" w:cs="Times New Roman"/>
          <w:color w:val="000000" w:themeColor="text1"/>
          <w:sz w:val="28"/>
          <w:szCs w:val="28"/>
        </w:rPr>
        <w:noBreakHyphen/>
        <w:t xml:space="preserve">2024 годы сформирован с учетом требований пункта 4 статьи 179.4 БК РФ, в соответствии со статьей 2 Закона Тульской области от 20.07.2011 </w:t>
      </w:r>
      <w:r w:rsidRPr="00C84E2D">
        <w:rPr>
          <w:rFonts w:ascii="Times New Roman" w:eastAsia="Calibri" w:hAnsi="Times New Roman" w:cs="Times New Roman"/>
          <w:color w:val="000000" w:themeColor="text1"/>
          <w:sz w:val="28"/>
          <w:szCs w:val="28"/>
        </w:rPr>
        <w:lastRenderedPageBreak/>
        <w:t xml:space="preserve">№1613–ЗТО «О дорожном фонде Тульской области». Объем бюджетных ассигнований дорожного фонда Тульской области на 2022, 2023, 2024 годы составит 7 520 554,1 </w:t>
      </w:r>
      <w:r>
        <w:rPr>
          <w:rFonts w:ascii="Times New Roman" w:eastAsia="Calibri" w:hAnsi="Times New Roman" w:cs="Times New Roman"/>
          <w:color w:val="000000" w:themeColor="text1"/>
          <w:sz w:val="28"/>
          <w:szCs w:val="28"/>
        </w:rPr>
        <w:t>тыс. рублей</w:t>
      </w:r>
      <w:r w:rsidRPr="00C84E2D">
        <w:rPr>
          <w:rFonts w:ascii="Times New Roman" w:eastAsia="Calibri" w:hAnsi="Times New Roman" w:cs="Times New Roman"/>
          <w:color w:val="000000" w:themeColor="text1"/>
          <w:sz w:val="28"/>
          <w:szCs w:val="28"/>
        </w:rPr>
        <w:t xml:space="preserve">, 7 579 004,2 </w:t>
      </w:r>
      <w:r>
        <w:rPr>
          <w:rFonts w:ascii="Times New Roman" w:eastAsia="Calibri" w:hAnsi="Times New Roman" w:cs="Times New Roman"/>
          <w:color w:val="000000" w:themeColor="text1"/>
          <w:sz w:val="28"/>
          <w:szCs w:val="28"/>
        </w:rPr>
        <w:t>тыс. рублей</w:t>
      </w:r>
      <w:r w:rsidRPr="00C84E2D">
        <w:rPr>
          <w:rFonts w:ascii="Times New Roman" w:eastAsia="Calibri" w:hAnsi="Times New Roman" w:cs="Times New Roman"/>
          <w:color w:val="000000" w:themeColor="text1"/>
          <w:sz w:val="28"/>
          <w:szCs w:val="28"/>
        </w:rPr>
        <w:t xml:space="preserve">, 7 856 303,2 </w:t>
      </w:r>
      <w:r>
        <w:rPr>
          <w:rFonts w:ascii="Times New Roman" w:eastAsia="Calibri" w:hAnsi="Times New Roman" w:cs="Times New Roman"/>
          <w:color w:val="000000" w:themeColor="text1"/>
          <w:sz w:val="28"/>
          <w:szCs w:val="28"/>
        </w:rPr>
        <w:t>тыс. рублей,</w:t>
      </w:r>
      <w:r w:rsidRPr="00C84E2D">
        <w:rPr>
          <w:rFonts w:ascii="Times New Roman" w:eastAsia="Calibri" w:hAnsi="Times New Roman" w:cs="Times New Roman"/>
          <w:color w:val="000000" w:themeColor="text1"/>
          <w:sz w:val="28"/>
          <w:szCs w:val="28"/>
        </w:rPr>
        <w:t xml:space="preserve"> соответственно (на 2022 год со снижением на 19,9% по отношению к предыдущему периоду, с ростом на 2023 год – на 0,8%, на 2024 год – на 3,7%). Изменения объема бюджетных ассигнований обусловлены:</w:t>
      </w:r>
    </w:p>
    <w:p w14:paraId="42CE55C4" w14:textId="77777777" w:rsidR="00D875D8" w:rsidRPr="004C2844" w:rsidRDefault="00D875D8" w:rsidP="00D875D8">
      <w:pPr>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4C2844">
        <w:rPr>
          <w:rFonts w:ascii="Times New Roman" w:eastAsia="Calibri" w:hAnsi="Times New Roman" w:cs="Times New Roman"/>
          <w:color w:val="000000" w:themeColor="text1"/>
          <w:sz w:val="28"/>
          <w:szCs w:val="28"/>
        </w:rPr>
        <w:t>- прогнозируемыми объемами доходов бюджета Тульской области, в размере которых формируется объем дорожного фонда на 2022 год и на плановый период 2023 и 2024 годов;</w:t>
      </w:r>
    </w:p>
    <w:p w14:paraId="00BD0F2F" w14:textId="77777777" w:rsidR="00D875D8" w:rsidRPr="004C2844" w:rsidRDefault="00D875D8" w:rsidP="00D875D8">
      <w:pPr>
        <w:tabs>
          <w:tab w:val="left" w:pos="993"/>
        </w:tabs>
        <w:spacing w:after="0" w:line="240" w:lineRule="auto"/>
        <w:ind w:firstLine="709"/>
        <w:jc w:val="both"/>
        <w:rPr>
          <w:rFonts w:ascii="Times New Roman" w:eastAsia="Calibri" w:hAnsi="Times New Roman" w:cs="Times New Roman"/>
          <w:color w:val="000000" w:themeColor="text1"/>
          <w:sz w:val="28"/>
          <w:szCs w:val="28"/>
        </w:rPr>
      </w:pPr>
      <w:r w:rsidRPr="004C2844">
        <w:rPr>
          <w:rFonts w:ascii="Times New Roman" w:eastAsia="Calibri" w:hAnsi="Times New Roman" w:cs="Times New Roman"/>
          <w:color w:val="000000" w:themeColor="text1"/>
          <w:sz w:val="28"/>
          <w:szCs w:val="28"/>
        </w:rPr>
        <w:t>- отсутствием распределения межбюджетных трансфертов из федерального бюджета бюджету Тульской области.</w:t>
      </w:r>
    </w:p>
    <w:p w14:paraId="715DDC39" w14:textId="6A4BC7A5" w:rsidR="007D5D22" w:rsidRPr="004C2844" w:rsidRDefault="00C356F7" w:rsidP="00C356F7">
      <w:pPr>
        <w:pStyle w:val="af8"/>
        <w:spacing w:before="120"/>
        <w:rPr>
          <w:spacing w:val="-4"/>
        </w:rPr>
      </w:pPr>
      <w:r w:rsidRPr="004C2844">
        <w:rPr>
          <w:spacing w:val="-4"/>
        </w:rPr>
        <w:t xml:space="preserve">Анализ объемов </w:t>
      </w:r>
      <w:r w:rsidRPr="004C2844">
        <w:rPr>
          <w:rFonts w:eastAsia="Calibri"/>
          <w:color w:val="000000" w:themeColor="text1"/>
        </w:rPr>
        <w:t xml:space="preserve">доходов бюджета области, в размере которых формируется объем </w:t>
      </w:r>
      <w:r w:rsidRPr="004C2844">
        <w:rPr>
          <w:spacing w:val="-4"/>
        </w:rPr>
        <w:t>Дорожного фонда согласно представленного Законопроекта и действующего Закона о бюджете области на 2021 год в части планового периода 2022 и 2023 годов позволяет отметить, что по</w:t>
      </w:r>
      <w:r w:rsidR="004C2844" w:rsidRPr="004C2844">
        <w:rPr>
          <w:spacing w:val="-4"/>
        </w:rPr>
        <w:t xml:space="preserve"> сравнению</w:t>
      </w:r>
      <w:r w:rsidRPr="004C2844">
        <w:rPr>
          <w:spacing w:val="-4"/>
        </w:rPr>
        <w:t xml:space="preserve"> </w:t>
      </w:r>
      <w:r w:rsidR="00CE3D7D" w:rsidRPr="004C2844">
        <w:rPr>
          <w:spacing w:val="-4"/>
        </w:rPr>
        <w:t>с</w:t>
      </w:r>
      <w:r w:rsidRPr="004C2844">
        <w:rPr>
          <w:spacing w:val="-4"/>
        </w:rPr>
        <w:t xml:space="preserve"> предыдущ</w:t>
      </w:r>
      <w:r w:rsidR="00CE3D7D" w:rsidRPr="004C2844">
        <w:rPr>
          <w:spacing w:val="-4"/>
        </w:rPr>
        <w:t>и</w:t>
      </w:r>
      <w:r w:rsidRPr="004C2844">
        <w:rPr>
          <w:spacing w:val="-4"/>
        </w:rPr>
        <w:t>м бюджетн</w:t>
      </w:r>
      <w:r w:rsidR="00CE3D7D" w:rsidRPr="004C2844">
        <w:rPr>
          <w:spacing w:val="-4"/>
        </w:rPr>
        <w:t>ы</w:t>
      </w:r>
      <w:r w:rsidRPr="004C2844">
        <w:rPr>
          <w:spacing w:val="-4"/>
        </w:rPr>
        <w:t>м цикл</w:t>
      </w:r>
      <w:r w:rsidR="00CE3D7D" w:rsidRPr="004C2844">
        <w:rPr>
          <w:spacing w:val="-4"/>
        </w:rPr>
        <w:t>ом</w:t>
      </w:r>
      <w:r w:rsidRPr="004C2844">
        <w:rPr>
          <w:spacing w:val="-4"/>
        </w:rPr>
        <w:t xml:space="preserve">, в Законопроекте </w:t>
      </w:r>
      <w:r w:rsidR="00CE3D7D" w:rsidRPr="004C2844">
        <w:rPr>
          <w:rFonts w:eastAsia="Calibri"/>
          <w:color w:val="000000" w:themeColor="text1"/>
        </w:rPr>
        <w:t>прогнозируемые объемы доходов бюджета области, в размере которых формируется объем дорожного фонда</w:t>
      </w:r>
      <w:r w:rsidRPr="004C2844">
        <w:rPr>
          <w:spacing w:val="-4"/>
        </w:rPr>
        <w:t xml:space="preserve"> в 2022 </w:t>
      </w:r>
      <w:r w:rsidR="00CE3D7D" w:rsidRPr="004C2844">
        <w:rPr>
          <w:spacing w:val="-4"/>
        </w:rPr>
        <w:t xml:space="preserve">и 2023 </w:t>
      </w:r>
      <w:r w:rsidRPr="004C2844">
        <w:rPr>
          <w:spacing w:val="-4"/>
        </w:rPr>
        <w:t>год</w:t>
      </w:r>
      <w:r w:rsidR="00CE3D7D" w:rsidRPr="004C2844">
        <w:rPr>
          <w:spacing w:val="-4"/>
        </w:rPr>
        <w:t>ах меньше на</w:t>
      </w:r>
      <w:r w:rsidR="007D5D22" w:rsidRPr="004C2844">
        <w:rPr>
          <w:spacing w:val="-4"/>
        </w:rPr>
        <w:t xml:space="preserve"> 213,9 млн. рублей (на 2,8%) и на </w:t>
      </w:r>
      <w:r w:rsidR="00FC2140" w:rsidRPr="004C2844">
        <w:rPr>
          <w:spacing w:val="-4"/>
        </w:rPr>
        <w:t>901,5</w:t>
      </w:r>
      <w:r w:rsidR="007D5D22" w:rsidRPr="004C2844">
        <w:rPr>
          <w:spacing w:val="-4"/>
        </w:rPr>
        <w:t xml:space="preserve"> млн. рублей (на </w:t>
      </w:r>
      <w:r w:rsidR="00FC2140" w:rsidRPr="004C2844">
        <w:rPr>
          <w:spacing w:val="-4"/>
        </w:rPr>
        <w:t>10,6</w:t>
      </w:r>
      <w:r w:rsidR="007D5D22" w:rsidRPr="004C2844">
        <w:rPr>
          <w:spacing w:val="-4"/>
        </w:rPr>
        <w:t>%) соответственно, что обусловлено в основном уменьшением прогнозируемых доходов от акцизов на нефтепродукты.</w:t>
      </w:r>
    </w:p>
    <w:p w14:paraId="7B29FEB5" w14:textId="2370547A" w:rsidR="007D5D22" w:rsidRPr="004C2844" w:rsidRDefault="004C1A88" w:rsidP="00B55DFD">
      <w:pPr>
        <w:pStyle w:val="af8"/>
        <w:rPr>
          <w:spacing w:val="-4"/>
        </w:rPr>
      </w:pPr>
      <w:r w:rsidRPr="004C2844">
        <w:rPr>
          <w:spacing w:val="-4"/>
        </w:rPr>
        <w:t xml:space="preserve">Кроме того, в Законопроекте в объеме доходов, формирующих Дорожный фонд, не учтены федеральные средства в 2022 и 2023 годах в размере по 100,0 млн. рублей в каждый год, распределенные бюджету Тульской области в соответствии с распоряжением Правительства РФ от 25.12.2020 №3542-р и учтенные в </w:t>
      </w:r>
      <w:r w:rsidR="008C3E75" w:rsidRPr="004C2844">
        <w:rPr>
          <w:spacing w:val="-4"/>
        </w:rPr>
        <w:t>З</w:t>
      </w:r>
      <w:r w:rsidRPr="004C2844">
        <w:rPr>
          <w:spacing w:val="-4"/>
        </w:rPr>
        <w:t>аконе о бюджете области на 2021 год в 2022 и 2023 годах</w:t>
      </w:r>
      <w:r w:rsidR="008C3E75" w:rsidRPr="004C2844">
        <w:rPr>
          <w:spacing w:val="-4"/>
        </w:rPr>
        <w:t>.</w:t>
      </w:r>
    </w:p>
    <w:p w14:paraId="34A4702E" w14:textId="6FEBA25C" w:rsidR="008C3E75" w:rsidRPr="00B55DFD" w:rsidRDefault="008C3E75" w:rsidP="00B55DFD">
      <w:pPr>
        <w:pStyle w:val="af8"/>
        <w:spacing w:before="40"/>
        <w:rPr>
          <w:spacing w:val="-4"/>
          <w:sz w:val="22"/>
          <w:szCs w:val="22"/>
        </w:rPr>
      </w:pPr>
      <w:proofErr w:type="spellStart"/>
      <w:r w:rsidRPr="00B55DFD">
        <w:rPr>
          <w:spacing w:val="-4"/>
          <w:sz w:val="22"/>
          <w:szCs w:val="22"/>
        </w:rPr>
        <w:t>Справочно</w:t>
      </w:r>
      <w:proofErr w:type="spellEnd"/>
      <w:r w:rsidRPr="00B55DFD">
        <w:rPr>
          <w:spacing w:val="-4"/>
          <w:sz w:val="22"/>
          <w:szCs w:val="22"/>
        </w:rPr>
        <w:t>: в объеме доходов, формирующих Дорожный фонд на 2021 год учтены федеральные средства в сумме 1 998,6 млн. рублей.</w:t>
      </w:r>
    </w:p>
    <w:p w14:paraId="259ADC75" w14:textId="330EF3F4" w:rsidR="005135A5" w:rsidRDefault="00D875D8" w:rsidP="007F38CA">
      <w:pPr>
        <w:widowControl w:val="0"/>
        <w:spacing w:before="240" w:after="0" w:line="240" w:lineRule="auto"/>
        <w:ind w:firstLine="709"/>
        <w:jc w:val="both"/>
        <w:outlineLvl w:val="1"/>
        <w:rPr>
          <w:rFonts w:ascii="Times New Roman" w:eastAsia="Calibri" w:hAnsi="Times New Roman" w:cs="Times New Roman"/>
          <w:kern w:val="28"/>
          <w:sz w:val="28"/>
          <w:szCs w:val="28"/>
        </w:rPr>
      </w:pPr>
      <w:r w:rsidRPr="00D875D8">
        <w:rPr>
          <w:rFonts w:ascii="Times New Roman" w:eastAsia="Calibri" w:hAnsi="Times New Roman" w:cs="Times New Roman"/>
          <w:b/>
          <w:kern w:val="28"/>
          <w:sz w:val="28"/>
          <w:szCs w:val="28"/>
        </w:rPr>
        <w:t>3.6</w:t>
      </w:r>
      <w:r>
        <w:rPr>
          <w:rFonts w:ascii="Times New Roman" w:eastAsia="Calibri" w:hAnsi="Times New Roman" w:cs="Times New Roman"/>
          <w:kern w:val="28"/>
          <w:sz w:val="28"/>
          <w:szCs w:val="28"/>
        </w:rPr>
        <w:t> </w:t>
      </w:r>
      <w:r w:rsidR="005135A5" w:rsidRPr="003C6F50">
        <w:rPr>
          <w:rFonts w:ascii="Times New Roman" w:eastAsia="Calibri" w:hAnsi="Times New Roman" w:cs="Times New Roman"/>
          <w:kern w:val="28"/>
          <w:sz w:val="28"/>
          <w:szCs w:val="28"/>
        </w:rPr>
        <w:t xml:space="preserve">Структура расходов бюджета области в разрезе </w:t>
      </w:r>
      <w:r w:rsidR="005135A5" w:rsidRPr="00D875D8">
        <w:rPr>
          <w:rFonts w:ascii="Times New Roman" w:eastAsia="Calibri" w:hAnsi="Times New Roman" w:cs="Times New Roman"/>
          <w:i/>
          <w:kern w:val="28"/>
          <w:sz w:val="28"/>
          <w:szCs w:val="28"/>
        </w:rPr>
        <w:t>программных и непрограммных направлений расходов бюджета области</w:t>
      </w:r>
      <w:r w:rsidR="005135A5" w:rsidRPr="003C6F50">
        <w:rPr>
          <w:rFonts w:ascii="Times New Roman" w:eastAsia="Calibri" w:hAnsi="Times New Roman" w:cs="Times New Roman"/>
          <w:kern w:val="28"/>
          <w:sz w:val="28"/>
          <w:szCs w:val="28"/>
        </w:rPr>
        <w:t xml:space="preserve"> представлена </w:t>
      </w:r>
      <w:r w:rsidR="00022335" w:rsidRPr="003C6F50">
        <w:rPr>
          <w:rFonts w:ascii="Times New Roman" w:eastAsia="Calibri" w:hAnsi="Times New Roman" w:cs="Times New Roman"/>
          <w:kern w:val="28"/>
          <w:sz w:val="28"/>
          <w:szCs w:val="28"/>
        </w:rPr>
        <w:t>на</w:t>
      </w:r>
      <w:r w:rsidR="005135A5" w:rsidRPr="003C6F50">
        <w:rPr>
          <w:rFonts w:ascii="Times New Roman" w:eastAsia="Calibri" w:hAnsi="Times New Roman" w:cs="Times New Roman"/>
          <w:kern w:val="28"/>
          <w:sz w:val="28"/>
          <w:szCs w:val="28"/>
        </w:rPr>
        <w:t xml:space="preserve"> следующей диаграмме.</w:t>
      </w:r>
    </w:p>
    <w:p w14:paraId="14CD36D4" w14:textId="287CB3A3" w:rsidR="003C6F50" w:rsidRDefault="003C6F50" w:rsidP="003C6F50">
      <w:pPr>
        <w:widowControl w:val="0"/>
        <w:spacing w:before="240" w:after="0" w:line="240" w:lineRule="auto"/>
        <w:jc w:val="both"/>
        <w:outlineLvl w:val="1"/>
        <w:rPr>
          <w:rFonts w:ascii="Times New Roman" w:eastAsia="Calibri" w:hAnsi="Times New Roman" w:cs="Times New Roman"/>
          <w:kern w:val="28"/>
          <w:sz w:val="28"/>
          <w:szCs w:val="28"/>
        </w:rPr>
      </w:pPr>
      <w:r w:rsidRPr="005D3CAA">
        <w:rPr>
          <w:rFonts w:ascii="Times New Roman" w:eastAsia="Calibri" w:hAnsi="Times New Roman" w:cs="Times New Roman"/>
          <w:noProof/>
          <w:kern w:val="28"/>
          <w:sz w:val="28"/>
          <w:szCs w:val="28"/>
          <w:lang w:eastAsia="ru-RU"/>
        </w:rPr>
        <w:drawing>
          <wp:inline distT="0" distB="0" distL="0" distR="0" wp14:anchorId="53043EEB" wp14:editId="5CB89AB7">
            <wp:extent cx="6019800" cy="25812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3DE86A" w14:textId="77777777" w:rsidR="00FB6889" w:rsidRPr="00AA26A2" w:rsidRDefault="00FB6889" w:rsidP="00AA26A2">
      <w:pPr>
        <w:widowControl w:val="0"/>
        <w:spacing w:before="120" w:after="0" w:line="240" w:lineRule="auto"/>
        <w:ind w:firstLine="709"/>
        <w:jc w:val="both"/>
        <w:outlineLvl w:val="1"/>
        <w:rPr>
          <w:rFonts w:ascii="Times New Roman" w:eastAsia="Times New Roman" w:hAnsi="Times New Roman" w:cs="Times New Roman"/>
          <w:spacing w:val="-6"/>
          <w:sz w:val="28"/>
          <w:szCs w:val="28"/>
          <w:lang w:eastAsia="ru-RU"/>
        </w:rPr>
      </w:pPr>
      <w:r w:rsidRPr="00FB6889">
        <w:rPr>
          <w:rFonts w:ascii="Times New Roman" w:eastAsia="Calibri" w:hAnsi="Times New Roman" w:cs="Times New Roman"/>
          <w:spacing w:val="-4"/>
          <w:kern w:val="28"/>
          <w:sz w:val="28"/>
          <w:szCs w:val="28"/>
        </w:rPr>
        <w:lastRenderedPageBreak/>
        <w:t xml:space="preserve">Как видно на диаграмме, доля программных расходов бюджета области, предусмотренных Законопроектом, ежегодно не изменяется и предусмотрена </w:t>
      </w:r>
      <w:r w:rsidRPr="00AA26A2">
        <w:rPr>
          <w:rFonts w:ascii="Times New Roman" w:eastAsia="Calibri" w:hAnsi="Times New Roman" w:cs="Times New Roman"/>
          <w:spacing w:val="-4"/>
          <w:kern w:val="28"/>
          <w:sz w:val="28"/>
          <w:szCs w:val="28"/>
        </w:rPr>
        <w:t>примерно на одном уровне: 95,9% в 2022 году и 96% в 2023-2024 годах</w:t>
      </w:r>
      <w:r w:rsidRPr="00AA26A2">
        <w:rPr>
          <w:rFonts w:ascii="Times New Roman" w:eastAsia="Calibri" w:hAnsi="Times New Roman" w:cs="Times New Roman"/>
          <w:spacing w:val="-4"/>
          <w:kern w:val="28"/>
          <w:sz w:val="24"/>
          <w:szCs w:val="24"/>
        </w:rPr>
        <w:t xml:space="preserve">. </w:t>
      </w:r>
      <w:r w:rsidRPr="00AA26A2">
        <w:rPr>
          <w:rFonts w:ascii="Times New Roman" w:eastAsia="Times New Roman" w:hAnsi="Times New Roman" w:cs="Times New Roman"/>
          <w:spacing w:val="-6"/>
          <w:sz w:val="28"/>
          <w:szCs w:val="28"/>
          <w:lang w:eastAsia="ru-RU"/>
        </w:rPr>
        <w:t>Законопроектом учтены бюджетные ассигнования на реализацию 33 госпрограмм, по сравнению с 2021 годом на одну госпрограмму больше.</w:t>
      </w:r>
    </w:p>
    <w:p w14:paraId="0A074A9D" w14:textId="072620B7" w:rsidR="00275229" w:rsidRPr="00AA26A2" w:rsidRDefault="00275229" w:rsidP="00275229">
      <w:pPr>
        <w:widowControl w:val="0"/>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A26A2">
        <w:rPr>
          <w:rFonts w:ascii="Times New Roman" w:eastAsia="Times New Roman" w:hAnsi="Times New Roman" w:cs="Times New Roman"/>
          <w:sz w:val="28"/>
          <w:szCs w:val="28"/>
          <w:lang w:eastAsia="ru-RU"/>
        </w:rPr>
        <w:t>Счетная палата отмечает, что в соответствии с постановлением правительства Тульской области от 10.07.2012 №377 (в редакции от 05.10.2021, вступающей в действие с 01.01.2022) «Об утверждении перечня государственных программ Тульской области» в перечень госпрограмм включены 34 госпрограммы. В 2022 году по отношению к 2021 году предусматривается реализация двух новых госпрограмм:</w:t>
      </w:r>
    </w:p>
    <w:p w14:paraId="54C62953" w14:textId="77777777" w:rsidR="00275229" w:rsidRPr="00AA26A2" w:rsidRDefault="00275229" w:rsidP="00275229">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AA26A2">
        <w:rPr>
          <w:rFonts w:ascii="Times New Roman" w:eastAsia="Times New Roman" w:hAnsi="Times New Roman" w:cs="Times New Roman"/>
          <w:sz w:val="28"/>
          <w:szCs w:val="28"/>
          <w:lang w:eastAsia="ru-RU"/>
        </w:rPr>
        <w:t xml:space="preserve">«Развитие научной и инновационной деятельности в Тульской области» (ответственный исполнитель госпрограммы – комитет Тульской области по науке и </w:t>
      </w:r>
      <w:proofErr w:type="spellStart"/>
      <w:r w:rsidRPr="00AA26A2">
        <w:rPr>
          <w:rFonts w:ascii="Times New Roman" w:eastAsia="Times New Roman" w:hAnsi="Times New Roman" w:cs="Times New Roman"/>
          <w:sz w:val="28"/>
          <w:szCs w:val="28"/>
          <w:lang w:eastAsia="ru-RU"/>
        </w:rPr>
        <w:t>инноватике</w:t>
      </w:r>
      <w:proofErr w:type="spellEnd"/>
      <w:r w:rsidRPr="00AA26A2">
        <w:rPr>
          <w:rFonts w:ascii="Times New Roman" w:eastAsia="Times New Roman" w:hAnsi="Times New Roman" w:cs="Times New Roman"/>
          <w:sz w:val="28"/>
          <w:szCs w:val="28"/>
          <w:lang w:eastAsia="ru-RU"/>
        </w:rPr>
        <w:t>), в Законопроекте учтен объем бюджетных ассигнований в сумме 63,9 млн. рублей на 2022 год, 64,0 млн. рублей – на 2023 год, 34,0 млн. рублей – на 2024 год;</w:t>
      </w:r>
    </w:p>
    <w:p w14:paraId="512C2925" w14:textId="1501F3C0" w:rsidR="00275229" w:rsidRPr="00AA26A2" w:rsidRDefault="00275229" w:rsidP="00275229">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AA26A2">
        <w:rPr>
          <w:rFonts w:ascii="Times New Roman" w:eastAsia="Times New Roman" w:hAnsi="Times New Roman" w:cs="Times New Roman"/>
          <w:sz w:val="28"/>
          <w:szCs w:val="28"/>
          <w:lang w:eastAsia="ru-RU"/>
        </w:rPr>
        <w:t xml:space="preserve">«Развитие инфраструктуры образовательных организаций, расположенных на территории Тульской области» (ответственный исполнитель госпрограммы – министерство образования Тульской области), финансовое обеспечение указанной госпрограммы Законопроектом не предусмотрено. </w:t>
      </w:r>
      <w:r w:rsidR="00377D67">
        <w:rPr>
          <w:rFonts w:ascii="Times New Roman" w:eastAsia="Times New Roman" w:hAnsi="Times New Roman" w:cs="Times New Roman"/>
          <w:sz w:val="28"/>
          <w:szCs w:val="28"/>
          <w:lang w:eastAsia="ru-RU"/>
        </w:rPr>
        <w:t>В</w:t>
      </w:r>
      <w:r w:rsidRPr="00AA26A2">
        <w:rPr>
          <w:rFonts w:ascii="Times New Roman" w:eastAsia="Times New Roman" w:hAnsi="Times New Roman" w:cs="Times New Roman"/>
          <w:sz w:val="28"/>
          <w:szCs w:val="28"/>
          <w:lang w:eastAsia="ru-RU"/>
        </w:rPr>
        <w:t xml:space="preserve"> соответствии с проектом паспорта госпрограммы, представленным ответственным исполнителем, объемы бюджетных ассигнований, предусмотренные на реализацию мероприятий госпрограммы на 2022, 2023, 2024 годы составляют 429,8 млн. рублей, 378,6 млн. рублей, 355,3 млн. рублей соответственно.</w:t>
      </w:r>
    </w:p>
    <w:p w14:paraId="36477C5B" w14:textId="43FEDD88" w:rsidR="00242DCC" w:rsidRPr="00AA26A2" w:rsidRDefault="00242DCC" w:rsidP="000E2058">
      <w:pPr>
        <w:widowControl w:val="0"/>
        <w:tabs>
          <w:tab w:val="left" w:pos="993"/>
        </w:tabs>
        <w:spacing w:before="120" w:after="40" w:line="240" w:lineRule="auto"/>
        <w:ind w:firstLine="709"/>
        <w:jc w:val="both"/>
        <w:rPr>
          <w:rFonts w:ascii="Times New Roman" w:eastAsia="Times New Roman" w:hAnsi="Times New Roman" w:cs="Times New Roman"/>
          <w:sz w:val="28"/>
          <w:szCs w:val="28"/>
          <w:lang w:eastAsia="ru-RU"/>
        </w:rPr>
      </w:pPr>
      <w:r w:rsidRPr="00AA26A2">
        <w:rPr>
          <w:rFonts w:ascii="Times New Roman" w:eastAsia="Times New Roman" w:hAnsi="Times New Roman" w:cs="Times New Roman"/>
          <w:sz w:val="28"/>
          <w:szCs w:val="28"/>
          <w:lang w:eastAsia="ru-RU"/>
        </w:rPr>
        <w:t>Кроме того, анализ</w:t>
      </w:r>
      <w:r w:rsidR="00903D4B" w:rsidRPr="00AA26A2">
        <w:rPr>
          <w:rFonts w:ascii="Times New Roman" w:eastAsia="Times New Roman" w:hAnsi="Times New Roman" w:cs="Times New Roman"/>
          <w:sz w:val="28"/>
          <w:szCs w:val="28"/>
          <w:lang w:eastAsia="ru-RU"/>
        </w:rPr>
        <w:t xml:space="preserve">ом соответствия ресурсного обеспечения госпрограмм, указанного в </w:t>
      </w:r>
      <w:r w:rsidRPr="00AA26A2">
        <w:rPr>
          <w:rFonts w:ascii="Times New Roman" w:eastAsia="Times New Roman" w:hAnsi="Times New Roman" w:cs="Times New Roman"/>
          <w:sz w:val="28"/>
          <w:szCs w:val="28"/>
          <w:lang w:eastAsia="ru-RU"/>
        </w:rPr>
        <w:t>паспорт</w:t>
      </w:r>
      <w:r w:rsidR="00903D4B" w:rsidRPr="00AA26A2">
        <w:rPr>
          <w:rFonts w:ascii="Times New Roman" w:eastAsia="Times New Roman" w:hAnsi="Times New Roman" w:cs="Times New Roman"/>
          <w:sz w:val="28"/>
          <w:szCs w:val="28"/>
          <w:lang w:eastAsia="ru-RU"/>
        </w:rPr>
        <w:t>ах</w:t>
      </w:r>
      <w:r w:rsidRPr="00AA26A2">
        <w:rPr>
          <w:rFonts w:ascii="Times New Roman" w:eastAsia="Times New Roman" w:hAnsi="Times New Roman" w:cs="Times New Roman"/>
          <w:sz w:val="28"/>
          <w:szCs w:val="28"/>
          <w:lang w:eastAsia="ru-RU"/>
        </w:rPr>
        <w:t xml:space="preserve"> (проект</w:t>
      </w:r>
      <w:r w:rsidR="00903D4B" w:rsidRPr="00AA26A2">
        <w:rPr>
          <w:rFonts w:ascii="Times New Roman" w:eastAsia="Times New Roman" w:hAnsi="Times New Roman" w:cs="Times New Roman"/>
          <w:sz w:val="28"/>
          <w:szCs w:val="28"/>
          <w:lang w:eastAsia="ru-RU"/>
        </w:rPr>
        <w:t>ах</w:t>
      </w:r>
      <w:r w:rsidRPr="00AA26A2">
        <w:rPr>
          <w:rFonts w:ascii="Times New Roman" w:eastAsia="Times New Roman" w:hAnsi="Times New Roman" w:cs="Times New Roman"/>
          <w:sz w:val="28"/>
          <w:szCs w:val="28"/>
          <w:lang w:eastAsia="ru-RU"/>
        </w:rPr>
        <w:t>) госпрограмм</w:t>
      </w:r>
      <w:r w:rsidR="00903D4B" w:rsidRPr="00AA26A2">
        <w:rPr>
          <w:rFonts w:ascii="Times New Roman" w:eastAsia="Times New Roman" w:hAnsi="Times New Roman" w:cs="Times New Roman"/>
          <w:sz w:val="28"/>
          <w:szCs w:val="28"/>
          <w:lang w:eastAsia="ru-RU"/>
        </w:rPr>
        <w:t xml:space="preserve"> (приложение 20 к Письму Губернатора</w:t>
      </w:r>
      <w:r w:rsidR="00E70012" w:rsidRPr="00AA26A2">
        <w:rPr>
          <w:rFonts w:ascii="Times New Roman" w:eastAsia="Times New Roman" w:hAnsi="Times New Roman" w:cs="Times New Roman"/>
          <w:sz w:val="28"/>
          <w:szCs w:val="28"/>
          <w:lang w:eastAsia="ru-RU"/>
        </w:rPr>
        <w:t>, представленного в соответствии со статьей 16 Закона области о бюджетном процессе</w:t>
      </w:r>
      <w:r w:rsidR="00903D4B" w:rsidRPr="00AA26A2">
        <w:rPr>
          <w:rFonts w:ascii="Times New Roman" w:eastAsia="Times New Roman" w:hAnsi="Times New Roman" w:cs="Times New Roman"/>
          <w:sz w:val="28"/>
          <w:szCs w:val="28"/>
          <w:lang w:eastAsia="ru-RU"/>
        </w:rPr>
        <w:t xml:space="preserve">), </w:t>
      </w:r>
      <w:r w:rsidR="00E70012" w:rsidRPr="00AA26A2">
        <w:rPr>
          <w:rFonts w:ascii="Times New Roman" w:eastAsia="Times New Roman" w:hAnsi="Times New Roman" w:cs="Times New Roman"/>
          <w:sz w:val="28"/>
          <w:szCs w:val="28"/>
          <w:lang w:eastAsia="ru-RU"/>
        </w:rPr>
        <w:t xml:space="preserve">объемам бюджетных ассигнований Законопроекта </w:t>
      </w:r>
      <w:r w:rsidR="00903D4B" w:rsidRPr="00AA26A2">
        <w:rPr>
          <w:rFonts w:ascii="Times New Roman" w:eastAsia="Times New Roman" w:hAnsi="Times New Roman" w:cs="Times New Roman"/>
          <w:sz w:val="28"/>
          <w:szCs w:val="28"/>
          <w:lang w:eastAsia="ru-RU"/>
        </w:rPr>
        <w:t>выявлено</w:t>
      </w:r>
      <w:r w:rsidR="00E70012" w:rsidRPr="00AA26A2">
        <w:rPr>
          <w:rFonts w:ascii="Times New Roman" w:eastAsia="Times New Roman" w:hAnsi="Times New Roman" w:cs="Times New Roman"/>
          <w:sz w:val="28"/>
          <w:szCs w:val="28"/>
          <w:lang w:eastAsia="ru-RU"/>
        </w:rPr>
        <w:t xml:space="preserve"> несоответствие </w:t>
      </w:r>
      <w:r w:rsidR="0005694F" w:rsidRPr="00AA26A2">
        <w:rPr>
          <w:rFonts w:ascii="Times New Roman" w:eastAsia="Times New Roman" w:hAnsi="Times New Roman" w:cs="Times New Roman"/>
          <w:sz w:val="28"/>
          <w:szCs w:val="28"/>
          <w:lang w:eastAsia="ru-RU"/>
        </w:rPr>
        <w:t>по двум госпрограммам в Законопроекте на 2022 год.</w:t>
      </w:r>
    </w:p>
    <w:tbl>
      <w:tblPr>
        <w:tblStyle w:val="af2"/>
        <w:tblW w:w="0" w:type="auto"/>
        <w:tblLook w:val="04A0" w:firstRow="1" w:lastRow="0" w:firstColumn="1" w:lastColumn="0" w:noHBand="0" w:noVBand="1"/>
      </w:tblPr>
      <w:tblGrid>
        <w:gridCol w:w="3681"/>
        <w:gridCol w:w="2268"/>
        <w:gridCol w:w="2126"/>
        <w:gridCol w:w="1270"/>
      </w:tblGrid>
      <w:tr w:rsidR="0005694F" w:rsidRPr="00AA26A2" w14:paraId="3D8A6834" w14:textId="77777777" w:rsidTr="007C736B">
        <w:tc>
          <w:tcPr>
            <w:tcW w:w="3681" w:type="dxa"/>
            <w:vAlign w:val="center"/>
          </w:tcPr>
          <w:p w14:paraId="09CE453A" w14:textId="6BB4185D" w:rsidR="0005694F" w:rsidRPr="00AA26A2" w:rsidRDefault="00607644" w:rsidP="00E70012">
            <w:pPr>
              <w:widowControl w:val="0"/>
              <w:tabs>
                <w:tab w:val="left" w:pos="993"/>
              </w:tabs>
              <w:jc w:val="center"/>
              <w:rPr>
                <w:sz w:val="18"/>
                <w:szCs w:val="18"/>
              </w:rPr>
            </w:pPr>
            <w:r w:rsidRPr="00AA26A2">
              <w:rPr>
                <w:sz w:val="18"/>
                <w:szCs w:val="18"/>
              </w:rPr>
              <w:t>Наименование госпрограмм</w:t>
            </w:r>
            <w:r w:rsidR="007C736B" w:rsidRPr="00AA26A2">
              <w:rPr>
                <w:sz w:val="18"/>
                <w:szCs w:val="18"/>
              </w:rPr>
              <w:t>ы</w:t>
            </w:r>
          </w:p>
        </w:tc>
        <w:tc>
          <w:tcPr>
            <w:tcW w:w="2268" w:type="dxa"/>
            <w:vAlign w:val="center"/>
          </w:tcPr>
          <w:p w14:paraId="6C876E59" w14:textId="77777777" w:rsidR="00E70012" w:rsidRPr="00AA26A2" w:rsidRDefault="00607644" w:rsidP="00E70012">
            <w:pPr>
              <w:widowControl w:val="0"/>
              <w:tabs>
                <w:tab w:val="left" w:pos="993"/>
              </w:tabs>
              <w:jc w:val="center"/>
              <w:rPr>
                <w:sz w:val="18"/>
                <w:szCs w:val="18"/>
              </w:rPr>
            </w:pPr>
            <w:r w:rsidRPr="00AA26A2">
              <w:rPr>
                <w:sz w:val="18"/>
                <w:szCs w:val="18"/>
              </w:rPr>
              <w:t>Объем ресурсного обеспечения с</w:t>
            </w:r>
            <w:r w:rsidR="0005694F" w:rsidRPr="00AA26A2">
              <w:rPr>
                <w:sz w:val="18"/>
                <w:szCs w:val="18"/>
              </w:rPr>
              <w:t>огласно паспорту госпрограммы</w:t>
            </w:r>
            <w:r w:rsidRPr="00AA26A2">
              <w:rPr>
                <w:sz w:val="18"/>
                <w:szCs w:val="18"/>
              </w:rPr>
              <w:t xml:space="preserve">, </w:t>
            </w:r>
          </w:p>
          <w:p w14:paraId="4942879B" w14:textId="22A13442" w:rsidR="0005694F" w:rsidRPr="00AA26A2" w:rsidRDefault="00607644" w:rsidP="00E70012">
            <w:pPr>
              <w:widowControl w:val="0"/>
              <w:tabs>
                <w:tab w:val="left" w:pos="993"/>
              </w:tabs>
              <w:jc w:val="center"/>
              <w:rPr>
                <w:sz w:val="18"/>
                <w:szCs w:val="18"/>
              </w:rPr>
            </w:pPr>
            <w:r w:rsidRPr="00AA26A2">
              <w:rPr>
                <w:sz w:val="18"/>
                <w:szCs w:val="18"/>
              </w:rPr>
              <w:t>тыс. рублей</w:t>
            </w:r>
          </w:p>
        </w:tc>
        <w:tc>
          <w:tcPr>
            <w:tcW w:w="2126" w:type="dxa"/>
            <w:vAlign w:val="center"/>
          </w:tcPr>
          <w:p w14:paraId="6BC79DE4" w14:textId="32264266" w:rsidR="00607644" w:rsidRPr="00AA26A2" w:rsidRDefault="00607644" w:rsidP="00E70012">
            <w:pPr>
              <w:widowControl w:val="0"/>
              <w:tabs>
                <w:tab w:val="left" w:pos="993"/>
              </w:tabs>
              <w:jc w:val="center"/>
              <w:rPr>
                <w:sz w:val="18"/>
                <w:szCs w:val="18"/>
              </w:rPr>
            </w:pPr>
            <w:r w:rsidRPr="00AA26A2">
              <w:rPr>
                <w:sz w:val="18"/>
                <w:szCs w:val="18"/>
              </w:rPr>
              <w:t xml:space="preserve">Объем бюджетных ассигнований согласно </w:t>
            </w:r>
            <w:r w:rsidR="0005694F" w:rsidRPr="00AA26A2">
              <w:rPr>
                <w:sz w:val="18"/>
                <w:szCs w:val="18"/>
              </w:rPr>
              <w:t>Законопроект</w:t>
            </w:r>
            <w:r w:rsidRPr="00AA26A2">
              <w:rPr>
                <w:sz w:val="18"/>
                <w:szCs w:val="18"/>
              </w:rPr>
              <w:t>у,</w:t>
            </w:r>
          </w:p>
          <w:p w14:paraId="18590E5E" w14:textId="64012D96" w:rsidR="0005694F" w:rsidRPr="00AA26A2" w:rsidRDefault="00607644" w:rsidP="00E70012">
            <w:pPr>
              <w:widowControl w:val="0"/>
              <w:tabs>
                <w:tab w:val="left" w:pos="993"/>
              </w:tabs>
              <w:jc w:val="center"/>
              <w:rPr>
                <w:sz w:val="18"/>
                <w:szCs w:val="18"/>
              </w:rPr>
            </w:pPr>
            <w:r w:rsidRPr="00AA26A2">
              <w:rPr>
                <w:sz w:val="18"/>
                <w:szCs w:val="18"/>
              </w:rPr>
              <w:t>тыс. рублей</w:t>
            </w:r>
          </w:p>
        </w:tc>
        <w:tc>
          <w:tcPr>
            <w:tcW w:w="1270" w:type="dxa"/>
            <w:vAlign w:val="center"/>
          </w:tcPr>
          <w:p w14:paraId="37536476" w14:textId="00CE0106" w:rsidR="00607644" w:rsidRPr="00AA26A2" w:rsidRDefault="0005694F" w:rsidP="00E70012">
            <w:pPr>
              <w:widowControl w:val="0"/>
              <w:tabs>
                <w:tab w:val="left" w:pos="993"/>
              </w:tabs>
              <w:jc w:val="center"/>
              <w:rPr>
                <w:sz w:val="18"/>
                <w:szCs w:val="18"/>
              </w:rPr>
            </w:pPr>
            <w:r w:rsidRPr="00AA26A2">
              <w:rPr>
                <w:sz w:val="18"/>
                <w:szCs w:val="18"/>
              </w:rPr>
              <w:t>Отклонение,</w:t>
            </w:r>
          </w:p>
          <w:p w14:paraId="2B88E372" w14:textId="7A09FEF8" w:rsidR="0005694F" w:rsidRPr="00AA26A2" w:rsidRDefault="00607644" w:rsidP="00E70012">
            <w:pPr>
              <w:widowControl w:val="0"/>
              <w:tabs>
                <w:tab w:val="left" w:pos="993"/>
              </w:tabs>
              <w:jc w:val="center"/>
              <w:rPr>
                <w:sz w:val="18"/>
                <w:szCs w:val="18"/>
              </w:rPr>
            </w:pPr>
            <w:r w:rsidRPr="00AA26A2">
              <w:rPr>
                <w:sz w:val="18"/>
                <w:szCs w:val="18"/>
              </w:rPr>
              <w:t xml:space="preserve">тыс. </w:t>
            </w:r>
            <w:r w:rsidR="0005694F" w:rsidRPr="00AA26A2">
              <w:rPr>
                <w:sz w:val="18"/>
                <w:szCs w:val="18"/>
              </w:rPr>
              <w:t>рубл</w:t>
            </w:r>
            <w:r w:rsidRPr="00AA26A2">
              <w:rPr>
                <w:sz w:val="18"/>
                <w:szCs w:val="18"/>
              </w:rPr>
              <w:t>ей</w:t>
            </w:r>
          </w:p>
        </w:tc>
      </w:tr>
      <w:tr w:rsidR="007C736B" w:rsidRPr="00AA26A2" w14:paraId="2FA8EF64" w14:textId="77777777" w:rsidTr="007C736B">
        <w:tc>
          <w:tcPr>
            <w:tcW w:w="3681" w:type="dxa"/>
            <w:vAlign w:val="center"/>
          </w:tcPr>
          <w:p w14:paraId="297F0154" w14:textId="7EF4A9B0" w:rsidR="007C736B" w:rsidRPr="00AA26A2" w:rsidRDefault="007C736B" w:rsidP="00E70012">
            <w:pPr>
              <w:widowControl w:val="0"/>
              <w:tabs>
                <w:tab w:val="left" w:pos="993"/>
              </w:tabs>
              <w:jc w:val="center"/>
              <w:rPr>
                <w:sz w:val="18"/>
                <w:szCs w:val="18"/>
              </w:rPr>
            </w:pPr>
            <w:r w:rsidRPr="00AA26A2">
              <w:rPr>
                <w:sz w:val="18"/>
                <w:szCs w:val="18"/>
              </w:rPr>
              <w:t>1</w:t>
            </w:r>
          </w:p>
        </w:tc>
        <w:tc>
          <w:tcPr>
            <w:tcW w:w="2268" w:type="dxa"/>
            <w:vAlign w:val="center"/>
          </w:tcPr>
          <w:p w14:paraId="0862AD37" w14:textId="0B1EC764" w:rsidR="007C736B" w:rsidRPr="00AA26A2" w:rsidRDefault="007C736B" w:rsidP="00E70012">
            <w:pPr>
              <w:widowControl w:val="0"/>
              <w:tabs>
                <w:tab w:val="left" w:pos="993"/>
              </w:tabs>
              <w:jc w:val="center"/>
              <w:rPr>
                <w:sz w:val="18"/>
                <w:szCs w:val="18"/>
              </w:rPr>
            </w:pPr>
            <w:r w:rsidRPr="00AA26A2">
              <w:rPr>
                <w:sz w:val="18"/>
                <w:szCs w:val="18"/>
              </w:rPr>
              <w:t>2</w:t>
            </w:r>
          </w:p>
        </w:tc>
        <w:tc>
          <w:tcPr>
            <w:tcW w:w="2126" w:type="dxa"/>
            <w:vAlign w:val="center"/>
          </w:tcPr>
          <w:p w14:paraId="4C9BC536" w14:textId="36D403F2" w:rsidR="007C736B" w:rsidRPr="00AA26A2" w:rsidRDefault="007C736B" w:rsidP="00E70012">
            <w:pPr>
              <w:widowControl w:val="0"/>
              <w:tabs>
                <w:tab w:val="left" w:pos="993"/>
              </w:tabs>
              <w:jc w:val="center"/>
              <w:rPr>
                <w:sz w:val="18"/>
                <w:szCs w:val="18"/>
              </w:rPr>
            </w:pPr>
            <w:r w:rsidRPr="00AA26A2">
              <w:rPr>
                <w:sz w:val="18"/>
                <w:szCs w:val="18"/>
              </w:rPr>
              <w:t>3</w:t>
            </w:r>
          </w:p>
        </w:tc>
        <w:tc>
          <w:tcPr>
            <w:tcW w:w="1270" w:type="dxa"/>
            <w:vAlign w:val="center"/>
          </w:tcPr>
          <w:p w14:paraId="0EE9853B" w14:textId="7EA832BA" w:rsidR="007C736B" w:rsidRPr="00AA26A2" w:rsidRDefault="007C736B" w:rsidP="00E70012">
            <w:pPr>
              <w:widowControl w:val="0"/>
              <w:tabs>
                <w:tab w:val="left" w:pos="993"/>
              </w:tabs>
              <w:jc w:val="center"/>
              <w:rPr>
                <w:sz w:val="18"/>
                <w:szCs w:val="18"/>
              </w:rPr>
            </w:pPr>
            <w:r w:rsidRPr="00AA26A2">
              <w:rPr>
                <w:sz w:val="18"/>
                <w:szCs w:val="18"/>
              </w:rPr>
              <w:t>4=3-2</w:t>
            </w:r>
          </w:p>
        </w:tc>
      </w:tr>
      <w:tr w:rsidR="0005694F" w:rsidRPr="00AA26A2" w14:paraId="58979F0B" w14:textId="77777777" w:rsidTr="007C736B">
        <w:tc>
          <w:tcPr>
            <w:tcW w:w="3681" w:type="dxa"/>
          </w:tcPr>
          <w:p w14:paraId="01CC59ED" w14:textId="74FEBD61" w:rsidR="0005694F" w:rsidRPr="00AA26A2" w:rsidRDefault="007C736B" w:rsidP="007C736B">
            <w:pPr>
              <w:widowControl w:val="0"/>
              <w:tabs>
                <w:tab w:val="left" w:pos="993"/>
              </w:tabs>
              <w:rPr>
                <w:sz w:val="18"/>
                <w:szCs w:val="18"/>
              </w:rPr>
            </w:pPr>
            <w:r w:rsidRPr="00AA26A2">
              <w:rPr>
                <w:sz w:val="18"/>
                <w:szCs w:val="18"/>
              </w:rPr>
              <w:t>«</w:t>
            </w:r>
            <w:r w:rsidR="0005694F" w:rsidRPr="00AA26A2">
              <w:rPr>
                <w:sz w:val="18"/>
                <w:szCs w:val="18"/>
              </w:rPr>
              <w:t>Обеспечение доступным и комфортным жильем населения Тульской области</w:t>
            </w:r>
            <w:r w:rsidRPr="00AA26A2">
              <w:rPr>
                <w:sz w:val="18"/>
                <w:szCs w:val="18"/>
              </w:rPr>
              <w:t>»</w:t>
            </w:r>
          </w:p>
        </w:tc>
        <w:tc>
          <w:tcPr>
            <w:tcW w:w="2268" w:type="dxa"/>
            <w:vAlign w:val="center"/>
          </w:tcPr>
          <w:p w14:paraId="17A29412" w14:textId="6B5A3366" w:rsidR="0005694F" w:rsidRPr="00AA26A2" w:rsidRDefault="0005694F" w:rsidP="007C736B">
            <w:pPr>
              <w:widowControl w:val="0"/>
              <w:tabs>
                <w:tab w:val="left" w:pos="993"/>
              </w:tabs>
              <w:jc w:val="center"/>
              <w:rPr>
                <w:sz w:val="18"/>
                <w:szCs w:val="18"/>
              </w:rPr>
            </w:pPr>
            <w:r w:rsidRPr="00AA26A2">
              <w:rPr>
                <w:sz w:val="18"/>
                <w:szCs w:val="18"/>
              </w:rPr>
              <w:t>2</w:t>
            </w:r>
            <w:r w:rsidR="00607644" w:rsidRPr="00AA26A2">
              <w:rPr>
                <w:sz w:val="18"/>
                <w:szCs w:val="18"/>
              </w:rPr>
              <w:t> </w:t>
            </w:r>
            <w:r w:rsidRPr="00AA26A2">
              <w:rPr>
                <w:sz w:val="18"/>
                <w:szCs w:val="18"/>
              </w:rPr>
              <w:t>500</w:t>
            </w:r>
            <w:r w:rsidR="00607644" w:rsidRPr="00AA26A2">
              <w:rPr>
                <w:sz w:val="18"/>
                <w:szCs w:val="18"/>
              </w:rPr>
              <w:t> </w:t>
            </w:r>
            <w:r w:rsidRPr="00AA26A2">
              <w:rPr>
                <w:sz w:val="18"/>
                <w:szCs w:val="18"/>
              </w:rPr>
              <w:t>585,7</w:t>
            </w:r>
          </w:p>
        </w:tc>
        <w:tc>
          <w:tcPr>
            <w:tcW w:w="2126" w:type="dxa"/>
            <w:vAlign w:val="center"/>
          </w:tcPr>
          <w:p w14:paraId="53172825" w14:textId="2497FFE2" w:rsidR="0005694F" w:rsidRPr="00AA26A2" w:rsidRDefault="007C736B" w:rsidP="007C736B">
            <w:pPr>
              <w:widowControl w:val="0"/>
              <w:tabs>
                <w:tab w:val="left" w:pos="993"/>
              </w:tabs>
              <w:jc w:val="center"/>
              <w:rPr>
                <w:sz w:val="18"/>
                <w:szCs w:val="18"/>
              </w:rPr>
            </w:pPr>
            <w:r w:rsidRPr="00AA26A2">
              <w:rPr>
                <w:sz w:val="18"/>
                <w:szCs w:val="18"/>
              </w:rPr>
              <w:t>2 </w:t>
            </w:r>
            <w:r w:rsidR="0005694F" w:rsidRPr="00AA26A2">
              <w:rPr>
                <w:sz w:val="18"/>
                <w:szCs w:val="18"/>
              </w:rPr>
              <w:t>349</w:t>
            </w:r>
            <w:r w:rsidR="00607644" w:rsidRPr="00AA26A2">
              <w:rPr>
                <w:sz w:val="18"/>
                <w:szCs w:val="18"/>
              </w:rPr>
              <w:t> </w:t>
            </w:r>
            <w:r w:rsidR="0005694F" w:rsidRPr="00AA26A2">
              <w:rPr>
                <w:sz w:val="18"/>
                <w:szCs w:val="18"/>
              </w:rPr>
              <w:t>319</w:t>
            </w:r>
            <w:r w:rsidR="00607644" w:rsidRPr="00AA26A2">
              <w:rPr>
                <w:sz w:val="18"/>
                <w:szCs w:val="18"/>
              </w:rPr>
              <w:t>,</w:t>
            </w:r>
            <w:r w:rsidRPr="00AA26A2">
              <w:rPr>
                <w:sz w:val="18"/>
                <w:szCs w:val="18"/>
              </w:rPr>
              <w:t>8</w:t>
            </w:r>
          </w:p>
        </w:tc>
        <w:tc>
          <w:tcPr>
            <w:tcW w:w="1270" w:type="dxa"/>
            <w:vAlign w:val="center"/>
          </w:tcPr>
          <w:p w14:paraId="3A6BE75D" w14:textId="76403F24" w:rsidR="0005694F" w:rsidRPr="00AA26A2" w:rsidRDefault="007C736B" w:rsidP="007C736B">
            <w:pPr>
              <w:widowControl w:val="0"/>
              <w:tabs>
                <w:tab w:val="left" w:pos="993"/>
              </w:tabs>
              <w:jc w:val="center"/>
              <w:rPr>
                <w:sz w:val="18"/>
                <w:szCs w:val="18"/>
              </w:rPr>
            </w:pPr>
            <w:r w:rsidRPr="00AA26A2">
              <w:rPr>
                <w:sz w:val="18"/>
                <w:szCs w:val="18"/>
              </w:rPr>
              <w:t>-151 265,9</w:t>
            </w:r>
          </w:p>
        </w:tc>
      </w:tr>
      <w:tr w:rsidR="0005694F" w:rsidRPr="007C736B" w14:paraId="13AECBCB" w14:textId="77777777" w:rsidTr="007C736B">
        <w:tc>
          <w:tcPr>
            <w:tcW w:w="3681" w:type="dxa"/>
          </w:tcPr>
          <w:p w14:paraId="6FDC425B" w14:textId="5D95F8DD" w:rsidR="0005694F" w:rsidRPr="00AA26A2" w:rsidRDefault="007C736B" w:rsidP="007C736B">
            <w:pPr>
              <w:widowControl w:val="0"/>
              <w:tabs>
                <w:tab w:val="left" w:pos="993"/>
              </w:tabs>
              <w:rPr>
                <w:sz w:val="18"/>
                <w:szCs w:val="18"/>
              </w:rPr>
            </w:pPr>
            <w:r w:rsidRPr="00AA26A2">
              <w:rPr>
                <w:sz w:val="18"/>
                <w:szCs w:val="18"/>
              </w:rPr>
              <w:t>«</w:t>
            </w:r>
            <w:r w:rsidR="0005694F" w:rsidRPr="00AA26A2">
              <w:rPr>
                <w:sz w:val="18"/>
                <w:szCs w:val="18"/>
              </w:rPr>
              <w:t>Обеспечение качественными услугами жилищно-коммунального хозяйства населения Тульской области</w:t>
            </w:r>
            <w:r w:rsidRPr="00AA26A2">
              <w:rPr>
                <w:sz w:val="18"/>
                <w:szCs w:val="18"/>
              </w:rPr>
              <w:t>»</w:t>
            </w:r>
          </w:p>
        </w:tc>
        <w:tc>
          <w:tcPr>
            <w:tcW w:w="2268" w:type="dxa"/>
            <w:vAlign w:val="center"/>
          </w:tcPr>
          <w:p w14:paraId="6FEA9E15" w14:textId="1208EFA1" w:rsidR="0005694F" w:rsidRPr="00AA26A2" w:rsidRDefault="0005694F" w:rsidP="007C736B">
            <w:pPr>
              <w:widowControl w:val="0"/>
              <w:tabs>
                <w:tab w:val="left" w:pos="993"/>
              </w:tabs>
              <w:jc w:val="center"/>
              <w:rPr>
                <w:sz w:val="18"/>
                <w:szCs w:val="18"/>
              </w:rPr>
            </w:pPr>
            <w:r w:rsidRPr="00AA26A2">
              <w:rPr>
                <w:sz w:val="18"/>
                <w:szCs w:val="18"/>
              </w:rPr>
              <w:t>1</w:t>
            </w:r>
            <w:r w:rsidR="00607644" w:rsidRPr="00AA26A2">
              <w:rPr>
                <w:sz w:val="18"/>
                <w:szCs w:val="18"/>
              </w:rPr>
              <w:t> </w:t>
            </w:r>
            <w:r w:rsidRPr="00AA26A2">
              <w:rPr>
                <w:sz w:val="18"/>
                <w:szCs w:val="18"/>
              </w:rPr>
              <w:t>256</w:t>
            </w:r>
            <w:r w:rsidR="00607644" w:rsidRPr="00AA26A2">
              <w:rPr>
                <w:sz w:val="18"/>
                <w:szCs w:val="18"/>
              </w:rPr>
              <w:t> </w:t>
            </w:r>
            <w:r w:rsidRPr="00AA26A2">
              <w:rPr>
                <w:sz w:val="18"/>
                <w:szCs w:val="18"/>
              </w:rPr>
              <w:t>133,8</w:t>
            </w:r>
          </w:p>
        </w:tc>
        <w:tc>
          <w:tcPr>
            <w:tcW w:w="2126" w:type="dxa"/>
            <w:vAlign w:val="center"/>
          </w:tcPr>
          <w:p w14:paraId="16BF83BE" w14:textId="1638E7DC" w:rsidR="0005694F" w:rsidRPr="00AA26A2" w:rsidRDefault="007C736B" w:rsidP="007C736B">
            <w:pPr>
              <w:widowControl w:val="0"/>
              <w:tabs>
                <w:tab w:val="left" w:pos="993"/>
              </w:tabs>
              <w:jc w:val="center"/>
              <w:rPr>
                <w:sz w:val="18"/>
                <w:szCs w:val="18"/>
              </w:rPr>
            </w:pPr>
            <w:r w:rsidRPr="00AA26A2">
              <w:rPr>
                <w:sz w:val="18"/>
                <w:szCs w:val="18"/>
              </w:rPr>
              <w:t>1 </w:t>
            </w:r>
            <w:r w:rsidR="0005694F" w:rsidRPr="00AA26A2">
              <w:rPr>
                <w:sz w:val="18"/>
                <w:szCs w:val="18"/>
              </w:rPr>
              <w:t>284</w:t>
            </w:r>
            <w:r w:rsidRPr="00AA26A2">
              <w:rPr>
                <w:sz w:val="18"/>
                <w:szCs w:val="18"/>
              </w:rPr>
              <w:t> </w:t>
            </w:r>
            <w:r w:rsidR="0005694F" w:rsidRPr="00AA26A2">
              <w:rPr>
                <w:sz w:val="18"/>
                <w:szCs w:val="18"/>
              </w:rPr>
              <w:t>443</w:t>
            </w:r>
            <w:r w:rsidRPr="00AA26A2">
              <w:rPr>
                <w:sz w:val="18"/>
                <w:szCs w:val="18"/>
              </w:rPr>
              <w:t>,1</w:t>
            </w:r>
          </w:p>
        </w:tc>
        <w:tc>
          <w:tcPr>
            <w:tcW w:w="1270" w:type="dxa"/>
            <w:vAlign w:val="center"/>
          </w:tcPr>
          <w:p w14:paraId="4C2DCA18" w14:textId="2023B02D" w:rsidR="0005694F" w:rsidRPr="007C736B" w:rsidRDefault="007C736B" w:rsidP="007C736B">
            <w:pPr>
              <w:widowControl w:val="0"/>
              <w:tabs>
                <w:tab w:val="left" w:pos="993"/>
              </w:tabs>
              <w:jc w:val="center"/>
              <w:rPr>
                <w:sz w:val="18"/>
                <w:szCs w:val="18"/>
              </w:rPr>
            </w:pPr>
            <w:r w:rsidRPr="00AA26A2">
              <w:rPr>
                <w:sz w:val="18"/>
                <w:szCs w:val="18"/>
              </w:rPr>
              <w:t>28 309,3</w:t>
            </w:r>
          </w:p>
        </w:tc>
      </w:tr>
    </w:tbl>
    <w:p w14:paraId="505C1609" w14:textId="5E7594F0" w:rsidR="00DE65E1" w:rsidRPr="00CF40A3" w:rsidRDefault="00CF40A3" w:rsidP="000E2058">
      <w:pPr>
        <w:widowControl w:val="0"/>
        <w:spacing w:before="240" w:after="80" w:line="240" w:lineRule="auto"/>
        <w:ind w:firstLine="709"/>
        <w:jc w:val="both"/>
        <w:outlineLvl w:val="1"/>
        <w:rPr>
          <w:rFonts w:ascii="Times New Roman" w:eastAsia="Times New Roman" w:hAnsi="Times New Roman" w:cs="Times New Roman"/>
          <w:strike/>
          <w:sz w:val="28"/>
          <w:szCs w:val="28"/>
          <w:lang w:eastAsia="ru-RU"/>
        </w:rPr>
      </w:pPr>
      <w:r w:rsidRPr="00622B89">
        <w:rPr>
          <w:rFonts w:ascii="Times New Roman" w:eastAsia="Times New Roman" w:hAnsi="Times New Roman" w:cs="Times New Roman"/>
          <w:sz w:val="28"/>
          <w:szCs w:val="28"/>
          <w:lang w:eastAsia="ru-RU"/>
        </w:rPr>
        <w:t xml:space="preserve">Объемы бюджетных ассигнований (млн. рублей) и их доли в общем объеме бюджетных ассигнований, предусматриваемых на исполнение госпрограмм в 2022 году </w:t>
      </w:r>
      <w:r w:rsidR="00FB6889" w:rsidRPr="00622B89">
        <w:rPr>
          <w:rFonts w:ascii="Times New Roman" w:eastAsia="Times New Roman" w:hAnsi="Times New Roman" w:cs="Times New Roman"/>
          <w:sz w:val="28"/>
          <w:szCs w:val="28"/>
          <w:lang w:eastAsia="ru-RU"/>
        </w:rPr>
        <w:t>представлен</w:t>
      </w:r>
      <w:r w:rsidRPr="00622B89">
        <w:rPr>
          <w:rFonts w:ascii="Times New Roman" w:eastAsia="Times New Roman" w:hAnsi="Times New Roman" w:cs="Times New Roman"/>
          <w:sz w:val="28"/>
          <w:szCs w:val="28"/>
          <w:lang w:eastAsia="ru-RU"/>
        </w:rPr>
        <w:t>ы</w:t>
      </w:r>
      <w:r w:rsidR="00FB6889" w:rsidRPr="00622B89">
        <w:rPr>
          <w:rFonts w:ascii="Times New Roman" w:eastAsia="Times New Roman" w:hAnsi="Times New Roman" w:cs="Times New Roman"/>
          <w:sz w:val="28"/>
          <w:szCs w:val="28"/>
          <w:lang w:eastAsia="ru-RU"/>
        </w:rPr>
        <w:t xml:space="preserve"> на следующей диаграмме</w:t>
      </w:r>
      <w:r w:rsidRPr="00622B89">
        <w:rPr>
          <w:rFonts w:ascii="Times New Roman" w:eastAsia="Times New Roman" w:hAnsi="Times New Roman" w:cs="Times New Roman"/>
          <w:sz w:val="28"/>
          <w:szCs w:val="28"/>
          <w:lang w:eastAsia="ru-RU"/>
        </w:rPr>
        <w:t>.</w:t>
      </w:r>
    </w:p>
    <w:p w14:paraId="32C15A67" w14:textId="0ADBC7A5" w:rsidR="00DE65E1" w:rsidRDefault="00DE65E1" w:rsidP="00DE65E1">
      <w:pPr>
        <w:widowControl w:val="0"/>
        <w:spacing w:after="0" w:line="240" w:lineRule="auto"/>
        <w:jc w:val="both"/>
        <w:outlineLvl w:val="1"/>
        <w:rPr>
          <w:rFonts w:ascii="Times New Roman" w:eastAsia="Times New Roman" w:hAnsi="Times New Roman" w:cs="Times New Roman"/>
          <w:sz w:val="28"/>
          <w:szCs w:val="28"/>
          <w:lang w:eastAsia="ru-RU"/>
        </w:rPr>
      </w:pPr>
      <w:r w:rsidRPr="005D3CAA">
        <w:rPr>
          <w:rFonts w:ascii="Times New Roman" w:eastAsia="Times New Roman" w:hAnsi="Times New Roman" w:cs="Times New Roman"/>
          <w:noProof/>
          <w:sz w:val="28"/>
          <w:szCs w:val="28"/>
          <w:lang w:eastAsia="ru-RU"/>
        </w:rPr>
        <w:lastRenderedPageBreak/>
        <w:drawing>
          <wp:inline distT="0" distB="0" distL="0" distR="0" wp14:anchorId="2C86C768" wp14:editId="72219780">
            <wp:extent cx="5810250" cy="3886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709367" w14:textId="556A85A4" w:rsidR="00BE675C" w:rsidRDefault="00BE675C" w:rsidP="000E2058">
      <w:pPr>
        <w:widowControl w:val="0"/>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DE65E1">
        <w:rPr>
          <w:rFonts w:ascii="Times New Roman" w:eastAsia="Times New Roman" w:hAnsi="Times New Roman" w:cs="Times New Roman"/>
          <w:sz w:val="28"/>
          <w:szCs w:val="28"/>
          <w:lang w:eastAsia="ru-RU"/>
        </w:rPr>
        <w:t>Бюджет области сохраняет социальную направленность</w:t>
      </w:r>
      <w:r w:rsidR="002A5FFA">
        <w:rPr>
          <w:rFonts w:ascii="Times New Roman" w:eastAsia="Times New Roman" w:hAnsi="Times New Roman" w:cs="Times New Roman"/>
          <w:sz w:val="28"/>
          <w:szCs w:val="28"/>
          <w:lang w:eastAsia="ru-RU"/>
        </w:rPr>
        <w:t>,</w:t>
      </w:r>
      <w:r w:rsidRPr="00DE65E1">
        <w:rPr>
          <w:rFonts w:ascii="Times New Roman" w:eastAsia="Times New Roman" w:hAnsi="Times New Roman" w:cs="Times New Roman"/>
          <w:sz w:val="28"/>
          <w:szCs w:val="28"/>
          <w:lang w:eastAsia="ru-RU"/>
        </w:rPr>
        <w:t xml:space="preserve"> </w:t>
      </w:r>
      <w:r w:rsidR="00DE65E1" w:rsidRPr="00DE65E1">
        <w:rPr>
          <w:rFonts w:ascii="Times New Roman" w:eastAsia="Times New Roman" w:hAnsi="Times New Roman" w:cs="Times New Roman"/>
          <w:sz w:val="28"/>
          <w:szCs w:val="28"/>
          <w:lang w:eastAsia="ru-RU"/>
        </w:rPr>
        <w:t>67</w:t>
      </w:r>
      <w:r w:rsidRPr="00DE65E1">
        <w:rPr>
          <w:rFonts w:ascii="Times New Roman" w:eastAsia="Times New Roman" w:hAnsi="Times New Roman" w:cs="Times New Roman"/>
          <w:sz w:val="28"/>
          <w:szCs w:val="28"/>
          <w:lang w:eastAsia="ru-RU"/>
        </w:rPr>
        <w:t>% общего объема бюджетных ассигнований составляют расходы, предусмотренные в рамках четырех госпрограмм социального характера</w:t>
      </w:r>
      <w:r w:rsidR="00C7642A">
        <w:rPr>
          <w:rFonts w:ascii="Times New Roman" w:eastAsia="Times New Roman" w:hAnsi="Times New Roman" w:cs="Times New Roman"/>
          <w:sz w:val="28"/>
          <w:szCs w:val="28"/>
          <w:lang w:eastAsia="ru-RU"/>
        </w:rPr>
        <w:t>: «Развитие образования Тульской области» (27%</w:t>
      </w:r>
      <w:r w:rsidR="0066641B">
        <w:rPr>
          <w:rFonts w:ascii="Times New Roman" w:eastAsia="Times New Roman" w:hAnsi="Times New Roman" w:cs="Times New Roman"/>
          <w:sz w:val="28"/>
          <w:szCs w:val="28"/>
          <w:lang w:eastAsia="ru-RU"/>
        </w:rPr>
        <w:t xml:space="preserve"> в объеме расходов, направляемых в рамках программных расходов); «Развитие здравоохранения Тульской области</w:t>
      </w:r>
      <w:r w:rsidR="00C7642A">
        <w:rPr>
          <w:rFonts w:ascii="Times New Roman" w:eastAsia="Times New Roman" w:hAnsi="Times New Roman" w:cs="Times New Roman"/>
          <w:sz w:val="28"/>
          <w:szCs w:val="28"/>
          <w:lang w:eastAsia="ru-RU"/>
        </w:rPr>
        <w:t>»</w:t>
      </w:r>
      <w:r w:rsidR="0066641B">
        <w:rPr>
          <w:rFonts w:ascii="Times New Roman" w:eastAsia="Times New Roman" w:hAnsi="Times New Roman" w:cs="Times New Roman"/>
          <w:sz w:val="28"/>
          <w:szCs w:val="28"/>
          <w:lang w:eastAsia="ru-RU"/>
        </w:rPr>
        <w:t xml:space="preserve"> (20%); «Социальная поддержка и социальное обслуживание населения Тульской области» (12%); «Улучшение демографической ситуации и поддержка семей, воспитывающих детей, в Тульской области» (8%)»</w:t>
      </w:r>
      <w:r w:rsidR="00DE65E1" w:rsidRPr="00DE65E1">
        <w:rPr>
          <w:rFonts w:ascii="Times New Roman" w:eastAsia="Times New Roman" w:hAnsi="Times New Roman" w:cs="Times New Roman"/>
          <w:sz w:val="28"/>
          <w:szCs w:val="28"/>
          <w:lang w:eastAsia="ru-RU"/>
        </w:rPr>
        <w:t>.</w:t>
      </w:r>
    </w:p>
    <w:p w14:paraId="7EC48BAB" w14:textId="3E76F2EB" w:rsidR="00DE65E1" w:rsidRPr="00DE65E1" w:rsidRDefault="00D875D8" w:rsidP="00CA4450">
      <w:pPr>
        <w:widowControl w:val="0"/>
        <w:tabs>
          <w:tab w:val="left" w:pos="993"/>
        </w:tabs>
        <w:spacing w:before="240" w:after="0" w:line="240" w:lineRule="auto"/>
        <w:ind w:firstLine="709"/>
        <w:jc w:val="both"/>
        <w:rPr>
          <w:rFonts w:ascii="Times New Roman" w:hAnsi="Times New Roman" w:cs="Times New Roman"/>
          <w:i/>
          <w:sz w:val="28"/>
          <w:szCs w:val="28"/>
        </w:rPr>
      </w:pPr>
      <w:r w:rsidRPr="00D875D8">
        <w:rPr>
          <w:rFonts w:ascii="Times New Roman" w:hAnsi="Times New Roman" w:cs="Times New Roman"/>
          <w:b/>
          <w:sz w:val="28"/>
          <w:szCs w:val="28"/>
        </w:rPr>
        <w:t>3.7. </w:t>
      </w:r>
      <w:r w:rsidR="00DE65E1" w:rsidRPr="00DE65E1">
        <w:rPr>
          <w:rFonts w:ascii="Times New Roman" w:hAnsi="Times New Roman" w:cs="Times New Roman"/>
          <w:i/>
          <w:sz w:val="28"/>
          <w:szCs w:val="28"/>
        </w:rPr>
        <w:t>Реализация региональных проектов в 2022-2024 годах.</w:t>
      </w:r>
    </w:p>
    <w:p w14:paraId="1AF8C17D" w14:textId="77EB8704" w:rsidR="00DE65E1" w:rsidRDefault="00DE65E1" w:rsidP="00DE65E1">
      <w:pPr>
        <w:tabs>
          <w:tab w:val="left" w:pos="993"/>
        </w:tabs>
        <w:spacing w:before="120" w:after="0" w:line="240" w:lineRule="auto"/>
        <w:ind w:firstLine="709"/>
        <w:jc w:val="both"/>
        <w:rPr>
          <w:rFonts w:ascii="Times New Roman" w:hAnsi="Times New Roman" w:cs="Times New Roman"/>
          <w:sz w:val="28"/>
          <w:szCs w:val="28"/>
        </w:rPr>
      </w:pPr>
      <w:r w:rsidRPr="00DE65E1">
        <w:rPr>
          <w:rFonts w:ascii="Times New Roman" w:hAnsi="Times New Roman" w:cs="Times New Roman"/>
          <w:sz w:val="28"/>
          <w:szCs w:val="28"/>
        </w:rPr>
        <w:t xml:space="preserve">В целях реализации </w:t>
      </w:r>
      <w:r w:rsidRPr="00DE65E1">
        <w:rPr>
          <w:rFonts w:ascii="Times New Roman" w:eastAsia="Times New Roman" w:hAnsi="Times New Roman" w:cs="Times New Roman"/>
          <w:sz w:val="28"/>
          <w:szCs w:val="28"/>
        </w:rPr>
        <w:t xml:space="preserve">Указов Президента РФ от 07.05.2018 </w:t>
      </w:r>
      <w:r w:rsidRPr="00DE65E1">
        <w:rPr>
          <w:rFonts w:ascii="Times New Roman" w:hAnsi="Times New Roman" w:cs="Times New Roman"/>
          <w:sz w:val="28"/>
          <w:szCs w:val="28"/>
        </w:rPr>
        <w:t>№204 «О национальных целях и стратегических задачах развития Российской Федерации на</w:t>
      </w:r>
      <w:r w:rsidRPr="00DE65E1">
        <w:rPr>
          <w:rFonts w:ascii="Times New Roman" w:eastAsia="Times New Roman" w:hAnsi="Times New Roman" w:cs="Times New Roman"/>
          <w:sz w:val="28"/>
          <w:szCs w:val="28"/>
        </w:rPr>
        <w:t xml:space="preserve"> период до 2024 года» и от 21.07.2020 №474 «О национальных целях развития Российской Федерации на период до 2030 года» </w:t>
      </w:r>
      <w:r w:rsidRPr="00DE65E1">
        <w:rPr>
          <w:rFonts w:ascii="Times New Roman" w:hAnsi="Times New Roman" w:cs="Times New Roman"/>
          <w:sz w:val="28"/>
          <w:szCs w:val="28"/>
        </w:rPr>
        <w:t>на финансовое обеспечение региональных проектов на 2022</w:t>
      </w:r>
      <w:r w:rsidR="006D3745">
        <w:rPr>
          <w:rFonts w:ascii="Times New Roman" w:hAnsi="Times New Roman" w:cs="Times New Roman"/>
          <w:sz w:val="28"/>
          <w:szCs w:val="28"/>
        </w:rPr>
        <w:t xml:space="preserve"> год</w:t>
      </w:r>
      <w:r w:rsidRPr="00DE65E1">
        <w:rPr>
          <w:rFonts w:ascii="Times New Roman" w:hAnsi="Times New Roman" w:cs="Times New Roman"/>
          <w:sz w:val="28"/>
          <w:szCs w:val="28"/>
        </w:rPr>
        <w:t xml:space="preserve"> предусматривается 14 980,6 млн. рублей, </w:t>
      </w:r>
      <w:r w:rsidR="00671564">
        <w:rPr>
          <w:rFonts w:ascii="Times New Roman" w:hAnsi="Times New Roman" w:cs="Times New Roman"/>
          <w:sz w:val="28"/>
          <w:szCs w:val="28"/>
        </w:rPr>
        <w:t>в том числе за счет средств федерального бюджета – 6 371,8 млн. рублей</w:t>
      </w:r>
      <w:r w:rsidR="006D3745">
        <w:rPr>
          <w:rFonts w:ascii="Times New Roman" w:hAnsi="Times New Roman" w:cs="Times New Roman"/>
          <w:sz w:val="28"/>
          <w:szCs w:val="28"/>
        </w:rPr>
        <w:t>, на плановый период</w:t>
      </w:r>
      <w:r w:rsidR="006D3745" w:rsidRPr="00DE65E1">
        <w:rPr>
          <w:rFonts w:ascii="Times New Roman" w:hAnsi="Times New Roman" w:cs="Times New Roman"/>
          <w:sz w:val="28"/>
          <w:szCs w:val="28"/>
        </w:rPr>
        <w:t xml:space="preserve"> 2023</w:t>
      </w:r>
      <w:r w:rsidR="006D3745">
        <w:rPr>
          <w:rFonts w:ascii="Times New Roman" w:hAnsi="Times New Roman" w:cs="Times New Roman"/>
          <w:sz w:val="28"/>
          <w:szCs w:val="28"/>
        </w:rPr>
        <w:t>–</w:t>
      </w:r>
      <w:r w:rsidR="006D3745" w:rsidRPr="00DE65E1">
        <w:rPr>
          <w:rFonts w:ascii="Times New Roman" w:hAnsi="Times New Roman" w:cs="Times New Roman"/>
          <w:sz w:val="28"/>
          <w:szCs w:val="28"/>
        </w:rPr>
        <w:t>2024 год</w:t>
      </w:r>
      <w:r w:rsidR="006D3745">
        <w:rPr>
          <w:rFonts w:ascii="Times New Roman" w:hAnsi="Times New Roman" w:cs="Times New Roman"/>
          <w:sz w:val="28"/>
          <w:szCs w:val="28"/>
        </w:rPr>
        <w:t>ов</w:t>
      </w:r>
      <w:r w:rsidR="006D3745" w:rsidRPr="00DE65E1">
        <w:rPr>
          <w:rFonts w:ascii="Times New Roman" w:hAnsi="Times New Roman" w:cs="Times New Roman"/>
          <w:sz w:val="28"/>
          <w:szCs w:val="28"/>
        </w:rPr>
        <w:t xml:space="preserve"> соответственно </w:t>
      </w:r>
      <w:r w:rsidRPr="00DE65E1">
        <w:rPr>
          <w:rFonts w:ascii="Times New Roman" w:hAnsi="Times New Roman" w:cs="Times New Roman"/>
          <w:sz w:val="28"/>
          <w:szCs w:val="28"/>
        </w:rPr>
        <w:t>12</w:t>
      </w:r>
      <w:r w:rsidRPr="00DE65E1">
        <w:rPr>
          <w:rFonts w:ascii="Times New Roman" w:hAnsi="Times New Roman" w:cs="Times New Roman"/>
          <w:sz w:val="28"/>
          <w:szCs w:val="28"/>
          <w:lang w:val="en-US"/>
        </w:rPr>
        <w:t> </w:t>
      </w:r>
      <w:r w:rsidRPr="00DE65E1">
        <w:rPr>
          <w:rFonts w:ascii="Times New Roman" w:hAnsi="Times New Roman" w:cs="Times New Roman"/>
          <w:sz w:val="28"/>
          <w:szCs w:val="28"/>
        </w:rPr>
        <w:t>317,9 млн. рублей, 11</w:t>
      </w:r>
      <w:r w:rsidRPr="00DE65E1">
        <w:rPr>
          <w:rFonts w:ascii="Times New Roman" w:hAnsi="Times New Roman" w:cs="Times New Roman"/>
          <w:sz w:val="28"/>
          <w:szCs w:val="28"/>
          <w:lang w:val="en-US"/>
        </w:rPr>
        <w:t> </w:t>
      </w:r>
      <w:r w:rsidRPr="00DE65E1">
        <w:rPr>
          <w:rFonts w:ascii="Times New Roman" w:hAnsi="Times New Roman" w:cs="Times New Roman"/>
          <w:sz w:val="28"/>
          <w:szCs w:val="28"/>
        </w:rPr>
        <w:t>150,0 млн. рублей</w:t>
      </w:r>
      <w:r w:rsidR="006D3745">
        <w:rPr>
          <w:rFonts w:ascii="Times New Roman" w:hAnsi="Times New Roman" w:cs="Times New Roman"/>
          <w:sz w:val="28"/>
          <w:szCs w:val="28"/>
        </w:rPr>
        <w:t>, в том числе за счет средств федерального бюджета 4 553,5 млн. рублей и 4 862,0 млн. рублей</w:t>
      </w:r>
      <w:r w:rsidRPr="00DE65E1">
        <w:rPr>
          <w:rFonts w:ascii="Times New Roman" w:hAnsi="Times New Roman" w:cs="Times New Roman"/>
          <w:sz w:val="28"/>
          <w:szCs w:val="28"/>
        </w:rPr>
        <w:t>.</w:t>
      </w:r>
    </w:p>
    <w:p w14:paraId="21A7AE19" w14:textId="2175E76C" w:rsidR="006D3745" w:rsidRDefault="004711EA" w:rsidP="00DE65E1">
      <w:pPr>
        <w:tabs>
          <w:tab w:val="left" w:pos="993"/>
        </w:tabs>
        <w:spacing w:before="120" w:after="0" w:line="240" w:lineRule="auto"/>
        <w:ind w:firstLine="709"/>
        <w:jc w:val="both"/>
        <w:rPr>
          <w:rFonts w:ascii="Times New Roman" w:hAnsi="Times New Roman" w:cs="Times New Roman"/>
          <w:sz w:val="28"/>
          <w:szCs w:val="28"/>
        </w:rPr>
      </w:pPr>
      <w:r w:rsidRPr="00666752">
        <w:rPr>
          <w:rFonts w:ascii="Times New Roman" w:eastAsia="Times New Roman" w:hAnsi="Times New Roman" w:cs="Times New Roman"/>
          <w:sz w:val="28"/>
          <w:szCs w:val="28"/>
          <w:lang w:eastAsia="ru-RU"/>
        </w:rPr>
        <w:t xml:space="preserve">Динамика расходов бюджета области в разрезе региональных проектов </w:t>
      </w:r>
      <w:r w:rsidR="004D1099" w:rsidRPr="00666752">
        <w:rPr>
          <w:rFonts w:ascii="Times New Roman" w:eastAsia="Times New Roman" w:hAnsi="Times New Roman" w:cs="Times New Roman"/>
          <w:sz w:val="28"/>
          <w:szCs w:val="28"/>
          <w:lang w:eastAsia="ru-RU"/>
        </w:rPr>
        <w:t xml:space="preserve">на 2019–2024 годы </w:t>
      </w:r>
      <w:r w:rsidRPr="00666752">
        <w:rPr>
          <w:rFonts w:ascii="Times New Roman" w:eastAsia="Times New Roman" w:hAnsi="Times New Roman" w:cs="Times New Roman"/>
          <w:sz w:val="28"/>
          <w:szCs w:val="28"/>
          <w:lang w:eastAsia="ru-RU"/>
        </w:rPr>
        <w:t xml:space="preserve">представлена </w:t>
      </w:r>
      <w:r w:rsidRPr="00622B89">
        <w:rPr>
          <w:rFonts w:ascii="Times New Roman" w:eastAsia="Times New Roman" w:hAnsi="Times New Roman" w:cs="Times New Roman"/>
          <w:sz w:val="28"/>
          <w:szCs w:val="28"/>
          <w:lang w:eastAsia="ru-RU"/>
        </w:rPr>
        <w:t>в приложении № </w:t>
      </w:r>
      <w:r w:rsidR="00622B89" w:rsidRPr="00622B89">
        <w:rPr>
          <w:rFonts w:ascii="Times New Roman" w:eastAsia="Times New Roman" w:hAnsi="Times New Roman" w:cs="Times New Roman"/>
          <w:sz w:val="28"/>
          <w:szCs w:val="28"/>
          <w:lang w:eastAsia="ru-RU"/>
        </w:rPr>
        <w:t>4</w:t>
      </w:r>
      <w:r w:rsidRPr="00666752">
        <w:rPr>
          <w:rFonts w:ascii="Times New Roman" w:eastAsia="Times New Roman" w:hAnsi="Times New Roman" w:cs="Times New Roman"/>
          <w:sz w:val="28"/>
          <w:szCs w:val="28"/>
          <w:lang w:eastAsia="ru-RU"/>
        </w:rPr>
        <w:t xml:space="preserve"> к настоящему заключению</w:t>
      </w:r>
      <w:r>
        <w:rPr>
          <w:rFonts w:ascii="Times New Roman" w:eastAsia="Times New Roman" w:hAnsi="Times New Roman" w:cs="Times New Roman"/>
          <w:sz w:val="28"/>
          <w:szCs w:val="28"/>
          <w:lang w:eastAsia="ru-RU"/>
        </w:rPr>
        <w:t xml:space="preserve"> и</w:t>
      </w:r>
      <w:r>
        <w:rPr>
          <w:rFonts w:ascii="Times New Roman" w:hAnsi="Times New Roman" w:cs="Times New Roman"/>
          <w:sz w:val="28"/>
          <w:szCs w:val="28"/>
        </w:rPr>
        <w:t xml:space="preserve"> расходов в целом на реализацию региональных проектов – на следующей диаграмме (млн. рублей).</w:t>
      </w:r>
    </w:p>
    <w:p w14:paraId="079BD653" w14:textId="36B14EC5" w:rsidR="000E2058" w:rsidRDefault="000E2058" w:rsidP="000E2058">
      <w:pPr>
        <w:tabs>
          <w:tab w:val="left" w:pos="993"/>
        </w:tabs>
        <w:spacing w:before="120" w:after="0" w:line="240" w:lineRule="auto"/>
        <w:jc w:val="both"/>
        <w:rPr>
          <w:rFonts w:ascii="Times New Roman" w:hAnsi="Times New Roman" w:cs="Times New Roman"/>
          <w:sz w:val="28"/>
          <w:szCs w:val="28"/>
        </w:rPr>
      </w:pPr>
      <w:r w:rsidRPr="005D3CAA">
        <w:rPr>
          <w:rFonts w:ascii="Times New Roman" w:eastAsia="Calibri" w:hAnsi="Times New Roman" w:cs="Times New Roman"/>
          <w:noProof/>
          <w:kern w:val="28"/>
          <w:sz w:val="28"/>
          <w:szCs w:val="28"/>
          <w:lang w:eastAsia="ru-RU"/>
        </w:rPr>
        <w:lastRenderedPageBreak/>
        <w:drawing>
          <wp:inline distT="0" distB="0" distL="0" distR="0" wp14:anchorId="4B27BE06" wp14:editId="10A2AD14">
            <wp:extent cx="5922010" cy="2924175"/>
            <wp:effectExtent l="0" t="0" r="254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239879" w14:textId="08A43A25" w:rsidR="00DE65E1" w:rsidRPr="00DE65E1" w:rsidRDefault="00DE65E1" w:rsidP="00B55DFD">
      <w:pPr>
        <w:tabs>
          <w:tab w:val="left" w:pos="993"/>
        </w:tabs>
        <w:spacing w:before="240" w:after="0" w:line="240" w:lineRule="auto"/>
        <w:ind w:firstLine="709"/>
        <w:jc w:val="both"/>
        <w:rPr>
          <w:rFonts w:ascii="Times New Roman" w:hAnsi="Times New Roman" w:cs="Times New Roman"/>
          <w:sz w:val="28"/>
          <w:szCs w:val="28"/>
        </w:rPr>
      </w:pPr>
      <w:r w:rsidRPr="00DE65E1">
        <w:rPr>
          <w:rFonts w:ascii="Times New Roman" w:hAnsi="Times New Roman" w:cs="Times New Roman"/>
          <w:sz w:val="28"/>
          <w:szCs w:val="28"/>
        </w:rPr>
        <w:t xml:space="preserve">В 2022 году финансовое обеспечение предусматривается по 36 региональным проектам, в том числе </w:t>
      </w:r>
      <w:r w:rsidR="006D3745">
        <w:rPr>
          <w:rFonts w:ascii="Times New Roman" w:hAnsi="Times New Roman" w:cs="Times New Roman"/>
          <w:sz w:val="28"/>
          <w:szCs w:val="28"/>
        </w:rPr>
        <w:t>по</w:t>
      </w:r>
      <w:r w:rsidRPr="00DE65E1">
        <w:rPr>
          <w:rFonts w:ascii="Times New Roman" w:hAnsi="Times New Roman" w:cs="Times New Roman"/>
          <w:sz w:val="28"/>
          <w:szCs w:val="28"/>
        </w:rPr>
        <w:t xml:space="preserve"> тре</w:t>
      </w:r>
      <w:r w:rsidR="006D3745">
        <w:rPr>
          <w:rFonts w:ascii="Times New Roman" w:hAnsi="Times New Roman" w:cs="Times New Roman"/>
          <w:sz w:val="28"/>
          <w:szCs w:val="28"/>
        </w:rPr>
        <w:t>м</w:t>
      </w:r>
      <w:r w:rsidRPr="00DE65E1">
        <w:rPr>
          <w:rFonts w:ascii="Times New Roman" w:hAnsi="Times New Roman" w:cs="Times New Roman"/>
          <w:sz w:val="28"/>
          <w:szCs w:val="28"/>
        </w:rPr>
        <w:t xml:space="preserve"> региональны</w:t>
      </w:r>
      <w:r w:rsidR="006D3745">
        <w:rPr>
          <w:rFonts w:ascii="Times New Roman" w:hAnsi="Times New Roman" w:cs="Times New Roman"/>
          <w:sz w:val="28"/>
          <w:szCs w:val="28"/>
        </w:rPr>
        <w:t>м</w:t>
      </w:r>
      <w:r w:rsidRPr="00DE65E1">
        <w:rPr>
          <w:rFonts w:ascii="Times New Roman" w:hAnsi="Times New Roman" w:cs="Times New Roman"/>
          <w:sz w:val="28"/>
          <w:szCs w:val="28"/>
        </w:rPr>
        <w:t xml:space="preserve"> проект</w:t>
      </w:r>
      <w:r w:rsidR="006D3745">
        <w:rPr>
          <w:rFonts w:ascii="Times New Roman" w:hAnsi="Times New Roman" w:cs="Times New Roman"/>
          <w:sz w:val="28"/>
          <w:szCs w:val="28"/>
        </w:rPr>
        <w:t>ам</w:t>
      </w:r>
      <w:r w:rsidR="004E51AD">
        <w:rPr>
          <w:rFonts w:ascii="Times New Roman" w:hAnsi="Times New Roman" w:cs="Times New Roman"/>
          <w:sz w:val="28"/>
          <w:szCs w:val="28"/>
        </w:rPr>
        <w:t>, финансирование которых не было предусмотрено в 2021 году</w:t>
      </w:r>
      <w:r w:rsidRPr="00DE65E1">
        <w:rPr>
          <w:rFonts w:ascii="Times New Roman" w:hAnsi="Times New Roman" w:cs="Times New Roman"/>
          <w:sz w:val="28"/>
          <w:szCs w:val="28"/>
        </w:rPr>
        <w:t>:</w:t>
      </w:r>
    </w:p>
    <w:p w14:paraId="749D3F68" w14:textId="77777777" w:rsidR="00DE65E1" w:rsidRPr="00DE65E1" w:rsidRDefault="00DE65E1" w:rsidP="00DE65E1">
      <w:pPr>
        <w:tabs>
          <w:tab w:val="left" w:pos="993"/>
        </w:tabs>
        <w:spacing w:after="0" w:line="240" w:lineRule="auto"/>
        <w:ind w:firstLine="709"/>
        <w:jc w:val="both"/>
        <w:rPr>
          <w:rFonts w:ascii="Times New Roman" w:hAnsi="Times New Roman" w:cs="Times New Roman"/>
          <w:sz w:val="24"/>
          <w:szCs w:val="24"/>
        </w:rPr>
      </w:pPr>
      <w:r w:rsidRPr="00DE65E1">
        <w:rPr>
          <w:rFonts w:ascii="Times New Roman" w:hAnsi="Times New Roman" w:cs="Times New Roman"/>
          <w:sz w:val="24"/>
          <w:szCs w:val="24"/>
        </w:rPr>
        <w:t>«Информационная безопасность» (</w:t>
      </w:r>
      <w:r w:rsidRPr="00DE65E1">
        <w:rPr>
          <w:rFonts w:ascii="Times New Roman" w:hAnsi="Times New Roman" w:cs="Times New Roman"/>
          <w:sz w:val="24"/>
          <w:szCs w:val="24"/>
          <w:lang w:val="en-US"/>
        </w:rPr>
        <w:t>D</w:t>
      </w:r>
      <w:r w:rsidRPr="00DE65E1">
        <w:rPr>
          <w:rFonts w:ascii="Times New Roman" w:hAnsi="Times New Roman" w:cs="Times New Roman"/>
          <w:sz w:val="24"/>
          <w:szCs w:val="24"/>
        </w:rPr>
        <w:t>4) – 29,0 млн. рублей;</w:t>
      </w:r>
    </w:p>
    <w:p w14:paraId="4F9676BC" w14:textId="77777777" w:rsidR="00DE65E1" w:rsidRPr="00DE65E1" w:rsidRDefault="00DE65E1" w:rsidP="00DE65E1">
      <w:pPr>
        <w:tabs>
          <w:tab w:val="left" w:pos="993"/>
        </w:tabs>
        <w:spacing w:after="0" w:line="240" w:lineRule="auto"/>
        <w:ind w:firstLine="709"/>
        <w:jc w:val="both"/>
        <w:rPr>
          <w:rFonts w:ascii="Times New Roman" w:hAnsi="Times New Roman" w:cs="Times New Roman"/>
          <w:sz w:val="24"/>
          <w:szCs w:val="24"/>
        </w:rPr>
      </w:pPr>
      <w:r w:rsidRPr="00DE65E1">
        <w:rPr>
          <w:rFonts w:ascii="Times New Roman" w:hAnsi="Times New Roman" w:cs="Times New Roman"/>
          <w:sz w:val="24"/>
          <w:szCs w:val="24"/>
        </w:rPr>
        <w:t>«Цифровое государственное управление» (</w:t>
      </w:r>
      <w:r w:rsidRPr="00DE65E1">
        <w:rPr>
          <w:rFonts w:ascii="Times New Roman" w:hAnsi="Times New Roman" w:cs="Times New Roman"/>
          <w:sz w:val="24"/>
          <w:szCs w:val="24"/>
          <w:lang w:val="en-US"/>
        </w:rPr>
        <w:t>D</w:t>
      </w:r>
      <w:r w:rsidRPr="00DE65E1">
        <w:rPr>
          <w:rFonts w:ascii="Times New Roman" w:hAnsi="Times New Roman" w:cs="Times New Roman"/>
          <w:sz w:val="24"/>
          <w:szCs w:val="24"/>
        </w:rPr>
        <w:t>6) – 25,4 млн. рублей;</w:t>
      </w:r>
    </w:p>
    <w:p w14:paraId="5A55F12C" w14:textId="1F576513" w:rsidR="00DE65E1" w:rsidRPr="00DE65E1" w:rsidRDefault="00DE65E1" w:rsidP="00DE65E1">
      <w:pPr>
        <w:tabs>
          <w:tab w:val="left" w:pos="993"/>
        </w:tabs>
        <w:spacing w:after="0" w:line="240" w:lineRule="auto"/>
        <w:ind w:firstLine="709"/>
        <w:jc w:val="both"/>
        <w:rPr>
          <w:rFonts w:ascii="Times New Roman" w:hAnsi="Times New Roman" w:cs="Times New Roman"/>
          <w:sz w:val="24"/>
          <w:szCs w:val="24"/>
        </w:rPr>
      </w:pPr>
      <w:r w:rsidRPr="00DE65E1">
        <w:rPr>
          <w:rFonts w:ascii="Times New Roman" w:hAnsi="Times New Roman" w:cs="Times New Roman"/>
          <w:sz w:val="24"/>
          <w:szCs w:val="24"/>
        </w:rPr>
        <w:t>«Модернизация первичного звена здравоохранения» (</w:t>
      </w:r>
      <w:r w:rsidRPr="00DE65E1">
        <w:rPr>
          <w:rFonts w:ascii="Times New Roman" w:hAnsi="Times New Roman" w:cs="Times New Roman"/>
          <w:sz w:val="24"/>
          <w:szCs w:val="24"/>
          <w:lang w:val="en-US"/>
        </w:rPr>
        <w:t>N</w:t>
      </w:r>
      <w:r w:rsidRPr="00DE65E1">
        <w:rPr>
          <w:rFonts w:ascii="Times New Roman" w:hAnsi="Times New Roman" w:cs="Times New Roman"/>
          <w:sz w:val="24"/>
          <w:szCs w:val="24"/>
        </w:rPr>
        <w:t>9) – 1 371,3 млн. рублей</w:t>
      </w:r>
      <w:r w:rsidR="004E51AD">
        <w:rPr>
          <w:rFonts w:ascii="Times New Roman" w:hAnsi="Times New Roman" w:cs="Times New Roman"/>
          <w:sz w:val="24"/>
          <w:szCs w:val="24"/>
        </w:rPr>
        <w:t xml:space="preserve"> (новый региональный проект)</w:t>
      </w:r>
      <w:r w:rsidRPr="00DE65E1">
        <w:rPr>
          <w:rFonts w:ascii="Times New Roman" w:hAnsi="Times New Roman" w:cs="Times New Roman"/>
          <w:sz w:val="24"/>
          <w:szCs w:val="24"/>
        </w:rPr>
        <w:t>;</w:t>
      </w:r>
    </w:p>
    <w:p w14:paraId="05AB7C55" w14:textId="7836FBA0" w:rsidR="00DE65E1" w:rsidRPr="00DE65E1" w:rsidRDefault="004E51AD" w:rsidP="00E20062">
      <w:pPr>
        <w:tabs>
          <w:tab w:val="left" w:pos="993"/>
        </w:tabs>
        <w:spacing w:before="120" w:after="0" w:line="240" w:lineRule="auto"/>
        <w:ind w:firstLine="709"/>
        <w:jc w:val="both"/>
        <w:rPr>
          <w:rFonts w:ascii="Times New Roman" w:hAnsi="Times New Roman" w:cs="Times New Roman"/>
          <w:sz w:val="24"/>
          <w:szCs w:val="24"/>
        </w:rPr>
      </w:pPr>
      <w:r w:rsidRPr="00E20062">
        <w:rPr>
          <w:rFonts w:ascii="Times New Roman" w:hAnsi="Times New Roman" w:cs="Times New Roman"/>
          <w:sz w:val="24"/>
          <w:szCs w:val="24"/>
        </w:rPr>
        <w:t>Ф</w:t>
      </w:r>
      <w:r w:rsidR="00DE65E1" w:rsidRPr="00E20062">
        <w:rPr>
          <w:rFonts w:ascii="Times New Roman" w:hAnsi="Times New Roman" w:cs="Times New Roman"/>
          <w:sz w:val="24"/>
          <w:szCs w:val="24"/>
        </w:rPr>
        <w:t>инансовое обеспечение регионального проекта «Чистая страна» (</w:t>
      </w:r>
      <w:r w:rsidR="00DE65E1" w:rsidRPr="00E20062">
        <w:rPr>
          <w:rFonts w:ascii="Times New Roman" w:hAnsi="Times New Roman" w:cs="Times New Roman"/>
          <w:sz w:val="24"/>
          <w:szCs w:val="24"/>
          <w:lang w:val="en-US"/>
        </w:rPr>
        <w:t>G</w:t>
      </w:r>
      <w:r w:rsidR="00DE65E1" w:rsidRPr="00E20062">
        <w:rPr>
          <w:rFonts w:ascii="Times New Roman" w:hAnsi="Times New Roman" w:cs="Times New Roman"/>
          <w:sz w:val="24"/>
          <w:szCs w:val="24"/>
        </w:rPr>
        <w:t xml:space="preserve">1) (в 2021 году – плановый объем бюджетных ассигнований 131,7 млн. рублей) </w:t>
      </w:r>
      <w:r w:rsidRPr="00E20062">
        <w:rPr>
          <w:rFonts w:ascii="Times New Roman" w:hAnsi="Times New Roman" w:cs="Times New Roman"/>
          <w:sz w:val="24"/>
          <w:szCs w:val="24"/>
        </w:rPr>
        <w:t xml:space="preserve">в 2022 году не предусматривается, </w:t>
      </w:r>
      <w:r w:rsidR="00DE65E1" w:rsidRPr="00E20062">
        <w:rPr>
          <w:rFonts w:ascii="Times New Roman" w:hAnsi="Times New Roman" w:cs="Times New Roman"/>
          <w:sz w:val="24"/>
          <w:szCs w:val="24"/>
        </w:rPr>
        <w:t xml:space="preserve">на 2023 год и 2024 год </w:t>
      </w:r>
      <w:r w:rsidR="007A286F" w:rsidRPr="00E20062">
        <w:rPr>
          <w:rFonts w:ascii="Times New Roman" w:hAnsi="Times New Roman" w:cs="Times New Roman"/>
          <w:sz w:val="24"/>
          <w:szCs w:val="24"/>
        </w:rPr>
        <w:t xml:space="preserve">объем финансирования спрогнозирован </w:t>
      </w:r>
      <w:r w:rsidR="004C2844">
        <w:rPr>
          <w:rFonts w:ascii="Times New Roman" w:hAnsi="Times New Roman" w:cs="Times New Roman"/>
          <w:sz w:val="24"/>
          <w:szCs w:val="24"/>
        </w:rPr>
        <w:t xml:space="preserve">в объеме </w:t>
      </w:r>
      <w:r w:rsidR="00DE65E1" w:rsidRPr="00E20062">
        <w:rPr>
          <w:rFonts w:ascii="Times New Roman" w:hAnsi="Times New Roman" w:cs="Times New Roman"/>
          <w:sz w:val="24"/>
          <w:szCs w:val="24"/>
        </w:rPr>
        <w:t>по 40,5 млн. рублей ежегодно.</w:t>
      </w:r>
      <w:r w:rsidR="00DE65E1" w:rsidRPr="00DE65E1">
        <w:rPr>
          <w:rFonts w:ascii="Times New Roman" w:hAnsi="Times New Roman" w:cs="Times New Roman"/>
          <w:sz w:val="24"/>
          <w:szCs w:val="24"/>
        </w:rPr>
        <w:t xml:space="preserve"> </w:t>
      </w:r>
    </w:p>
    <w:p w14:paraId="1ECD8B91" w14:textId="01242EA4" w:rsidR="00DE65E1" w:rsidRPr="00DE65E1" w:rsidRDefault="00DE65E1" w:rsidP="00DE65E1">
      <w:pPr>
        <w:tabs>
          <w:tab w:val="left" w:pos="993"/>
        </w:tabs>
        <w:spacing w:before="120" w:after="0" w:line="240" w:lineRule="auto"/>
        <w:ind w:firstLine="709"/>
        <w:jc w:val="both"/>
        <w:rPr>
          <w:rFonts w:ascii="Times New Roman" w:hAnsi="Times New Roman" w:cs="Times New Roman"/>
          <w:sz w:val="28"/>
          <w:szCs w:val="28"/>
        </w:rPr>
      </w:pPr>
      <w:r w:rsidRPr="00DE65E1">
        <w:rPr>
          <w:rFonts w:ascii="Times New Roman" w:hAnsi="Times New Roman" w:cs="Times New Roman"/>
          <w:sz w:val="28"/>
          <w:szCs w:val="28"/>
        </w:rPr>
        <w:t xml:space="preserve">В плановом периоде 2023-2024 годов финансовое обеспечение предусматривается </w:t>
      </w:r>
      <w:r w:rsidRPr="00802661">
        <w:rPr>
          <w:rFonts w:ascii="Times New Roman" w:hAnsi="Times New Roman" w:cs="Times New Roman"/>
          <w:sz w:val="28"/>
          <w:szCs w:val="28"/>
        </w:rPr>
        <w:t>по 34 и 33 региональным проектам</w:t>
      </w:r>
      <w:r w:rsidRPr="00802661">
        <w:rPr>
          <w:rStyle w:val="a5"/>
          <w:rFonts w:ascii="Times New Roman" w:hAnsi="Times New Roman" w:cs="Times New Roman"/>
          <w:sz w:val="28"/>
          <w:szCs w:val="28"/>
        </w:rPr>
        <w:footnoteReference w:id="25"/>
      </w:r>
      <w:r w:rsidRPr="00802661">
        <w:rPr>
          <w:rFonts w:ascii="Times New Roman" w:hAnsi="Times New Roman" w:cs="Times New Roman"/>
          <w:sz w:val="28"/>
          <w:szCs w:val="28"/>
        </w:rPr>
        <w:t xml:space="preserve"> соответственно</w:t>
      </w:r>
      <w:r w:rsidRPr="00DE65E1">
        <w:rPr>
          <w:rFonts w:ascii="Times New Roman" w:hAnsi="Times New Roman" w:cs="Times New Roman"/>
          <w:sz w:val="28"/>
          <w:szCs w:val="28"/>
        </w:rPr>
        <w:t>.</w:t>
      </w:r>
    </w:p>
    <w:p w14:paraId="0BD18A7A" w14:textId="63756D81" w:rsidR="00666752" w:rsidRPr="00666752" w:rsidRDefault="00666752" w:rsidP="00666752">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666752">
        <w:rPr>
          <w:rFonts w:ascii="Times New Roman" w:eastAsia="Times New Roman" w:hAnsi="Times New Roman" w:cs="Times New Roman"/>
          <w:sz w:val="28"/>
          <w:szCs w:val="28"/>
          <w:lang w:eastAsia="ru-RU"/>
        </w:rPr>
        <w:t xml:space="preserve">Доля расходов на исполнение региональных проектов в общем объеме расходов бюджета области на 2022 год составит 15,4%, </w:t>
      </w:r>
      <w:r w:rsidR="004711EA">
        <w:rPr>
          <w:rFonts w:ascii="Times New Roman" w:eastAsia="Times New Roman" w:hAnsi="Times New Roman" w:cs="Times New Roman"/>
          <w:sz w:val="28"/>
          <w:szCs w:val="28"/>
          <w:lang w:eastAsia="ru-RU"/>
        </w:rPr>
        <w:t>выше, чем в 2021 году на 0,7 процентного пункта (</w:t>
      </w:r>
      <w:proofErr w:type="spellStart"/>
      <w:r w:rsidRPr="00666752">
        <w:rPr>
          <w:rFonts w:ascii="Times New Roman" w:eastAsia="Times New Roman" w:hAnsi="Times New Roman" w:cs="Times New Roman"/>
          <w:sz w:val="28"/>
          <w:szCs w:val="28"/>
          <w:lang w:eastAsia="ru-RU"/>
        </w:rPr>
        <w:t>справочно</w:t>
      </w:r>
      <w:proofErr w:type="spellEnd"/>
      <w:r w:rsidRPr="00666752">
        <w:rPr>
          <w:rFonts w:ascii="Times New Roman" w:eastAsia="Times New Roman" w:hAnsi="Times New Roman" w:cs="Times New Roman"/>
          <w:sz w:val="28"/>
          <w:szCs w:val="28"/>
          <w:lang w:eastAsia="ru-RU"/>
        </w:rPr>
        <w:t>: в 2019 году – 8,7%, в 2020 году – 13,2%, в 2021</w:t>
      </w:r>
      <w:r w:rsidR="004711EA">
        <w:rPr>
          <w:rFonts w:ascii="Times New Roman" w:eastAsia="Times New Roman" w:hAnsi="Times New Roman" w:cs="Times New Roman"/>
          <w:sz w:val="28"/>
          <w:szCs w:val="28"/>
          <w:lang w:eastAsia="ru-RU"/>
        </w:rPr>
        <w:t xml:space="preserve"> </w:t>
      </w:r>
      <w:r w:rsidRPr="00666752">
        <w:rPr>
          <w:rFonts w:ascii="Times New Roman" w:eastAsia="Times New Roman" w:hAnsi="Times New Roman" w:cs="Times New Roman"/>
          <w:sz w:val="28"/>
          <w:szCs w:val="28"/>
          <w:lang w:eastAsia="ru-RU"/>
        </w:rPr>
        <w:t>– 14,7%).</w:t>
      </w:r>
      <w:r w:rsidRPr="00666752">
        <w:rPr>
          <w:rFonts w:ascii="Times New Roman" w:eastAsia="Times New Roman" w:hAnsi="Times New Roman" w:cs="Times New Roman"/>
          <w:sz w:val="28"/>
          <w:szCs w:val="28"/>
          <w:highlight w:val="yellow"/>
          <w:lang w:eastAsia="ru-RU"/>
        </w:rPr>
        <w:t xml:space="preserve"> </w:t>
      </w:r>
    </w:p>
    <w:p w14:paraId="00BA1A5B" w14:textId="6F450F5F" w:rsidR="00666752" w:rsidRPr="00666752" w:rsidRDefault="00CF40A3" w:rsidP="00666752">
      <w:pPr>
        <w:tabs>
          <w:tab w:val="left" w:pos="993"/>
        </w:tabs>
        <w:spacing w:before="120" w:after="0" w:line="240" w:lineRule="auto"/>
        <w:ind w:firstLine="709"/>
        <w:jc w:val="both"/>
        <w:rPr>
          <w:rFonts w:ascii="Times New Roman" w:eastAsia="Times New Roman" w:hAnsi="Times New Roman" w:cs="Times New Roman"/>
          <w:sz w:val="24"/>
          <w:szCs w:val="24"/>
          <w:lang w:eastAsia="ru-RU"/>
        </w:rPr>
      </w:pPr>
      <w:r w:rsidRPr="0066641B">
        <w:rPr>
          <w:rFonts w:ascii="Times New Roman" w:eastAsia="Times New Roman" w:hAnsi="Times New Roman" w:cs="Times New Roman"/>
          <w:sz w:val="28"/>
          <w:szCs w:val="28"/>
          <w:lang w:eastAsia="ru-RU"/>
        </w:rPr>
        <w:t>Объемы бюджетных ассигнований (млн. рублей) и их доли в общем объеме бюджетных ассигнований, предусматриваемых</w:t>
      </w:r>
      <w:r w:rsidR="00666752" w:rsidRPr="0066641B">
        <w:rPr>
          <w:rFonts w:ascii="Times New Roman" w:eastAsia="Times New Roman" w:hAnsi="Times New Roman" w:cs="Times New Roman"/>
          <w:sz w:val="28"/>
          <w:szCs w:val="28"/>
          <w:lang w:eastAsia="ru-RU"/>
        </w:rPr>
        <w:t xml:space="preserve"> на исполнение региональных проектов в 2022 году</w:t>
      </w:r>
      <w:r w:rsidRPr="0066641B">
        <w:rPr>
          <w:rFonts w:ascii="Times New Roman" w:eastAsia="Times New Roman" w:hAnsi="Times New Roman" w:cs="Times New Roman"/>
          <w:sz w:val="28"/>
          <w:szCs w:val="28"/>
          <w:lang w:eastAsia="ru-RU"/>
        </w:rPr>
        <w:t>,</w:t>
      </w:r>
      <w:r w:rsidR="00666752" w:rsidRPr="0066641B">
        <w:rPr>
          <w:rFonts w:ascii="Times New Roman" w:eastAsia="Times New Roman" w:hAnsi="Times New Roman" w:cs="Times New Roman"/>
          <w:sz w:val="28"/>
          <w:szCs w:val="28"/>
          <w:lang w:eastAsia="ru-RU"/>
        </w:rPr>
        <w:t xml:space="preserve"> представлен</w:t>
      </w:r>
      <w:r w:rsidRPr="0066641B">
        <w:rPr>
          <w:rFonts w:ascii="Times New Roman" w:eastAsia="Times New Roman" w:hAnsi="Times New Roman" w:cs="Times New Roman"/>
          <w:sz w:val="28"/>
          <w:szCs w:val="28"/>
          <w:lang w:eastAsia="ru-RU"/>
        </w:rPr>
        <w:t>ы</w:t>
      </w:r>
      <w:r w:rsidR="00666752" w:rsidRPr="0066641B">
        <w:rPr>
          <w:rFonts w:ascii="Times New Roman" w:eastAsia="Times New Roman" w:hAnsi="Times New Roman" w:cs="Times New Roman"/>
          <w:sz w:val="28"/>
          <w:szCs w:val="28"/>
          <w:lang w:eastAsia="ru-RU"/>
        </w:rPr>
        <w:t xml:space="preserve"> на диаграмме</w:t>
      </w:r>
      <w:r w:rsidR="00F506F9">
        <w:rPr>
          <w:rFonts w:ascii="Times New Roman" w:eastAsia="Times New Roman" w:hAnsi="Times New Roman" w:cs="Times New Roman"/>
          <w:sz w:val="28"/>
          <w:szCs w:val="28"/>
          <w:lang w:eastAsia="ru-RU"/>
        </w:rPr>
        <w:t>.</w:t>
      </w:r>
      <w:r w:rsidR="00666752" w:rsidRPr="00666752">
        <w:rPr>
          <w:rFonts w:ascii="Times New Roman" w:eastAsia="Times New Roman" w:hAnsi="Times New Roman" w:cs="Times New Roman"/>
          <w:sz w:val="28"/>
          <w:szCs w:val="28"/>
          <w:lang w:eastAsia="ru-RU"/>
        </w:rPr>
        <w:t xml:space="preserve"> </w:t>
      </w:r>
    </w:p>
    <w:p w14:paraId="27D70416" w14:textId="5B9ECD6D" w:rsidR="00DE65E1" w:rsidRDefault="00666752" w:rsidP="00666752">
      <w:pPr>
        <w:widowControl w:val="0"/>
        <w:tabs>
          <w:tab w:val="left" w:pos="993"/>
        </w:tabs>
        <w:spacing w:before="120" w:after="0" w:line="240" w:lineRule="auto"/>
        <w:jc w:val="both"/>
        <w:rPr>
          <w:rFonts w:ascii="Times New Roman" w:hAnsi="Times New Roman" w:cs="Times New Roman"/>
          <w:sz w:val="28"/>
          <w:szCs w:val="28"/>
          <w:highlight w:val="yellow"/>
        </w:rPr>
      </w:pPr>
      <w:r w:rsidRPr="005D3CAA">
        <w:rPr>
          <w:rFonts w:ascii="Times New Roman" w:eastAsia="Times New Roman" w:hAnsi="Times New Roman" w:cs="Times New Roman"/>
          <w:noProof/>
          <w:sz w:val="28"/>
          <w:szCs w:val="28"/>
          <w:lang w:eastAsia="ru-RU"/>
        </w:rPr>
        <w:lastRenderedPageBreak/>
        <w:drawing>
          <wp:inline distT="0" distB="0" distL="0" distR="0" wp14:anchorId="763BC282" wp14:editId="5B5D48EA">
            <wp:extent cx="5791200" cy="28956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AAB64C" w14:textId="77777777" w:rsidR="00DA4162" w:rsidRPr="00666752" w:rsidRDefault="00CE6C8D" w:rsidP="00666752">
      <w:pPr>
        <w:widowControl w:val="0"/>
        <w:tabs>
          <w:tab w:val="left" w:pos="993"/>
        </w:tabs>
        <w:spacing w:before="40" w:after="0" w:line="240" w:lineRule="auto"/>
        <w:jc w:val="both"/>
        <w:rPr>
          <w:rFonts w:ascii="Times New Roman" w:eastAsia="Times New Roman" w:hAnsi="Times New Roman" w:cs="Times New Roman"/>
          <w:lang w:eastAsia="ru-RU"/>
        </w:rPr>
      </w:pPr>
      <w:r w:rsidRPr="00666752">
        <w:rPr>
          <w:rFonts w:ascii="Times New Roman" w:eastAsia="Times New Roman" w:hAnsi="Times New Roman" w:cs="Times New Roman"/>
          <w:lang w:eastAsia="ru-RU"/>
        </w:rPr>
        <w:t xml:space="preserve">Примечание: </w:t>
      </w:r>
      <w:r w:rsidR="00DA4162" w:rsidRPr="00666752">
        <w:rPr>
          <w:rFonts w:ascii="Times New Roman" w:eastAsia="Times New Roman" w:hAnsi="Times New Roman" w:cs="Times New Roman"/>
          <w:lang w:eastAsia="ru-RU"/>
        </w:rPr>
        <w:t>РП – региональные проекты</w:t>
      </w:r>
      <w:r w:rsidRPr="00666752">
        <w:rPr>
          <w:rFonts w:ascii="Times New Roman" w:eastAsia="Times New Roman" w:hAnsi="Times New Roman" w:cs="Times New Roman"/>
          <w:lang w:eastAsia="ru-RU"/>
        </w:rPr>
        <w:t>.</w:t>
      </w:r>
    </w:p>
    <w:p w14:paraId="2104C9DE" w14:textId="35166179" w:rsidR="00666752" w:rsidRPr="00666752" w:rsidRDefault="00666752" w:rsidP="00666752">
      <w:pPr>
        <w:widowControl w:val="0"/>
        <w:tabs>
          <w:tab w:val="left" w:pos="993"/>
        </w:tabs>
        <w:spacing w:before="360" w:after="0" w:line="240" w:lineRule="auto"/>
        <w:ind w:firstLine="709"/>
        <w:jc w:val="both"/>
        <w:rPr>
          <w:rFonts w:ascii="Times New Roman" w:eastAsia="Times New Roman" w:hAnsi="Times New Roman" w:cs="Times New Roman"/>
          <w:sz w:val="28"/>
          <w:szCs w:val="28"/>
          <w:lang w:eastAsia="ru-RU"/>
        </w:rPr>
      </w:pPr>
      <w:r w:rsidRPr="00802661">
        <w:rPr>
          <w:rFonts w:ascii="Times New Roman" w:eastAsia="Times New Roman" w:hAnsi="Times New Roman" w:cs="Times New Roman"/>
          <w:sz w:val="28"/>
          <w:szCs w:val="28"/>
          <w:lang w:eastAsia="ru-RU"/>
        </w:rPr>
        <w:t xml:space="preserve">Как видно из диаграммы, основной объем расходов, предусмотренный на реализацию региональных проектов, приходится на шесть региональных проектов, который составляет 71,2% от общего объема </w:t>
      </w:r>
      <w:r w:rsidR="00D70CE3" w:rsidRPr="00D70CE3">
        <w:rPr>
          <w:rFonts w:ascii="Times New Roman" w:eastAsia="Times New Roman" w:hAnsi="Times New Roman" w:cs="Times New Roman"/>
          <w:sz w:val="28"/>
          <w:szCs w:val="28"/>
          <w:lang w:eastAsia="ru-RU"/>
        </w:rPr>
        <w:t xml:space="preserve">расходов на реализацию </w:t>
      </w:r>
      <w:r w:rsidRPr="00802661">
        <w:rPr>
          <w:rFonts w:ascii="Times New Roman" w:eastAsia="Times New Roman" w:hAnsi="Times New Roman" w:cs="Times New Roman"/>
          <w:sz w:val="28"/>
          <w:szCs w:val="28"/>
          <w:lang w:eastAsia="ru-RU"/>
        </w:rPr>
        <w:t>региональных проектов на 2022 год.</w:t>
      </w:r>
    </w:p>
    <w:p w14:paraId="32ED47A3" w14:textId="77777777" w:rsidR="00595A34" w:rsidRPr="00B32F92" w:rsidRDefault="00595A34" w:rsidP="006311A9">
      <w:pPr>
        <w:keepNext/>
        <w:keepLines/>
        <w:pBdr>
          <w:bottom w:val="thinThickSmallGap" w:sz="18" w:space="10" w:color="auto"/>
        </w:pBdr>
        <w:suppressAutoHyphens/>
        <w:spacing w:before="360" w:after="120" w:line="240" w:lineRule="auto"/>
        <w:jc w:val="center"/>
        <w:rPr>
          <w:rFonts w:ascii="Times New Roman" w:eastAsia="Calibri" w:hAnsi="Times New Roman" w:cs="Times New Roman"/>
          <w:b/>
          <w:caps/>
          <w:spacing w:val="30"/>
          <w:w w:val="150"/>
          <w:sz w:val="24"/>
          <w:szCs w:val="24"/>
        </w:rPr>
      </w:pPr>
      <w:r w:rsidRPr="00B32F92">
        <w:rPr>
          <w:rFonts w:ascii="Times New Roman" w:eastAsia="Calibri" w:hAnsi="Times New Roman" w:cs="Times New Roman"/>
          <w:b/>
          <w:caps/>
          <w:spacing w:val="30"/>
          <w:w w:val="150"/>
          <w:sz w:val="24"/>
          <w:szCs w:val="24"/>
        </w:rPr>
        <w:t>4. </w:t>
      </w:r>
      <w:r w:rsidR="00361B1B" w:rsidRPr="00B32F92">
        <w:rPr>
          <w:rFonts w:ascii="Times New Roman" w:eastAsia="Calibri" w:hAnsi="Times New Roman" w:cs="Times New Roman"/>
          <w:b/>
          <w:caps/>
          <w:w w:val="150"/>
          <w:sz w:val="24"/>
          <w:szCs w:val="24"/>
        </w:rPr>
        <w:t>Межбюджетные трансферты, предоставляемые из бюджета области</w:t>
      </w:r>
    </w:p>
    <w:p w14:paraId="53E21161" w14:textId="77777777" w:rsidR="00595A34" w:rsidRPr="005036FD" w:rsidRDefault="00595A34" w:rsidP="00970397">
      <w:pPr>
        <w:spacing w:after="0" w:line="240" w:lineRule="auto"/>
        <w:ind w:firstLine="709"/>
        <w:jc w:val="both"/>
        <w:outlineLvl w:val="0"/>
        <w:rPr>
          <w:rFonts w:ascii="Times New Roman" w:eastAsia="Calibri" w:hAnsi="Times New Roman" w:cs="Times New Roman"/>
          <w:sz w:val="28"/>
          <w:szCs w:val="28"/>
        </w:rPr>
      </w:pPr>
      <w:r w:rsidRPr="00722946">
        <w:rPr>
          <w:rFonts w:ascii="Times New Roman" w:eastAsia="Calibri" w:hAnsi="Times New Roman" w:cs="Times New Roman"/>
          <w:b/>
          <w:sz w:val="28"/>
          <w:szCs w:val="28"/>
        </w:rPr>
        <w:t>4.1.</w:t>
      </w:r>
      <w:r w:rsidRPr="00722946">
        <w:rPr>
          <w:rFonts w:ascii="Times New Roman" w:eastAsia="Calibri" w:hAnsi="Times New Roman" w:cs="Times New Roman"/>
          <w:sz w:val="28"/>
          <w:szCs w:val="28"/>
        </w:rPr>
        <w:t xml:space="preserve"> Взаимоотношения бюджета области с бюджетами муниципальных </w:t>
      </w:r>
      <w:r w:rsidRPr="005036FD">
        <w:rPr>
          <w:rFonts w:ascii="Times New Roman" w:eastAsia="Calibri" w:hAnsi="Times New Roman" w:cs="Times New Roman"/>
          <w:sz w:val="28"/>
          <w:szCs w:val="28"/>
        </w:rPr>
        <w:t>образований</w:t>
      </w:r>
    </w:p>
    <w:p w14:paraId="7F7A11A2" w14:textId="55C84B14" w:rsidR="00CB123C" w:rsidRPr="0066641B" w:rsidRDefault="00595A34" w:rsidP="00CB123C">
      <w:pPr>
        <w:spacing w:after="0" w:line="240" w:lineRule="auto"/>
        <w:ind w:firstLine="709"/>
        <w:jc w:val="both"/>
        <w:outlineLvl w:val="0"/>
        <w:rPr>
          <w:rFonts w:ascii="Times New Roman" w:eastAsia="Calibri" w:hAnsi="Times New Roman" w:cs="Times New Roman"/>
          <w:sz w:val="28"/>
          <w:szCs w:val="28"/>
        </w:rPr>
      </w:pPr>
      <w:r w:rsidRPr="005036FD">
        <w:rPr>
          <w:rFonts w:ascii="Times New Roman" w:eastAsia="Calibri" w:hAnsi="Times New Roman" w:cs="Times New Roman"/>
          <w:sz w:val="28"/>
          <w:szCs w:val="28"/>
        </w:rPr>
        <w:t>Прогнозирование доходов бюджетов муниципальных образований на 202</w:t>
      </w:r>
      <w:r w:rsidR="00722946" w:rsidRPr="005036FD">
        <w:rPr>
          <w:rFonts w:ascii="Times New Roman" w:eastAsia="Calibri" w:hAnsi="Times New Roman" w:cs="Times New Roman"/>
          <w:sz w:val="28"/>
          <w:szCs w:val="28"/>
        </w:rPr>
        <w:t>2</w:t>
      </w:r>
      <w:r w:rsidRPr="005036FD">
        <w:rPr>
          <w:rFonts w:ascii="Times New Roman" w:eastAsia="Calibri" w:hAnsi="Times New Roman" w:cs="Times New Roman"/>
          <w:sz w:val="28"/>
          <w:szCs w:val="28"/>
        </w:rPr>
        <w:t>-202</w:t>
      </w:r>
      <w:r w:rsidR="00722946" w:rsidRPr="005036FD">
        <w:rPr>
          <w:rFonts w:ascii="Times New Roman" w:eastAsia="Calibri" w:hAnsi="Times New Roman" w:cs="Times New Roman"/>
          <w:sz w:val="28"/>
          <w:szCs w:val="28"/>
        </w:rPr>
        <w:t>4</w:t>
      </w:r>
      <w:r w:rsidRPr="005036FD">
        <w:rPr>
          <w:rFonts w:ascii="Times New Roman" w:eastAsia="Calibri" w:hAnsi="Times New Roman" w:cs="Times New Roman"/>
          <w:sz w:val="28"/>
          <w:szCs w:val="28"/>
        </w:rPr>
        <w:t xml:space="preserve"> годы осуществлялось в соответствии с положениями бюджетного </w:t>
      </w:r>
      <w:r w:rsidRPr="0066641B">
        <w:rPr>
          <w:rFonts w:ascii="Times New Roman" w:eastAsia="Calibri" w:hAnsi="Times New Roman" w:cs="Times New Roman"/>
          <w:sz w:val="28"/>
          <w:szCs w:val="28"/>
        </w:rPr>
        <w:t>законодательства</w:t>
      </w:r>
      <w:r w:rsidR="00BC6AD3" w:rsidRPr="0066641B">
        <w:rPr>
          <w:rFonts w:ascii="Times New Roman" w:eastAsia="Calibri" w:hAnsi="Times New Roman" w:cs="Times New Roman"/>
          <w:sz w:val="28"/>
          <w:szCs w:val="28"/>
        </w:rPr>
        <w:t xml:space="preserve">: </w:t>
      </w:r>
      <w:r w:rsidRPr="0066641B">
        <w:rPr>
          <w:rFonts w:ascii="Times New Roman" w:eastAsia="Calibri" w:hAnsi="Times New Roman" w:cs="Times New Roman"/>
          <w:sz w:val="28"/>
          <w:szCs w:val="28"/>
        </w:rPr>
        <w:t xml:space="preserve">БК РФ, Закона </w:t>
      </w:r>
      <w:r w:rsidR="00DA2E87" w:rsidRPr="0066641B">
        <w:rPr>
          <w:rFonts w:ascii="Times New Roman" w:eastAsia="Calibri" w:hAnsi="Times New Roman" w:cs="Times New Roman"/>
          <w:sz w:val="28"/>
          <w:szCs w:val="28"/>
        </w:rPr>
        <w:t xml:space="preserve">области </w:t>
      </w:r>
      <w:r w:rsidRPr="0066641B">
        <w:rPr>
          <w:rFonts w:ascii="Times New Roman" w:eastAsia="Calibri" w:hAnsi="Times New Roman" w:cs="Times New Roman"/>
          <w:sz w:val="28"/>
          <w:szCs w:val="28"/>
        </w:rPr>
        <w:t>о межбюджетных отн</w:t>
      </w:r>
      <w:r w:rsidR="00F04B55" w:rsidRPr="0066641B">
        <w:rPr>
          <w:rFonts w:ascii="Times New Roman" w:eastAsia="Calibri" w:hAnsi="Times New Roman" w:cs="Times New Roman"/>
          <w:sz w:val="28"/>
          <w:szCs w:val="28"/>
        </w:rPr>
        <w:t>ошениях</w:t>
      </w:r>
      <w:r w:rsidR="00BC6AD3" w:rsidRPr="0066641B">
        <w:rPr>
          <w:rFonts w:ascii="Times New Roman" w:eastAsia="Calibri" w:hAnsi="Times New Roman" w:cs="Times New Roman"/>
          <w:sz w:val="28"/>
          <w:szCs w:val="28"/>
        </w:rPr>
        <w:t>.</w:t>
      </w:r>
      <w:r w:rsidR="00CB123C" w:rsidRPr="0066641B">
        <w:rPr>
          <w:rFonts w:ascii="Times New Roman" w:eastAsia="Calibri" w:hAnsi="Times New Roman" w:cs="Times New Roman"/>
          <w:sz w:val="28"/>
          <w:szCs w:val="28"/>
        </w:rPr>
        <w:t xml:space="preserve"> </w:t>
      </w:r>
    </w:p>
    <w:p w14:paraId="09038272" w14:textId="4F39767E" w:rsidR="00CB123C" w:rsidRPr="005036FD" w:rsidRDefault="005C4B1A" w:rsidP="00CB123C">
      <w:pPr>
        <w:spacing w:after="0" w:line="240" w:lineRule="auto"/>
        <w:ind w:firstLine="709"/>
        <w:jc w:val="both"/>
        <w:rPr>
          <w:rFonts w:ascii="Times New Roman" w:eastAsia="Times New Roman" w:hAnsi="Times New Roman" w:cs="Times New Roman"/>
          <w:snapToGrid w:val="0"/>
          <w:sz w:val="28"/>
          <w:szCs w:val="28"/>
          <w:lang w:eastAsia="ru-RU"/>
        </w:rPr>
      </w:pPr>
      <w:r w:rsidRPr="0066641B">
        <w:rPr>
          <w:rFonts w:ascii="Times New Roman" w:eastAsia="Times New Roman" w:hAnsi="Times New Roman" w:cs="Times New Roman"/>
          <w:snapToGrid w:val="0"/>
          <w:sz w:val="28"/>
          <w:szCs w:val="28"/>
          <w:lang w:eastAsia="ru-RU"/>
        </w:rPr>
        <w:t xml:space="preserve">Начиная с бюджетов на 2022 год </w:t>
      </w:r>
      <w:r w:rsidR="006E461E" w:rsidRPr="0066641B">
        <w:rPr>
          <w:rFonts w:ascii="Times New Roman" w:eastAsia="Times New Roman" w:hAnsi="Times New Roman" w:cs="Times New Roman"/>
          <w:snapToGrid w:val="0"/>
          <w:sz w:val="28"/>
          <w:szCs w:val="28"/>
          <w:lang w:eastAsia="ru-RU"/>
        </w:rPr>
        <w:t>в соответствии с</w:t>
      </w:r>
      <w:r w:rsidR="00CB123C" w:rsidRPr="0066641B">
        <w:rPr>
          <w:rFonts w:ascii="Times New Roman" w:eastAsia="Times New Roman" w:hAnsi="Times New Roman" w:cs="Times New Roman"/>
          <w:snapToGrid w:val="0"/>
          <w:sz w:val="28"/>
          <w:szCs w:val="28"/>
          <w:lang w:eastAsia="ru-RU"/>
        </w:rPr>
        <w:t xml:space="preserve"> </w:t>
      </w:r>
      <w:r w:rsidR="00CB123C" w:rsidRPr="0066641B">
        <w:rPr>
          <w:rFonts w:ascii="Times New Roman" w:eastAsia="Calibri" w:hAnsi="Times New Roman" w:cs="Times New Roman"/>
          <w:sz w:val="28"/>
          <w:szCs w:val="28"/>
        </w:rPr>
        <w:t>Закон</w:t>
      </w:r>
      <w:r w:rsidR="006E461E" w:rsidRPr="0066641B">
        <w:rPr>
          <w:rFonts w:ascii="Times New Roman" w:eastAsia="Calibri" w:hAnsi="Times New Roman" w:cs="Times New Roman"/>
          <w:sz w:val="28"/>
          <w:szCs w:val="28"/>
        </w:rPr>
        <w:t>ом</w:t>
      </w:r>
      <w:r w:rsidR="00CB123C" w:rsidRPr="0066641B">
        <w:rPr>
          <w:rFonts w:ascii="Times New Roman" w:eastAsia="Calibri" w:hAnsi="Times New Roman" w:cs="Times New Roman"/>
          <w:sz w:val="28"/>
          <w:szCs w:val="28"/>
        </w:rPr>
        <w:t xml:space="preserve"> области о межбюджетных отношениях</w:t>
      </w:r>
      <w:r w:rsidR="000323ED" w:rsidRPr="0066641B">
        <w:rPr>
          <w:rFonts w:ascii="Times New Roman" w:eastAsia="Calibri" w:hAnsi="Times New Roman" w:cs="Times New Roman"/>
          <w:sz w:val="28"/>
          <w:szCs w:val="28"/>
        </w:rPr>
        <w:t xml:space="preserve"> в редакции от 24.09.2021 </w:t>
      </w:r>
      <w:r w:rsidR="00CB123C" w:rsidRPr="0066641B">
        <w:rPr>
          <w:rFonts w:ascii="Times New Roman" w:eastAsia="Times New Roman" w:hAnsi="Times New Roman" w:cs="Times New Roman"/>
          <w:snapToGrid w:val="0"/>
          <w:sz w:val="28"/>
          <w:szCs w:val="28"/>
          <w:lang w:eastAsia="ru-RU"/>
        </w:rPr>
        <w:t>увеличен</w:t>
      </w:r>
      <w:r w:rsidR="000323ED" w:rsidRPr="0066641B">
        <w:rPr>
          <w:rFonts w:ascii="Times New Roman" w:eastAsia="Times New Roman" w:hAnsi="Times New Roman" w:cs="Times New Roman"/>
          <w:snapToGrid w:val="0"/>
          <w:sz w:val="28"/>
          <w:szCs w:val="28"/>
          <w:lang w:eastAsia="ru-RU"/>
        </w:rPr>
        <w:t>ы</w:t>
      </w:r>
      <w:r w:rsidR="00CB123C" w:rsidRPr="0066641B">
        <w:rPr>
          <w:rFonts w:ascii="Times New Roman" w:eastAsia="Times New Roman" w:hAnsi="Times New Roman" w:cs="Times New Roman"/>
          <w:snapToGrid w:val="0"/>
          <w:sz w:val="28"/>
          <w:szCs w:val="28"/>
          <w:lang w:eastAsia="ru-RU"/>
        </w:rPr>
        <w:t xml:space="preserve"> едины</w:t>
      </w:r>
      <w:r w:rsidR="000323ED" w:rsidRPr="0066641B">
        <w:rPr>
          <w:rFonts w:ascii="Times New Roman" w:eastAsia="Times New Roman" w:hAnsi="Times New Roman" w:cs="Times New Roman"/>
          <w:snapToGrid w:val="0"/>
          <w:sz w:val="28"/>
          <w:szCs w:val="28"/>
          <w:lang w:eastAsia="ru-RU"/>
        </w:rPr>
        <w:t>е</w:t>
      </w:r>
      <w:r w:rsidR="00CB123C" w:rsidRPr="0066641B">
        <w:rPr>
          <w:rFonts w:ascii="Times New Roman" w:eastAsia="Times New Roman" w:hAnsi="Times New Roman" w:cs="Times New Roman"/>
          <w:snapToGrid w:val="0"/>
          <w:sz w:val="28"/>
          <w:szCs w:val="28"/>
          <w:lang w:eastAsia="ru-RU"/>
        </w:rPr>
        <w:t xml:space="preserve"> норматив</w:t>
      </w:r>
      <w:r w:rsidR="000323ED" w:rsidRPr="0066641B">
        <w:rPr>
          <w:rFonts w:ascii="Times New Roman" w:eastAsia="Times New Roman" w:hAnsi="Times New Roman" w:cs="Times New Roman"/>
          <w:snapToGrid w:val="0"/>
          <w:sz w:val="28"/>
          <w:szCs w:val="28"/>
          <w:lang w:eastAsia="ru-RU"/>
        </w:rPr>
        <w:t>ы</w:t>
      </w:r>
      <w:r w:rsidR="00CB123C" w:rsidRPr="0066641B">
        <w:rPr>
          <w:rFonts w:ascii="Times New Roman" w:eastAsia="Times New Roman" w:hAnsi="Times New Roman" w:cs="Times New Roman"/>
          <w:snapToGrid w:val="0"/>
          <w:sz w:val="28"/>
          <w:szCs w:val="28"/>
          <w:lang w:eastAsia="ru-RU"/>
        </w:rPr>
        <w:t xml:space="preserve"> отчислений</w:t>
      </w:r>
      <w:r w:rsidR="00530C53" w:rsidRPr="0066641B">
        <w:rPr>
          <w:rFonts w:ascii="Times New Roman" w:eastAsia="Calibri" w:hAnsi="Times New Roman" w:cs="Times New Roman"/>
          <w:sz w:val="28"/>
          <w:szCs w:val="28"/>
        </w:rPr>
        <w:t xml:space="preserve"> в бюджеты муниципальных районов, городских округов</w:t>
      </w:r>
      <w:r w:rsidR="00CB123C" w:rsidRPr="0066641B">
        <w:rPr>
          <w:rFonts w:ascii="Times New Roman" w:eastAsia="Times New Roman" w:hAnsi="Times New Roman" w:cs="Times New Roman"/>
          <w:snapToGrid w:val="0"/>
          <w:sz w:val="28"/>
          <w:szCs w:val="28"/>
          <w:lang w:eastAsia="ru-RU"/>
        </w:rPr>
        <w:t>:</w:t>
      </w:r>
    </w:p>
    <w:p w14:paraId="7E1F6981" w14:textId="1AA6B59A" w:rsidR="000A614F" w:rsidRPr="005036FD" w:rsidRDefault="000A614F" w:rsidP="000A61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036FD">
        <w:rPr>
          <w:rFonts w:ascii="Times New Roman" w:eastAsia="Calibri" w:hAnsi="Times New Roman" w:cs="Times New Roman"/>
          <w:sz w:val="28"/>
          <w:szCs w:val="28"/>
        </w:rPr>
        <w:t xml:space="preserve">в бюджеты муниципальных районов и городских округов </w:t>
      </w:r>
      <w:r w:rsidR="000323ED" w:rsidRPr="005036FD">
        <w:rPr>
          <w:rFonts w:ascii="Times New Roman" w:eastAsia="Calibri" w:hAnsi="Times New Roman" w:cs="Times New Roman"/>
          <w:sz w:val="28"/>
          <w:szCs w:val="28"/>
        </w:rPr>
        <w:t>подлеж</w:t>
      </w:r>
      <w:r w:rsidR="00BC6AD3" w:rsidRPr="005036FD">
        <w:rPr>
          <w:rFonts w:ascii="Times New Roman" w:eastAsia="Calibri" w:hAnsi="Times New Roman" w:cs="Times New Roman"/>
          <w:sz w:val="28"/>
          <w:szCs w:val="28"/>
        </w:rPr>
        <w:t>и</w:t>
      </w:r>
      <w:r w:rsidR="000323ED" w:rsidRPr="005036FD">
        <w:rPr>
          <w:rFonts w:ascii="Times New Roman" w:eastAsia="Calibri" w:hAnsi="Times New Roman" w:cs="Times New Roman"/>
          <w:sz w:val="28"/>
          <w:szCs w:val="28"/>
        </w:rPr>
        <w:t xml:space="preserve">т зачислению </w:t>
      </w:r>
      <w:r w:rsidRPr="005036FD">
        <w:rPr>
          <w:rFonts w:ascii="Times New Roman" w:hAnsi="Times New Roman" w:cs="Times New Roman"/>
          <w:sz w:val="28"/>
          <w:szCs w:val="28"/>
        </w:rPr>
        <w:t xml:space="preserve">налог на профессиональный доход </w:t>
      </w:r>
      <w:r w:rsidR="00BC6AD3" w:rsidRPr="005036FD">
        <w:rPr>
          <w:rFonts w:ascii="Times New Roman" w:hAnsi="Times New Roman" w:cs="Times New Roman"/>
          <w:sz w:val="28"/>
          <w:szCs w:val="28"/>
        </w:rPr>
        <w:t>в размере</w:t>
      </w:r>
      <w:r w:rsidRPr="005036FD">
        <w:rPr>
          <w:rFonts w:ascii="Times New Roman" w:hAnsi="Times New Roman" w:cs="Times New Roman"/>
          <w:sz w:val="28"/>
          <w:szCs w:val="28"/>
        </w:rPr>
        <w:t xml:space="preserve"> 100 процентов. </w:t>
      </w:r>
      <w:r w:rsidRPr="005036FD">
        <w:rPr>
          <w:rFonts w:ascii="Times New Roman" w:eastAsia="Calibri" w:hAnsi="Times New Roman" w:cs="Times New Roman"/>
          <w:sz w:val="28"/>
          <w:szCs w:val="28"/>
        </w:rPr>
        <w:t>Дополнительные поступления в бюджеты муниципальных районов и городских округов по данному налогу согласно пояснительной записке, представленной к письму Губернатора, в 2022, 2023, 2024 годах составят 48,5 млн. рублей, 50,4 млн. рублей и 52,5 млн. рублей соответственно;</w:t>
      </w:r>
    </w:p>
    <w:p w14:paraId="44872CE1" w14:textId="3DD77B10" w:rsidR="00876375" w:rsidRPr="005036FD" w:rsidRDefault="00BC6AD3" w:rsidP="00D55798">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5036FD">
        <w:rPr>
          <w:rFonts w:ascii="Times New Roman" w:eastAsia="Times New Roman" w:hAnsi="Times New Roman" w:cs="Times New Roman"/>
          <w:snapToGrid w:val="0"/>
          <w:sz w:val="28"/>
          <w:szCs w:val="28"/>
          <w:lang w:eastAsia="ru-RU"/>
        </w:rPr>
        <w:t xml:space="preserve">увеличен размер отчислений </w:t>
      </w:r>
      <w:r w:rsidR="00530C53" w:rsidRPr="005036FD">
        <w:rPr>
          <w:rFonts w:ascii="Times New Roman" w:eastAsia="Times New Roman" w:hAnsi="Times New Roman" w:cs="Times New Roman"/>
          <w:snapToGrid w:val="0"/>
          <w:sz w:val="28"/>
          <w:szCs w:val="28"/>
          <w:lang w:eastAsia="ru-RU"/>
        </w:rPr>
        <w:t xml:space="preserve">в бюджеты городских округов </w:t>
      </w:r>
      <w:r w:rsidR="00CB123C" w:rsidRPr="005036FD">
        <w:rPr>
          <w:rFonts w:ascii="Times New Roman" w:eastAsia="Times New Roman" w:hAnsi="Times New Roman" w:cs="Times New Roman"/>
          <w:snapToGrid w:val="0"/>
          <w:sz w:val="28"/>
          <w:szCs w:val="28"/>
          <w:lang w:eastAsia="ru-RU"/>
        </w:rPr>
        <w:t xml:space="preserve">от </w:t>
      </w:r>
      <w:r w:rsidR="00CB123C" w:rsidRPr="005036FD">
        <w:rPr>
          <w:rFonts w:ascii="Times New Roman" w:hAnsi="Times New Roman" w:cs="Times New Roman"/>
          <w:sz w:val="28"/>
          <w:szCs w:val="28"/>
        </w:rPr>
        <w:t xml:space="preserve">налога, взимаемого в связи с применением упрощенной системы налогообложения, в том числе минимального налога, </w:t>
      </w:r>
      <w:r w:rsidR="00CB123C" w:rsidRPr="005036FD">
        <w:rPr>
          <w:rFonts w:ascii="Times New Roman" w:eastAsia="Times New Roman" w:hAnsi="Times New Roman" w:cs="Times New Roman"/>
          <w:snapToGrid w:val="0"/>
          <w:sz w:val="28"/>
          <w:szCs w:val="28"/>
          <w:lang w:eastAsia="ru-RU"/>
        </w:rPr>
        <w:t xml:space="preserve">с 40 до 45 процентов. Дополнительные поступления в бюджеты городских округов по данному налогу составят </w:t>
      </w:r>
      <w:r w:rsidR="000B7D38" w:rsidRPr="005036FD">
        <w:rPr>
          <w:rFonts w:ascii="Times New Roman" w:eastAsia="Calibri" w:hAnsi="Times New Roman" w:cs="Times New Roman"/>
          <w:sz w:val="28"/>
          <w:szCs w:val="28"/>
        </w:rPr>
        <w:t xml:space="preserve">в </w:t>
      </w:r>
      <w:r w:rsidR="000B7D38" w:rsidRPr="005036FD">
        <w:rPr>
          <w:rFonts w:ascii="Times New Roman" w:eastAsia="Calibri" w:hAnsi="Times New Roman" w:cs="Times New Roman"/>
          <w:sz w:val="28"/>
          <w:szCs w:val="28"/>
        </w:rPr>
        <w:lastRenderedPageBreak/>
        <w:t xml:space="preserve">2022, 2023, 2024 годах </w:t>
      </w:r>
      <w:r w:rsidR="00CB123C" w:rsidRPr="005036FD">
        <w:rPr>
          <w:rFonts w:ascii="Times New Roman" w:eastAsia="Times New Roman" w:hAnsi="Times New Roman" w:cs="Times New Roman"/>
          <w:snapToGrid w:val="0"/>
          <w:sz w:val="28"/>
          <w:szCs w:val="28"/>
          <w:lang w:eastAsia="ru-RU"/>
        </w:rPr>
        <w:t>порядка 21</w:t>
      </w:r>
      <w:r w:rsidR="00D55798" w:rsidRPr="005036FD">
        <w:rPr>
          <w:rFonts w:ascii="Times New Roman" w:eastAsia="Times New Roman" w:hAnsi="Times New Roman" w:cs="Times New Roman"/>
          <w:snapToGrid w:val="0"/>
          <w:sz w:val="28"/>
          <w:szCs w:val="28"/>
          <w:lang w:eastAsia="ru-RU"/>
        </w:rPr>
        <w:t>4</w:t>
      </w:r>
      <w:r w:rsidR="00CB123C" w:rsidRPr="005036FD">
        <w:rPr>
          <w:rFonts w:ascii="Times New Roman" w:eastAsia="Times New Roman" w:hAnsi="Times New Roman" w:cs="Times New Roman"/>
          <w:snapToGrid w:val="0"/>
          <w:sz w:val="28"/>
          <w:szCs w:val="28"/>
          <w:lang w:eastAsia="ru-RU"/>
        </w:rPr>
        <w:t xml:space="preserve"> млн. рублей</w:t>
      </w:r>
      <w:r w:rsidR="000B7D38" w:rsidRPr="005036FD">
        <w:rPr>
          <w:rFonts w:ascii="Times New Roman" w:eastAsia="Times New Roman" w:hAnsi="Times New Roman" w:cs="Times New Roman"/>
          <w:snapToGrid w:val="0"/>
          <w:sz w:val="28"/>
          <w:szCs w:val="28"/>
          <w:lang w:eastAsia="ru-RU"/>
        </w:rPr>
        <w:t>,</w:t>
      </w:r>
      <w:r w:rsidR="00CB123C" w:rsidRPr="005036FD">
        <w:rPr>
          <w:rFonts w:ascii="Times New Roman" w:eastAsia="Times New Roman" w:hAnsi="Times New Roman" w:cs="Times New Roman"/>
          <w:snapToGrid w:val="0"/>
          <w:sz w:val="28"/>
          <w:szCs w:val="28"/>
          <w:lang w:eastAsia="ru-RU"/>
        </w:rPr>
        <w:t xml:space="preserve"> 237 млн. рублей,</w:t>
      </w:r>
      <w:r w:rsidR="00D55798" w:rsidRPr="005036FD">
        <w:rPr>
          <w:rFonts w:ascii="Times New Roman" w:eastAsia="Times New Roman" w:hAnsi="Times New Roman" w:cs="Times New Roman"/>
          <w:snapToGrid w:val="0"/>
          <w:sz w:val="28"/>
          <w:szCs w:val="28"/>
          <w:lang w:eastAsia="ru-RU"/>
        </w:rPr>
        <w:t xml:space="preserve"> 269 млн. рублей</w:t>
      </w:r>
      <w:r w:rsidR="000B7D38" w:rsidRPr="005036FD">
        <w:rPr>
          <w:rFonts w:ascii="Times New Roman" w:eastAsia="Calibri" w:hAnsi="Times New Roman" w:cs="Times New Roman"/>
          <w:sz w:val="28"/>
          <w:szCs w:val="28"/>
        </w:rPr>
        <w:t xml:space="preserve"> соответственно</w:t>
      </w:r>
      <w:r w:rsidR="00D55798" w:rsidRPr="005036FD">
        <w:rPr>
          <w:rFonts w:ascii="Times New Roman" w:eastAsia="Times New Roman" w:hAnsi="Times New Roman" w:cs="Times New Roman"/>
          <w:snapToGrid w:val="0"/>
          <w:sz w:val="28"/>
          <w:szCs w:val="28"/>
          <w:lang w:eastAsia="ru-RU"/>
        </w:rPr>
        <w:t xml:space="preserve">. </w:t>
      </w:r>
    </w:p>
    <w:p w14:paraId="049AEAC8" w14:textId="54688B02" w:rsidR="00876375" w:rsidRPr="009C79CF" w:rsidRDefault="00876375" w:rsidP="00F3422D">
      <w:pPr>
        <w:autoSpaceDE w:val="0"/>
        <w:autoSpaceDN w:val="0"/>
        <w:adjustRightInd w:val="0"/>
        <w:spacing w:before="60" w:after="0" w:line="240" w:lineRule="auto"/>
        <w:ind w:firstLine="709"/>
        <w:jc w:val="both"/>
        <w:rPr>
          <w:rFonts w:ascii="Times New Roman" w:eastAsia="Times New Roman" w:hAnsi="Times New Roman" w:cs="Times New Roman"/>
          <w:snapToGrid w:val="0"/>
          <w:sz w:val="24"/>
          <w:szCs w:val="24"/>
          <w:lang w:eastAsia="ru-RU"/>
        </w:rPr>
      </w:pPr>
      <w:proofErr w:type="spellStart"/>
      <w:r w:rsidRPr="00900B7E">
        <w:rPr>
          <w:rFonts w:ascii="Times New Roman" w:eastAsia="Times New Roman" w:hAnsi="Times New Roman" w:cs="Times New Roman"/>
          <w:snapToGrid w:val="0"/>
          <w:sz w:val="24"/>
          <w:szCs w:val="24"/>
          <w:lang w:eastAsia="ru-RU"/>
        </w:rPr>
        <w:t>Справочно</w:t>
      </w:r>
      <w:proofErr w:type="spellEnd"/>
      <w:r w:rsidRPr="00900B7E">
        <w:rPr>
          <w:rFonts w:ascii="Times New Roman" w:eastAsia="Times New Roman" w:hAnsi="Times New Roman" w:cs="Times New Roman"/>
          <w:snapToGrid w:val="0"/>
          <w:sz w:val="24"/>
          <w:szCs w:val="24"/>
          <w:lang w:eastAsia="ru-RU"/>
        </w:rPr>
        <w:t xml:space="preserve">: на основании </w:t>
      </w:r>
      <w:r w:rsidR="00D73A7D" w:rsidRPr="00900B7E">
        <w:rPr>
          <w:rFonts w:ascii="Times New Roman" w:eastAsia="Times New Roman" w:hAnsi="Times New Roman" w:cs="Times New Roman"/>
          <w:snapToGrid w:val="0"/>
          <w:sz w:val="24"/>
          <w:szCs w:val="24"/>
          <w:lang w:eastAsia="ru-RU"/>
        </w:rPr>
        <w:t xml:space="preserve">расчетов </w:t>
      </w:r>
      <w:r w:rsidR="00CB123C" w:rsidRPr="00900B7E">
        <w:rPr>
          <w:rFonts w:ascii="Times New Roman" w:eastAsia="Times New Roman" w:hAnsi="Times New Roman" w:cs="Times New Roman"/>
          <w:snapToGrid w:val="0"/>
          <w:sz w:val="24"/>
          <w:szCs w:val="24"/>
          <w:lang w:eastAsia="ru-RU"/>
        </w:rPr>
        <w:t>поступлений налог</w:t>
      </w:r>
      <w:r w:rsidRPr="00900B7E">
        <w:rPr>
          <w:rFonts w:ascii="Times New Roman" w:eastAsia="Times New Roman" w:hAnsi="Times New Roman" w:cs="Times New Roman"/>
          <w:snapToGrid w:val="0"/>
          <w:sz w:val="24"/>
          <w:szCs w:val="24"/>
          <w:lang w:eastAsia="ru-RU"/>
        </w:rPr>
        <w:t xml:space="preserve">а, взимаемого в связи с </w:t>
      </w:r>
      <w:r w:rsidR="00DF6D31">
        <w:rPr>
          <w:rFonts w:ascii="Times New Roman" w:eastAsia="Times New Roman" w:hAnsi="Times New Roman" w:cs="Times New Roman"/>
          <w:snapToGrid w:val="0"/>
          <w:sz w:val="24"/>
          <w:szCs w:val="24"/>
          <w:lang w:eastAsia="ru-RU"/>
        </w:rPr>
        <w:t xml:space="preserve">применением </w:t>
      </w:r>
      <w:r w:rsidRPr="00900B7E">
        <w:rPr>
          <w:rFonts w:ascii="Times New Roman" w:eastAsia="Times New Roman" w:hAnsi="Times New Roman" w:cs="Times New Roman"/>
          <w:snapToGrid w:val="0"/>
          <w:sz w:val="24"/>
          <w:szCs w:val="24"/>
          <w:lang w:eastAsia="ru-RU"/>
        </w:rPr>
        <w:t xml:space="preserve">упрощенной системы </w:t>
      </w:r>
      <w:r w:rsidRPr="009C79CF">
        <w:rPr>
          <w:rFonts w:ascii="Times New Roman" w:eastAsia="Times New Roman" w:hAnsi="Times New Roman" w:cs="Times New Roman"/>
          <w:snapToGrid w:val="0"/>
          <w:sz w:val="24"/>
          <w:szCs w:val="24"/>
          <w:lang w:eastAsia="ru-RU"/>
        </w:rPr>
        <w:t xml:space="preserve">налогообложения (приложение 10 к письму Губернатора) дополнительные доходы в 2022 году в бюджеты городских округов </w:t>
      </w:r>
      <w:r w:rsidR="00900B7E" w:rsidRPr="009C79CF">
        <w:rPr>
          <w:rFonts w:ascii="Times New Roman" w:eastAsia="Times New Roman" w:hAnsi="Times New Roman" w:cs="Times New Roman"/>
          <w:snapToGrid w:val="0"/>
          <w:sz w:val="24"/>
          <w:szCs w:val="24"/>
          <w:lang w:eastAsia="ru-RU"/>
        </w:rPr>
        <w:t xml:space="preserve">по расчетам счетной палаты прогнозируются в </w:t>
      </w:r>
      <w:r w:rsidRPr="009C79CF">
        <w:rPr>
          <w:rFonts w:ascii="Times New Roman" w:eastAsia="Times New Roman" w:hAnsi="Times New Roman" w:cs="Times New Roman"/>
          <w:snapToGrid w:val="0"/>
          <w:sz w:val="24"/>
          <w:szCs w:val="24"/>
          <w:lang w:eastAsia="ru-RU"/>
        </w:rPr>
        <w:t>следующи</w:t>
      </w:r>
      <w:r w:rsidR="00900B7E" w:rsidRPr="009C79CF">
        <w:rPr>
          <w:rFonts w:ascii="Times New Roman" w:eastAsia="Times New Roman" w:hAnsi="Times New Roman" w:cs="Times New Roman"/>
          <w:snapToGrid w:val="0"/>
          <w:sz w:val="24"/>
          <w:szCs w:val="24"/>
          <w:lang w:eastAsia="ru-RU"/>
        </w:rPr>
        <w:t>х объемах</w:t>
      </w:r>
      <w:r w:rsidRPr="009C79CF">
        <w:rPr>
          <w:rFonts w:ascii="Times New Roman" w:eastAsia="Times New Roman" w:hAnsi="Times New Roman" w:cs="Times New Roman"/>
          <w:snapToGrid w:val="0"/>
          <w:sz w:val="24"/>
          <w:szCs w:val="24"/>
          <w:lang w:eastAsia="ru-RU"/>
        </w:rPr>
        <w:t>:</w:t>
      </w:r>
    </w:p>
    <w:p w14:paraId="42E0DF72" w14:textId="77777777" w:rsidR="00EB3712" w:rsidRPr="009C79CF" w:rsidRDefault="00876375" w:rsidP="00EB371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spellStart"/>
      <w:r w:rsidRPr="009C79CF">
        <w:rPr>
          <w:rFonts w:ascii="Times New Roman" w:eastAsia="Times New Roman" w:hAnsi="Times New Roman" w:cs="Times New Roman"/>
          <w:snapToGrid w:val="0"/>
          <w:sz w:val="24"/>
          <w:szCs w:val="24"/>
          <w:lang w:eastAsia="ru-RU"/>
        </w:rPr>
        <w:t>г.Алексин</w:t>
      </w:r>
      <w:proofErr w:type="spellEnd"/>
      <w:r w:rsidRPr="009C79CF">
        <w:rPr>
          <w:rFonts w:ascii="Times New Roman" w:eastAsia="Times New Roman" w:hAnsi="Times New Roman" w:cs="Times New Roman"/>
          <w:snapToGrid w:val="0"/>
          <w:sz w:val="24"/>
          <w:szCs w:val="24"/>
          <w:lang w:eastAsia="ru-RU"/>
        </w:rPr>
        <w:t xml:space="preserve"> –</w:t>
      </w:r>
      <w:r w:rsidR="00900B7E" w:rsidRPr="009C79CF">
        <w:rPr>
          <w:rFonts w:ascii="Times New Roman" w:eastAsia="Times New Roman" w:hAnsi="Times New Roman" w:cs="Times New Roman"/>
          <w:snapToGrid w:val="0"/>
          <w:sz w:val="24"/>
          <w:szCs w:val="24"/>
          <w:lang w:eastAsia="ru-RU"/>
        </w:rPr>
        <w:t xml:space="preserve"> 6,9 млн. </w:t>
      </w:r>
      <w:proofErr w:type="gramStart"/>
      <w:r w:rsidR="00900B7E" w:rsidRPr="009C79CF">
        <w:rPr>
          <w:rFonts w:ascii="Times New Roman" w:eastAsia="Times New Roman" w:hAnsi="Times New Roman" w:cs="Times New Roman"/>
          <w:snapToGrid w:val="0"/>
          <w:sz w:val="24"/>
          <w:szCs w:val="24"/>
          <w:lang w:eastAsia="ru-RU"/>
        </w:rPr>
        <w:t>рублей</w:t>
      </w:r>
      <w:r w:rsidR="00EB3712" w:rsidRPr="009C79CF">
        <w:rPr>
          <w:rFonts w:ascii="Times New Roman" w:eastAsia="Times New Roman" w:hAnsi="Times New Roman" w:cs="Times New Roman"/>
          <w:snapToGrid w:val="0"/>
          <w:sz w:val="24"/>
          <w:szCs w:val="24"/>
          <w:lang w:eastAsia="ru-RU"/>
        </w:rPr>
        <w:t>;</w:t>
      </w:r>
      <w:r w:rsidR="00EB3712" w:rsidRPr="009C79CF">
        <w:rPr>
          <w:rFonts w:ascii="Times New Roman" w:eastAsia="Times New Roman" w:hAnsi="Times New Roman" w:cs="Times New Roman"/>
          <w:snapToGrid w:val="0"/>
          <w:sz w:val="24"/>
          <w:szCs w:val="24"/>
          <w:lang w:eastAsia="ru-RU"/>
        </w:rPr>
        <w:tab/>
      </w:r>
      <w:proofErr w:type="spellStart"/>
      <w:proofErr w:type="gramEnd"/>
      <w:r w:rsidR="00EB3712" w:rsidRPr="009C79CF">
        <w:rPr>
          <w:rFonts w:ascii="Times New Roman" w:eastAsia="Times New Roman" w:hAnsi="Times New Roman" w:cs="Times New Roman"/>
          <w:snapToGrid w:val="0"/>
          <w:sz w:val="24"/>
          <w:szCs w:val="24"/>
          <w:lang w:eastAsia="ru-RU"/>
        </w:rPr>
        <w:t>п.Новогуровский</w:t>
      </w:r>
      <w:proofErr w:type="spellEnd"/>
      <w:r w:rsidR="00EB3712" w:rsidRPr="009C79CF">
        <w:rPr>
          <w:rFonts w:ascii="Times New Roman" w:eastAsia="Times New Roman" w:hAnsi="Times New Roman" w:cs="Times New Roman"/>
          <w:snapToGrid w:val="0"/>
          <w:sz w:val="24"/>
          <w:szCs w:val="24"/>
          <w:lang w:eastAsia="ru-RU"/>
        </w:rPr>
        <w:t xml:space="preserve"> – 145,5 тыс. рублей;</w:t>
      </w:r>
    </w:p>
    <w:p w14:paraId="4B4F0D58" w14:textId="6E341979" w:rsidR="00EB3712" w:rsidRPr="009C79CF" w:rsidRDefault="00EB3712" w:rsidP="00EB371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spellStart"/>
      <w:r w:rsidRPr="009C79CF">
        <w:rPr>
          <w:rFonts w:ascii="Times New Roman" w:eastAsia="Times New Roman" w:hAnsi="Times New Roman" w:cs="Times New Roman"/>
          <w:snapToGrid w:val="0"/>
          <w:sz w:val="24"/>
          <w:szCs w:val="24"/>
          <w:lang w:eastAsia="ru-RU"/>
        </w:rPr>
        <w:t>г.Донской</w:t>
      </w:r>
      <w:proofErr w:type="spellEnd"/>
      <w:r w:rsidRPr="009C79CF">
        <w:rPr>
          <w:rFonts w:ascii="Times New Roman" w:eastAsia="Times New Roman" w:hAnsi="Times New Roman" w:cs="Times New Roman"/>
          <w:snapToGrid w:val="0"/>
          <w:sz w:val="24"/>
          <w:szCs w:val="24"/>
          <w:lang w:eastAsia="ru-RU"/>
        </w:rPr>
        <w:t xml:space="preserve"> – 3,9 млн. </w:t>
      </w:r>
      <w:proofErr w:type="spellStart"/>
      <w:proofErr w:type="gramStart"/>
      <w:r w:rsidRPr="009C79CF">
        <w:rPr>
          <w:rFonts w:ascii="Times New Roman" w:eastAsia="Times New Roman" w:hAnsi="Times New Roman" w:cs="Times New Roman"/>
          <w:snapToGrid w:val="0"/>
          <w:sz w:val="24"/>
          <w:szCs w:val="24"/>
          <w:lang w:eastAsia="ru-RU"/>
        </w:rPr>
        <w:t>рцблей</w:t>
      </w:r>
      <w:proofErr w:type="spellEnd"/>
      <w:r w:rsidRPr="009C79CF">
        <w:rPr>
          <w:rFonts w:ascii="Times New Roman" w:eastAsia="Times New Roman" w:hAnsi="Times New Roman" w:cs="Times New Roman"/>
          <w:snapToGrid w:val="0"/>
          <w:sz w:val="24"/>
          <w:szCs w:val="24"/>
          <w:lang w:eastAsia="ru-RU"/>
        </w:rPr>
        <w:t>;</w:t>
      </w:r>
      <w:r w:rsidRPr="009C79CF">
        <w:rPr>
          <w:rFonts w:ascii="Times New Roman" w:eastAsia="Times New Roman" w:hAnsi="Times New Roman" w:cs="Times New Roman"/>
          <w:snapToGrid w:val="0"/>
          <w:sz w:val="24"/>
          <w:szCs w:val="24"/>
          <w:lang w:eastAsia="ru-RU"/>
        </w:rPr>
        <w:tab/>
      </w:r>
      <w:proofErr w:type="spellStart"/>
      <w:proofErr w:type="gramEnd"/>
      <w:r w:rsidRPr="009C79CF">
        <w:rPr>
          <w:rFonts w:ascii="Times New Roman" w:eastAsia="Times New Roman" w:hAnsi="Times New Roman" w:cs="Times New Roman"/>
          <w:snapToGrid w:val="0"/>
          <w:sz w:val="24"/>
          <w:szCs w:val="24"/>
          <w:lang w:eastAsia="ru-RU"/>
        </w:rPr>
        <w:t>г.Новомосковск</w:t>
      </w:r>
      <w:proofErr w:type="spellEnd"/>
      <w:r w:rsidRPr="009C79CF">
        <w:rPr>
          <w:rFonts w:ascii="Times New Roman" w:eastAsia="Times New Roman" w:hAnsi="Times New Roman" w:cs="Times New Roman"/>
          <w:snapToGrid w:val="0"/>
          <w:sz w:val="24"/>
          <w:szCs w:val="24"/>
          <w:lang w:eastAsia="ru-RU"/>
        </w:rPr>
        <w:t xml:space="preserve"> – 21,5 млн. рублей;</w:t>
      </w:r>
    </w:p>
    <w:p w14:paraId="15BBAD62" w14:textId="25C0ABFA" w:rsidR="00EB3712" w:rsidRPr="009C79CF" w:rsidRDefault="00EB3712" w:rsidP="00EB371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proofErr w:type="spellStart"/>
      <w:r w:rsidRPr="009C79CF">
        <w:rPr>
          <w:rFonts w:ascii="Times New Roman" w:eastAsia="Times New Roman" w:hAnsi="Times New Roman" w:cs="Times New Roman"/>
          <w:snapToGrid w:val="0"/>
          <w:sz w:val="24"/>
          <w:szCs w:val="24"/>
          <w:lang w:eastAsia="ru-RU"/>
        </w:rPr>
        <w:t>г.Ефремов</w:t>
      </w:r>
      <w:proofErr w:type="spellEnd"/>
      <w:r w:rsidRPr="009C79CF">
        <w:rPr>
          <w:rFonts w:ascii="Times New Roman" w:eastAsia="Times New Roman" w:hAnsi="Times New Roman" w:cs="Times New Roman"/>
          <w:snapToGrid w:val="0"/>
          <w:sz w:val="24"/>
          <w:szCs w:val="24"/>
          <w:lang w:eastAsia="ru-RU"/>
        </w:rPr>
        <w:t xml:space="preserve"> – 6,7 млн. </w:t>
      </w:r>
      <w:proofErr w:type="gramStart"/>
      <w:r w:rsidRPr="009C79CF">
        <w:rPr>
          <w:rFonts w:ascii="Times New Roman" w:eastAsia="Times New Roman" w:hAnsi="Times New Roman" w:cs="Times New Roman"/>
          <w:snapToGrid w:val="0"/>
          <w:sz w:val="24"/>
          <w:szCs w:val="24"/>
          <w:lang w:eastAsia="ru-RU"/>
        </w:rPr>
        <w:t>рублей;</w:t>
      </w:r>
      <w:r w:rsidRPr="009C79CF">
        <w:rPr>
          <w:rFonts w:ascii="Times New Roman" w:eastAsia="Times New Roman" w:hAnsi="Times New Roman" w:cs="Times New Roman"/>
          <w:snapToGrid w:val="0"/>
          <w:sz w:val="24"/>
          <w:szCs w:val="24"/>
          <w:lang w:eastAsia="ru-RU"/>
        </w:rPr>
        <w:tab/>
      </w:r>
      <w:proofErr w:type="gramEnd"/>
      <w:r w:rsidRPr="009C79CF">
        <w:rPr>
          <w:rFonts w:ascii="Times New Roman" w:eastAsia="Times New Roman" w:hAnsi="Times New Roman" w:cs="Times New Roman"/>
          <w:snapToGrid w:val="0"/>
          <w:sz w:val="24"/>
          <w:szCs w:val="24"/>
          <w:lang w:eastAsia="ru-RU"/>
        </w:rPr>
        <w:t>Славный – 107,6 тыс. рублей;</w:t>
      </w:r>
    </w:p>
    <w:p w14:paraId="445CA562" w14:textId="4CC0CDE3" w:rsidR="00EB3712" w:rsidRPr="009C79CF" w:rsidRDefault="00EB3712" w:rsidP="00EB371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9C79CF">
        <w:rPr>
          <w:rFonts w:ascii="Times New Roman" w:eastAsia="Times New Roman" w:hAnsi="Times New Roman" w:cs="Times New Roman"/>
          <w:snapToGrid w:val="0"/>
          <w:sz w:val="24"/>
          <w:szCs w:val="24"/>
          <w:lang w:eastAsia="ru-RU"/>
        </w:rPr>
        <w:tab/>
      </w:r>
      <w:r w:rsidRPr="009C79CF">
        <w:rPr>
          <w:rFonts w:ascii="Times New Roman" w:eastAsia="Times New Roman" w:hAnsi="Times New Roman" w:cs="Times New Roman"/>
          <w:snapToGrid w:val="0"/>
          <w:sz w:val="24"/>
          <w:szCs w:val="24"/>
          <w:lang w:eastAsia="ru-RU"/>
        </w:rPr>
        <w:tab/>
      </w:r>
      <w:r w:rsidRPr="009C79CF">
        <w:rPr>
          <w:rFonts w:ascii="Times New Roman" w:eastAsia="Times New Roman" w:hAnsi="Times New Roman" w:cs="Times New Roman"/>
          <w:snapToGrid w:val="0"/>
          <w:sz w:val="24"/>
          <w:szCs w:val="24"/>
          <w:lang w:eastAsia="ru-RU"/>
        </w:rPr>
        <w:tab/>
      </w:r>
      <w:r w:rsidRPr="009C79CF">
        <w:rPr>
          <w:rFonts w:ascii="Times New Roman" w:eastAsia="Times New Roman" w:hAnsi="Times New Roman" w:cs="Times New Roman"/>
          <w:snapToGrid w:val="0"/>
          <w:sz w:val="24"/>
          <w:szCs w:val="24"/>
          <w:lang w:eastAsia="ru-RU"/>
        </w:rPr>
        <w:tab/>
      </w:r>
      <w:r w:rsidRPr="009C79CF">
        <w:rPr>
          <w:rFonts w:ascii="Times New Roman" w:eastAsia="Times New Roman" w:hAnsi="Times New Roman" w:cs="Times New Roman"/>
          <w:snapToGrid w:val="0"/>
          <w:sz w:val="24"/>
          <w:szCs w:val="24"/>
          <w:lang w:eastAsia="ru-RU"/>
        </w:rPr>
        <w:tab/>
      </w:r>
      <w:proofErr w:type="spellStart"/>
      <w:r w:rsidRPr="009C79CF">
        <w:rPr>
          <w:rFonts w:ascii="Times New Roman" w:eastAsia="Times New Roman" w:hAnsi="Times New Roman" w:cs="Times New Roman"/>
          <w:snapToGrid w:val="0"/>
          <w:sz w:val="24"/>
          <w:szCs w:val="24"/>
          <w:lang w:eastAsia="ru-RU"/>
        </w:rPr>
        <w:t>г</w:t>
      </w:r>
      <w:r w:rsidR="006131BB">
        <w:rPr>
          <w:rFonts w:ascii="Times New Roman" w:eastAsia="Times New Roman" w:hAnsi="Times New Roman" w:cs="Times New Roman"/>
          <w:snapToGrid w:val="0"/>
          <w:sz w:val="24"/>
          <w:szCs w:val="24"/>
          <w:lang w:eastAsia="ru-RU"/>
        </w:rPr>
        <w:t>.</w:t>
      </w:r>
      <w:r w:rsidRPr="009C79CF">
        <w:rPr>
          <w:rFonts w:ascii="Times New Roman" w:eastAsia="Times New Roman" w:hAnsi="Times New Roman" w:cs="Times New Roman"/>
          <w:snapToGrid w:val="0"/>
          <w:sz w:val="24"/>
          <w:szCs w:val="24"/>
          <w:lang w:eastAsia="ru-RU"/>
        </w:rPr>
        <w:t>Тула</w:t>
      </w:r>
      <w:proofErr w:type="spellEnd"/>
      <w:r w:rsidRPr="009C79CF">
        <w:rPr>
          <w:rFonts w:ascii="Times New Roman" w:eastAsia="Times New Roman" w:hAnsi="Times New Roman" w:cs="Times New Roman"/>
          <w:snapToGrid w:val="0"/>
          <w:sz w:val="24"/>
          <w:szCs w:val="24"/>
          <w:lang w:eastAsia="ru-RU"/>
        </w:rPr>
        <w:t xml:space="preserve"> – 175 млн. рублей.</w:t>
      </w:r>
    </w:p>
    <w:p w14:paraId="1693D658" w14:textId="77777777" w:rsidR="005036FD" w:rsidRPr="00E26611" w:rsidRDefault="005036FD" w:rsidP="00F3422D">
      <w:pPr>
        <w:spacing w:before="120" w:after="0" w:line="240" w:lineRule="auto"/>
        <w:ind w:firstLine="709"/>
        <w:jc w:val="both"/>
        <w:rPr>
          <w:rFonts w:ascii="Times New Roman" w:eastAsia="Calibri" w:hAnsi="Times New Roman" w:cs="Times New Roman"/>
          <w:sz w:val="28"/>
          <w:szCs w:val="28"/>
        </w:rPr>
      </w:pPr>
      <w:r w:rsidRPr="00E26611">
        <w:rPr>
          <w:rFonts w:ascii="Times New Roman" w:eastAsia="Calibri" w:hAnsi="Times New Roman" w:cs="Times New Roman"/>
          <w:sz w:val="28"/>
          <w:szCs w:val="28"/>
        </w:rPr>
        <w:t>Расходы бюджета области на межбюджетные трансферты бюджетам муниципальных образований предусматриваются в следующих объемах:</w:t>
      </w:r>
    </w:p>
    <w:p w14:paraId="4092B8D3" w14:textId="77777777" w:rsidR="005036FD" w:rsidRPr="007667BF" w:rsidRDefault="005036FD" w:rsidP="005036FD">
      <w:pPr>
        <w:spacing w:after="0" w:line="240" w:lineRule="auto"/>
        <w:ind w:firstLine="709"/>
        <w:jc w:val="both"/>
        <w:rPr>
          <w:rFonts w:ascii="Times New Roman" w:eastAsia="Calibri" w:hAnsi="Times New Roman" w:cs="Times New Roman"/>
          <w:sz w:val="28"/>
          <w:szCs w:val="28"/>
        </w:rPr>
      </w:pPr>
      <w:r w:rsidRPr="00E26611">
        <w:rPr>
          <w:rFonts w:ascii="Times New Roman" w:eastAsia="Calibri" w:hAnsi="Times New Roman" w:cs="Times New Roman"/>
          <w:sz w:val="28"/>
          <w:szCs w:val="28"/>
        </w:rPr>
        <w:t xml:space="preserve">– на 2022 год </w:t>
      </w:r>
      <w:r w:rsidRPr="007667BF">
        <w:rPr>
          <w:rFonts w:ascii="Times New Roman" w:eastAsia="Calibri" w:hAnsi="Times New Roman" w:cs="Times New Roman"/>
          <w:sz w:val="28"/>
          <w:szCs w:val="28"/>
        </w:rPr>
        <w:t>– 29 072 567,2 тыс. рублей (уменьшаются к уровню 2021 года на 10,9%);</w:t>
      </w:r>
    </w:p>
    <w:p w14:paraId="57C9473D" w14:textId="77777777" w:rsidR="005036FD" w:rsidRPr="007667BF" w:rsidRDefault="005036FD" w:rsidP="005036FD">
      <w:pPr>
        <w:spacing w:after="0" w:line="240" w:lineRule="auto"/>
        <w:ind w:firstLine="709"/>
        <w:jc w:val="both"/>
        <w:rPr>
          <w:rFonts w:ascii="Times New Roman" w:eastAsia="Calibri" w:hAnsi="Times New Roman" w:cs="Times New Roman"/>
          <w:sz w:val="28"/>
          <w:szCs w:val="28"/>
        </w:rPr>
      </w:pPr>
      <w:r w:rsidRPr="00E26611">
        <w:rPr>
          <w:rFonts w:ascii="Times New Roman" w:eastAsia="Calibri" w:hAnsi="Times New Roman" w:cs="Times New Roman"/>
          <w:sz w:val="28"/>
          <w:szCs w:val="28"/>
        </w:rPr>
        <w:t xml:space="preserve">– на 2023 год – </w:t>
      </w:r>
      <w:r w:rsidRPr="007667BF">
        <w:rPr>
          <w:rFonts w:ascii="Times New Roman" w:eastAsia="Calibri" w:hAnsi="Times New Roman" w:cs="Times New Roman"/>
          <w:sz w:val="28"/>
          <w:szCs w:val="28"/>
        </w:rPr>
        <w:t>26 247 321,8 тыс. рублей;</w:t>
      </w:r>
    </w:p>
    <w:p w14:paraId="5FBEC361" w14:textId="77777777" w:rsidR="005036FD" w:rsidRPr="007667BF" w:rsidRDefault="005036FD" w:rsidP="005036FD">
      <w:pPr>
        <w:spacing w:after="0" w:line="240" w:lineRule="auto"/>
        <w:ind w:firstLine="709"/>
        <w:jc w:val="both"/>
        <w:rPr>
          <w:rFonts w:ascii="Times New Roman" w:eastAsia="Calibri" w:hAnsi="Times New Roman" w:cs="Times New Roman"/>
          <w:sz w:val="28"/>
          <w:szCs w:val="28"/>
        </w:rPr>
      </w:pPr>
      <w:r w:rsidRPr="00E26611">
        <w:rPr>
          <w:rFonts w:ascii="Times New Roman" w:eastAsia="Calibri" w:hAnsi="Times New Roman" w:cs="Times New Roman"/>
          <w:sz w:val="28"/>
          <w:szCs w:val="28"/>
        </w:rPr>
        <w:t xml:space="preserve">– на 2024 год – </w:t>
      </w:r>
      <w:r w:rsidRPr="007667BF">
        <w:rPr>
          <w:rFonts w:ascii="Times New Roman" w:eastAsia="Calibri" w:hAnsi="Times New Roman" w:cs="Times New Roman"/>
          <w:sz w:val="28"/>
          <w:szCs w:val="28"/>
        </w:rPr>
        <w:t xml:space="preserve">25 915 817,8 тыс. рублей. </w:t>
      </w:r>
    </w:p>
    <w:p w14:paraId="345A405F" w14:textId="77777777" w:rsidR="005036FD" w:rsidRPr="00985321" w:rsidRDefault="005036FD" w:rsidP="005036FD">
      <w:pPr>
        <w:spacing w:after="0" w:line="240" w:lineRule="auto"/>
        <w:ind w:firstLine="709"/>
        <w:jc w:val="both"/>
        <w:rPr>
          <w:rFonts w:ascii="Times New Roman" w:eastAsia="Calibri" w:hAnsi="Times New Roman" w:cs="Times New Roman"/>
          <w:sz w:val="28"/>
          <w:szCs w:val="28"/>
        </w:rPr>
      </w:pPr>
      <w:r w:rsidRPr="00985321">
        <w:rPr>
          <w:rFonts w:ascii="Times New Roman" w:eastAsia="Calibri" w:hAnsi="Times New Roman" w:cs="Times New Roman"/>
          <w:sz w:val="28"/>
          <w:szCs w:val="28"/>
        </w:rPr>
        <w:t xml:space="preserve">Доля расходов бюджета области на межбюджетные трансферты в общем объеме расходов бюджета области в 2022 году составит 29,9% </w:t>
      </w:r>
      <w:r w:rsidRPr="00DD4093">
        <w:rPr>
          <w:rFonts w:ascii="Times New Roman" w:eastAsia="Calibri" w:hAnsi="Times New Roman" w:cs="Times New Roman"/>
          <w:sz w:val="28"/>
          <w:szCs w:val="28"/>
        </w:rPr>
        <w:t>(увеличивается по сравнению с 2021 годом на 0,1 процентного пункта), в плановом периоде 2023 и 2024 годов соответственно – 27,6% и 27% (без</w:t>
      </w:r>
      <w:r w:rsidRPr="00985321">
        <w:rPr>
          <w:rFonts w:ascii="Times New Roman" w:eastAsia="Calibri" w:hAnsi="Times New Roman" w:cs="Times New Roman"/>
          <w:sz w:val="28"/>
          <w:szCs w:val="28"/>
        </w:rPr>
        <w:t xml:space="preserve"> учета условно утверждаемых расходов).</w:t>
      </w:r>
    </w:p>
    <w:p w14:paraId="05645814" w14:textId="3CBAFB1B" w:rsidR="005036FD" w:rsidRPr="002316E4" w:rsidRDefault="00CF40A3" w:rsidP="00B55DFD">
      <w:pPr>
        <w:spacing w:after="120" w:line="240" w:lineRule="auto"/>
        <w:ind w:firstLine="709"/>
        <w:jc w:val="both"/>
        <w:rPr>
          <w:rFonts w:ascii="Times New Roman" w:eastAsia="Calibri" w:hAnsi="Times New Roman" w:cs="Times New Roman"/>
          <w:strike/>
          <w:sz w:val="28"/>
          <w:szCs w:val="28"/>
        </w:rPr>
      </w:pPr>
      <w:r w:rsidRPr="003721E1">
        <w:rPr>
          <w:rFonts w:ascii="Times New Roman" w:eastAsia="Calibri" w:hAnsi="Times New Roman" w:cs="Times New Roman"/>
          <w:sz w:val="28"/>
          <w:szCs w:val="28"/>
        </w:rPr>
        <w:t xml:space="preserve">Объемы бюджетных ассигнований (млн. рублей) и их доли в общем объеме бюджетных ассигнований, </w:t>
      </w:r>
      <w:r w:rsidR="002316E4" w:rsidRPr="003721E1">
        <w:rPr>
          <w:rFonts w:ascii="Times New Roman" w:eastAsia="Calibri" w:hAnsi="Times New Roman" w:cs="Times New Roman"/>
          <w:sz w:val="28"/>
          <w:szCs w:val="28"/>
        </w:rPr>
        <w:t xml:space="preserve">предоставляемых бюджетам муниципальных образований в 2022 году в разрезе </w:t>
      </w:r>
      <w:r w:rsidR="002316E4" w:rsidRPr="003721E1">
        <w:rPr>
          <w:rFonts w:ascii="Times New Roman" w:eastAsia="Calibri" w:hAnsi="Times New Roman" w:cs="Times New Roman"/>
          <w:i/>
          <w:sz w:val="28"/>
          <w:szCs w:val="28"/>
        </w:rPr>
        <w:t>форм межбюджетных трансфертов</w:t>
      </w:r>
      <w:r w:rsidR="002316E4" w:rsidRPr="003721E1">
        <w:rPr>
          <w:rFonts w:ascii="Times New Roman" w:eastAsia="Calibri" w:hAnsi="Times New Roman" w:cs="Times New Roman"/>
          <w:sz w:val="28"/>
          <w:szCs w:val="28"/>
        </w:rPr>
        <w:t>, представлены на диаграмме.</w:t>
      </w:r>
      <w:r w:rsidR="002316E4">
        <w:rPr>
          <w:rFonts w:ascii="Times New Roman" w:eastAsia="Calibri" w:hAnsi="Times New Roman" w:cs="Times New Roman"/>
          <w:sz w:val="28"/>
          <w:szCs w:val="28"/>
        </w:rPr>
        <w:t xml:space="preserve"> </w:t>
      </w:r>
    </w:p>
    <w:p w14:paraId="7593A964" w14:textId="3151F33D" w:rsidR="005036FD" w:rsidRDefault="005036FD" w:rsidP="00077C49">
      <w:pPr>
        <w:spacing w:after="0" w:line="240" w:lineRule="auto"/>
        <w:ind w:firstLine="567"/>
        <w:rPr>
          <w:rFonts w:ascii="Times New Roman" w:eastAsia="Calibri" w:hAnsi="Times New Roman" w:cs="Times New Roman"/>
          <w:sz w:val="28"/>
          <w:szCs w:val="28"/>
        </w:rPr>
      </w:pPr>
      <w:r w:rsidRPr="00705BE7">
        <w:rPr>
          <w:rFonts w:ascii="Times New Roman" w:eastAsia="Calibri" w:hAnsi="Times New Roman" w:cs="Times New Roman"/>
          <w:noProof/>
          <w:sz w:val="24"/>
          <w:szCs w:val="24"/>
          <w:lang w:eastAsia="ru-RU"/>
        </w:rPr>
        <w:drawing>
          <wp:inline distT="0" distB="0" distL="0" distR="0" wp14:anchorId="2FED2CF3" wp14:editId="41BFC877">
            <wp:extent cx="5267325" cy="30003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5C797A" w14:textId="14416CF8" w:rsidR="00B913A1" w:rsidRPr="002C25EA" w:rsidRDefault="00B913A1" w:rsidP="00B55DFD">
      <w:pPr>
        <w:pStyle w:val="afff6"/>
        <w:spacing w:before="240"/>
        <w:ind w:firstLine="709"/>
        <w:jc w:val="both"/>
        <w:rPr>
          <w:sz w:val="28"/>
          <w:szCs w:val="28"/>
        </w:rPr>
      </w:pPr>
      <w:r w:rsidRPr="0067664B">
        <w:rPr>
          <w:sz w:val="28"/>
          <w:szCs w:val="28"/>
        </w:rPr>
        <w:t>На 2022 год бюджетам муниципальных образований Законопроектом</w:t>
      </w:r>
      <w:r w:rsidRPr="0067664B">
        <w:rPr>
          <w:rFonts w:eastAsia="Calibri"/>
          <w:sz w:val="28"/>
          <w:szCs w:val="28"/>
          <w:vertAlign w:val="superscript"/>
        </w:rPr>
        <w:footnoteReference w:id="26"/>
      </w:r>
      <w:r w:rsidRPr="0067664B">
        <w:rPr>
          <w:sz w:val="28"/>
          <w:szCs w:val="28"/>
        </w:rPr>
        <w:t xml:space="preserve"> распределено 95% общего объема межбюджетных трансфертов (27 626,2 млн. рублей), что выше объема распределенных межбюджетных трансфертов на </w:t>
      </w:r>
      <w:r w:rsidRPr="0067664B">
        <w:rPr>
          <w:sz w:val="28"/>
          <w:szCs w:val="28"/>
        </w:rPr>
        <w:lastRenderedPageBreak/>
        <w:t xml:space="preserve">2021 год (в первоначальной </w:t>
      </w:r>
      <w:r w:rsidRPr="00F3422D">
        <w:rPr>
          <w:sz w:val="28"/>
          <w:szCs w:val="28"/>
        </w:rPr>
        <w:t xml:space="preserve">редакции Закона о бюджете области на 2021 год) 94,7%. Счетная палата отмечает, что высокая доля </w:t>
      </w:r>
      <w:r w:rsidR="007A286F" w:rsidRPr="00F3422D">
        <w:rPr>
          <w:sz w:val="28"/>
          <w:szCs w:val="28"/>
        </w:rPr>
        <w:t xml:space="preserve">законодательно </w:t>
      </w:r>
      <w:r w:rsidRPr="00F3422D">
        <w:rPr>
          <w:sz w:val="28"/>
          <w:szCs w:val="28"/>
        </w:rPr>
        <w:t>распределен</w:t>
      </w:r>
      <w:r w:rsidR="007A286F" w:rsidRPr="00F3422D">
        <w:rPr>
          <w:sz w:val="28"/>
          <w:szCs w:val="28"/>
        </w:rPr>
        <w:t>ных</w:t>
      </w:r>
      <w:r w:rsidRPr="00F3422D">
        <w:rPr>
          <w:sz w:val="28"/>
          <w:szCs w:val="28"/>
        </w:rPr>
        <w:t xml:space="preserve"> межбюджетных трансфертов позволит обеспечить </w:t>
      </w:r>
      <w:r w:rsidR="007A286F" w:rsidRPr="00F3422D">
        <w:rPr>
          <w:sz w:val="28"/>
          <w:szCs w:val="28"/>
        </w:rPr>
        <w:t xml:space="preserve">ритмичность </w:t>
      </w:r>
      <w:r w:rsidRPr="00F3422D">
        <w:rPr>
          <w:sz w:val="28"/>
          <w:szCs w:val="28"/>
        </w:rPr>
        <w:t xml:space="preserve">исполнения </w:t>
      </w:r>
      <w:r w:rsidR="007A286F" w:rsidRPr="00F3422D">
        <w:rPr>
          <w:sz w:val="28"/>
          <w:szCs w:val="28"/>
        </w:rPr>
        <w:t xml:space="preserve">местных </w:t>
      </w:r>
      <w:r w:rsidRPr="00F3422D">
        <w:rPr>
          <w:sz w:val="28"/>
          <w:szCs w:val="28"/>
        </w:rPr>
        <w:t>бюджет</w:t>
      </w:r>
      <w:r w:rsidR="007A286F" w:rsidRPr="00F3422D">
        <w:rPr>
          <w:sz w:val="28"/>
          <w:szCs w:val="28"/>
        </w:rPr>
        <w:t>ов</w:t>
      </w:r>
      <w:r w:rsidRPr="00F3422D">
        <w:rPr>
          <w:sz w:val="28"/>
          <w:szCs w:val="28"/>
        </w:rPr>
        <w:t>.</w:t>
      </w:r>
    </w:p>
    <w:p w14:paraId="23F39144" w14:textId="59F3E5C1" w:rsidR="005036FD" w:rsidRPr="00D75C4F" w:rsidRDefault="005036FD" w:rsidP="005036FD">
      <w:pPr>
        <w:spacing w:after="0" w:line="240" w:lineRule="auto"/>
        <w:ind w:firstLine="709"/>
        <w:jc w:val="both"/>
        <w:rPr>
          <w:rFonts w:ascii="Times New Roman" w:eastAsia="Calibri" w:hAnsi="Times New Roman" w:cs="Times New Roman"/>
          <w:sz w:val="28"/>
          <w:szCs w:val="28"/>
        </w:rPr>
      </w:pPr>
      <w:r w:rsidRPr="00D75C4F">
        <w:rPr>
          <w:rFonts w:ascii="Times New Roman" w:eastAsia="Calibri" w:hAnsi="Times New Roman" w:cs="Times New Roman"/>
          <w:spacing w:val="-4"/>
          <w:sz w:val="28"/>
          <w:szCs w:val="28"/>
        </w:rPr>
        <w:t xml:space="preserve">Анализ распределенных межбюджетных трансфертов </w:t>
      </w:r>
      <w:r w:rsidRPr="00D75C4F">
        <w:rPr>
          <w:rFonts w:ascii="Times New Roman" w:eastAsia="Times New Roman" w:hAnsi="Times New Roman" w:cs="Times New Roman"/>
          <w:sz w:val="28"/>
          <w:szCs w:val="28"/>
          <w:lang w:eastAsia="ru-RU"/>
        </w:rPr>
        <w:t>(</w:t>
      </w:r>
      <w:r w:rsidRPr="00D75C4F">
        <w:rPr>
          <w:rFonts w:ascii="Times New Roman" w:eastAsia="Calibri" w:hAnsi="Times New Roman" w:cs="Times New Roman"/>
          <w:sz w:val="28"/>
          <w:szCs w:val="28"/>
        </w:rPr>
        <w:t xml:space="preserve">75 видов межбюджетных трансфертов) </w:t>
      </w:r>
      <w:r w:rsidRPr="00D75C4F">
        <w:rPr>
          <w:rFonts w:ascii="Times New Roman" w:eastAsia="Calibri" w:hAnsi="Times New Roman" w:cs="Times New Roman"/>
          <w:i/>
          <w:spacing w:val="-4"/>
          <w:sz w:val="28"/>
          <w:szCs w:val="28"/>
        </w:rPr>
        <w:t>в разрезе муниципальных образований</w:t>
      </w:r>
      <w:r w:rsidRPr="00D75C4F">
        <w:rPr>
          <w:rFonts w:ascii="Times New Roman" w:eastAsia="Calibri" w:hAnsi="Times New Roman" w:cs="Times New Roman"/>
          <w:spacing w:val="-4"/>
          <w:sz w:val="28"/>
          <w:szCs w:val="28"/>
        </w:rPr>
        <w:t xml:space="preserve"> показал, что наибольший объем предусматривается направить следующим</w:t>
      </w:r>
      <w:r>
        <w:rPr>
          <w:rFonts w:ascii="Times New Roman" w:eastAsia="Times New Roman" w:hAnsi="Times New Roman" w:cs="Times New Roman"/>
          <w:sz w:val="28"/>
          <w:szCs w:val="28"/>
          <w:lang w:eastAsia="ru-RU"/>
        </w:rPr>
        <w:t xml:space="preserve"> муниципальным образованиям: </w:t>
      </w:r>
      <w:r w:rsidRPr="00EC20D6">
        <w:rPr>
          <w:rFonts w:ascii="Times New Roman" w:eastAsia="Times New Roman" w:hAnsi="Times New Roman" w:cs="Times New Roman"/>
          <w:sz w:val="28"/>
          <w:szCs w:val="28"/>
          <w:lang w:eastAsia="ru-RU"/>
        </w:rPr>
        <w:t xml:space="preserve">город Тула (36,8% от общего объема распределенных межбюджетных трансфертов – 10 175,3 млн. рублей); город Новомосковск (7,8% – 2 149,2 млн. рублей); </w:t>
      </w:r>
      <w:proofErr w:type="spellStart"/>
      <w:r w:rsidRPr="00EC20D6">
        <w:rPr>
          <w:rFonts w:ascii="Times New Roman" w:eastAsia="Times New Roman" w:hAnsi="Times New Roman" w:cs="Times New Roman"/>
          <w:sz w:val="28"/>
          <w:szCs w:val="28"/>
          <w:lang w:eastAsia="ru-RU"/>
        </w:rPr>
        <w:t>Щекинский</w:t>
      </w:r>
      <w:proofErr w:type="spellEnd"/>
      <w:r w:rsidRPr="00EC20D6">
        <w:rPr>
          <w:rFonts w:ascii="Times New Roman" w:eastAsia="Times New Roman" w:hAnsi="Times New Roman" w:cs="Times New Roman"/>
          <w:sz w:val="28"/>
          <w:szCs w:val="28"/>
          <w:lang w:eastAsia="ru-RU"/>
        </w:rPr>
        <w:t xml:space="preserve"> район (5,6% – 1 557,3 млн. рублей); город Донской (5,3% – 1 455,3 млн. рублей); </w:t>
      </w:r>
      <w:proofErr w:type="spellStart"/>
      <w:r w:rsidRPr="00EC20D6">
        <w:rPr>
          <w:rFonts w:ascii="Times New Roman" w:eastAsia="Times New Roman" w:hAnsi="Times New Roman" w:cs="Times New Roman"/>
          <w:sz w:val="28"/>
          <w:szCs w:val="28"/>
          <w:lang w:eastAsia="ru-RU"/>
        </w:rPr>
        <w:t>Узловский</w:t>
      </w:r>
      <w:proofErr w:type="spellEnd"/>
      <w:r w:rsidRPr="00EC20D6">
        <w:rPr>
          <w:rFonts w:ascii="Times New Roman" w:eastAsia="Times New Roman" w:hAnsi="Times New Roman" w:cs="Times New Roman"/>
          <w:sz w:val="28"/>
          <w:szCs w:val="28"/>
          <w:lang w:eastAsia="ru-RU"/>
        </w:rPr>
        <w:t xml:space="preserve"> район (5,1% – 1 419,6</w:t>
      </w:r>
      <w:r>
        <w:rPr>
          <w:rFonts w:ascii="Times New Roman" w:eastAsia="Times New Roman" w:hAnsi="Times New Roman" w:cs="Times New Roman"/>
          <w:sz w:val="28"/>
          <w:szCs w:val="28"/>
          <w:lang w:eastAsia="ru-RU"/>
        </w:rPr>
        <w:t xml:space="preserve"> млн. рублей). </w:t>
      </w:r>
      <w:r w:rsidRPr="00D75C4F">
        <w:rPr>
          <w:rFonts w:ascii="Times New Roman" w:eastAsia="Calibri" w:hAnsi="Times New Roman" w:cs="Times New Roman"/>
          <w:sz w:val="28"/>
          <w:szCs w:val="28"/>
        </w:rPr>
        <w:t>Сведения об объемах межбюджетных трансфертов, распределяемых бюджетам муниципальных образований на 2022 год, представлены в приложении №</w:t>
      </w:r>
      <w:r w:rsidR="00B45C48">
        <w:rPr>
          <w:rFonts w:ascii="Times New Roman" w:eastAsia="Calibri" w:hAnsi="Times New Roman" w:cs="Times New Roman"/>
          <w:sz w:val="28"/>
          <w:szCs w:val="28"/>
        </w:rPr>
        <w:t>8</w:t>
      </w:r>
      <w:r w:rsidRPr="00D75C4F">
        <w:rPr>
          <w:rFonts w:ascii="Times New Roman" w:eastAsia="Calibri" w:hAnsi="Times New Roman" w:cs="Times New Roman"/>
          <w:sz w:val="28"/>
          <w:szCs w:val="28"/>
        </w:rPr>
        <w:t>.</w:t>
      </w:r>
    </w:p>
    <w:p w14:paraId="5218B66B" w14:textId="3C45D36A" w:rsidR="005036FD" w:rsidRPr="00B55DFD" w:rsidRDefault="005036FD" w:rsidP="005036FD">
      <w:pPr>
        <w:spacing w:before="120" w:after="0" w:line="240" w:lineRule="auto"/>
        <w:ind w:firstLine="709"/>
        <w:jc w:val="both"/>
        <w:rPr>
          <w:rFonts w:ascii="Times New Roman" w:eastAsia="Calibri" w:hAnsi="Times New Roman" w:cs="Times New Roman"/>
          <w:spacing w:val="-4"/>
          <w:sz w:val="28"/>
          <w:szCs w:val="28"/>
        </w:rPr>
      </w:pPr>
      <w:r w:rsidRPr="00B55DFD">
        <w:rPr>
          <w:rFonts w:ascii="Times New Roman" w:eastAsia="Calibri" w:hAnsi="Times New Roman" w:cs="Times New Roman"/>
          <w:spacing w:val="-4"/>
          <w:sz w:val="28"/>
          <w:szCs w:val="28"/>
        </w:rPr>
        <w:t xml:space="preserve">Межбюджетные трансферты бюджетам </w:t>
      </w:r>
      <w:r w:rsidR="00A36229" w:rsidRPr="00B55DFD">
        <w:rPr>
          <w:rFonts w:ascii="Times New Roman" w:eastAsia="Calibri" w:hAnsi="Times New Roman" w:cs="Times New Roman"/>
          <w:spacing w:val="-4"/>
          <w:sz w:val="28"/>
          <w:szCs w:val="28"/>
        </w:rPr>
        <w:t>муниципальных образований</w:t>
      </w:r>
      <w:r w:rsidRPr="00B55DFD">
        <w:rPr>
          <w:rFonts w:ascii="Times New Roman" w:eastAsia="Calibri" w:hAnsi="Times New Roman" w:cs="Times New Roman"/>
          <w:spacing w:val="-4"/>
          <w:sz w:val="28"/>
          <w:szCs w:val="28"/>
        </w:rPr>
        <w:t xml:space="preserve"> на 2022 год предусматриваются с соблюдением норм статей 137, 138, 138.4, 139, 139.1, 140 БК РФ, за исключением изложенного ниже.</w:t>
      </w:r>
    </w:p>
    <w:p w14:paraId="191B031C" w14:textId="77777777" w:rsidR="005036FD" w:rsidRPr="00B55DFD" w:rsidRDefault="005036FD" w:rsidP="005036FD">
      <w:pPr>
        <w:spacing w:after="0" w:line="240" w:lineRule="auto"/>
        <w:ind w:firstLine="709"/>
        <w:jc w:val="both"/>
        <w:rPr>
          <w:rFonts w:ascii="Times New Roman" w:eastAsia="Times New Roman" w:hAnsi="Times New Roman" w:cs="Times New Roman"/>
          <w:spacing w:val="-4"/>
          <w:sz w:val="28"/>
          <w:szCs w:val="28"/>
          <w:lang w:eastAsia="ru-RU"/>
        </w:rPr>
      </w:pPr>
      <w:r w:rsidRPr="00B55DFD">
        <w:rPr>
          <w:rFonts w:ascii="Times New Roman" w:hAnsi="Times New Roman" w:cs="Times New Roman"/>
          <w:spacing w:val="-4"/>
          <w:kern w:val="28"/>
          <w:sz w:val="28"/>
          <w:szCs w:val="28"/>
        </w:rPr>
        <w:t>Статьей 139.1 БК РФ установлено, что</w:t>
      </w:r>
      <w:r w:rsidRPr="00B55DFD">
        <w:rPr>
          <w:rFonts w:ascii="Times New Roman" w:hAnsi="Times New Roman" w:cs="Times New Roman"/>
          <w:spacing w:val="-4"/>
          <w:sz w:val="28"/>
          <w:szCs w:val="28"/>
        </w:rPr>
        <w:t xml:space="preserve"> «</w:t>
      </w:r>
      <w:r w:rsidRPr="00B55DFD">
        <w:rPr>
          <w:rFonts w:ascii="Times New Roman" w:eastAsia="Times New Roman" w:hAnsi="Times New Roman" w:cs="Times New Roman"/>
          <w:spacing w:val="-4"/>
          <w:sz w:val="28"/>
          <w:szCs w:val="28"/>
          <w:lang w:eastAsia="ru-RU"/>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w:t>
      </w:r>
      <w:r w:rsidRPr="00B55DFD">
        <w:rPr>
          <w:rFonts w:ascii="Times New Roman" w:eastAsia="Times New Roman" w:hAnsi="Times New Roman" w:cs="Times New Roman"/>
          <w:i/>
          <w:spacing w:val="-4"/>
          <w:sz w:val="28"/>
          <w:szCs w:val="28"/>
          <w:lang w:eastAsia="ru-RU"/>
        </w:rPr>
        <w:t>не может превышать 15 процентов</w:t>
      </w:r>
      <w:r w:rsidRPr="00B55DFD">
        <w:rPr>
          <w:rFonts w:ascii="Times New Roman" w:eastAsia="Times New Roman" w:hAnsi="Times New Roman" w:cs="Times New Roman"/>
          <w:spacing w:val="-4"/>
          <w:sz w:val="28"/>
          <w:szCs w:val="28"/>
          <w:lang w:eastAsia="ru-RU"/>
        </w:rPr>
        <w:t xml:space="preserve">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3C5313A7" w14:textId="77777777" w:rsidR="005036FD" w:rsidRPr="00B55DFD" w:rsidRDefault="005036FD" w:rsidP="005036FD">
      <w:pPr>
        <w:autoSpaceDE w:val="0"/>
        <w:autoSpaceDN w:val="0"/>
        <w:adjustRightInd w:val="0"/>
        <w:spacing w:after="0" w:line="240" w:lineRule="auto"/>
        <w:ind w:firstLine="709"/>
        <w:jc w:val="both"/>
        <w:rPr>
          <w:rFonts w:ascii="Times New Roman" w:hAnsi="Times New Roman" w:cs="Times New Roman"/>
          <w:spacing w:val="-4"/>
          <w:sz w:val="28"/>
          <w:szCs w:val="28"/>
        </w:rPr>
      </w:pPr>
      <w:r w:rsidRPr="00B55DFD">
        <w:rPr>
          <w:rFonts w:ascii="Times New Roman" w:hAnsi="Times New Roman" w:cs="Times New Roman"/>
          <w:spacing w:val="-4"/>
          <w:kern w:val="28"/>
          <w:sz w:val="28"/>
          <w:szCs w:val="28"/>
        </w:rPr>
        <w:t xml:space="preserve">Проверкой соблюдения норм указанной статьи установлено, что при формировании объемов бюджетных ассигнований на предоставление иных межбюджетных трансфертов и дотаций </w:t>
      </w:r>
      <w:r w:rsidRPr="00B55DFD">
        <w:rPr>
          <w:rFonts w:ascii="Times New Roman" w:hAnsi="Times New Roman" w:cs="Times New Roman"/>
          <w:spacing w:val="-4"/>
          <w:sz w:val="28"/>
          <w:szCs w:val="28"/>
        </w:rPr>
        <w:t>на поддержку мер по обеспечению сбалансированности</w:t>
      </w:r>
      <w:r w:rsidRPr="00B55DFD">
        <w:rPr>
          <w:rFonts w:ascii="Times New Roman" w:hAnsi="Times New Roman" w:cs="Times New Roman"/>
          <w:spacing w:val="-4"/>
          <w:kern w:val="28"/>
          <w:sz w:val="28"/>
          <w:szCs w:val="28"/>
        </w:rPr>
        <w:t xml:space="preserve"> на 2022 год превышено ограничение (15%) </w:t>
      </w:r>
      <w:r w:rsidRPr="00B55DFD">
        <w:rPr>
          <w:rFonts w:ascii="Times New Roman" w:eastAsia="Calibri" w:hAnsi="Times New Roman" w:cs="Times New Roman"/>
          <w:spacing w:val="-4"/>
          <w:sz w:val="28"/>
          <w:szCs w:val="28"/>
        </w:rPr>
        <w:t>на 1 666 978,6 тыс. рублей</w:t>
      </w:r>
      <w:r w:rsidRPr="00B55DFD">
        <w:rPr>
          <w:rFonts w:ascii="Times New Roman" w:hAnsi="Times New Roman" w:cs="Times New Roman"/>
          <w:spacing w:val="-4"/>
          <w:kern w:val="28"/>
          <w:sz w:val="28"/>
          <w:szCs w:val="28"/>
        </w:rPr>
        <w:t>.</w:t>
      </w:r>
    </w:p>
    <w:p w14:paraId="5A25B646" w14:textId="43EDB847" w:rsidR="005036FD" w:rsidRPr="00BF5B64" w:rsidRDefault="005036FD" w:rsidP="005036FD">
      <w:pPr>
        <w:spacing w:before="40" w:after="0" w:line="240" w:lineRule="auto"/>
        <w:ind w:firstLine="709"/>
        <w:jc w:val="both"/>
        <w:rPr>
          <w:rFonts w:ascii="Times New Roman" w:eastAsia="Calibri" w:hAnsi="Times New Roman" w:cs="Times New Roman"/>
          <w:bCs/>
          <w:spacing w:val="-4"/>
          <w:sz w:val="28"/>
          <w:szCs w:val="28"/>
        </w:rPr>
      </w:pPr>
      <w:r w:rsidRPr="00B96975">
        <w:rPr>
          <w:rFonts w:ascii="Times New Roman" w:eastAsia="Calibri" w:hAnsi="Times New Roman" w:cs="Times New Roman"/>
          <w:spacing w:val="-4"/>
          <w:sz w:val="28"/>
          <w:szCs w:val="28"/>
        </w:rPr>
        <w:t xml:space="preserve">В 2022 </w:t>
      </w:r>
      <w:r w:rsidRPr="00B96975">
        <w:rPr>
          <w:rFonts w:ascii="Times New Roman" w:eastAsia="Calibri" w:hAnsi="Times New Roman" w:cs="Times New Roman"/>
          <w:bCs/>
          <w:spacing w:val="-4"/>
          <w:sz w:val="28"/>
          <w:szCs w:val="28"/>
        </w:rPr>
        <w:t xml:space="preserve">году общий объем </w:t>
      </w:r>
      <w:r w:rsidRPr="00B96975">
        <w:rPr>
          <w:rFonts w:ascii="Times New Roman" w:eastAsia="Calibri" w:hAnsi="Times New Roman" w:cs="Times New Roman"/>
          <w:bCs/>
          <w:i/>
          <w:spacing w:val="-4"/>
          <w:sz w:val="28"/>
          <w:szCs w:val="28"/>
        </w:rPr>
        <w:t>дотаций</w:t>
      </w:r>
      <w:r w:rsidRPr="00B96975">
        <w:rPr>
          <w:rFonts w:ascii="Times New Roman" w:eastAsia="Calibri" w:hAnsi="Times New Roman" w:cs="Times New Roman"/>
          <w:bCs/>
          <w:spacing w:val="-4"/>
          <w:sz w:val="28"/>
          <w:szCs w:val="28"/>
        </w:rPr>
        <w:t xml:space="preserve"> предусматривается в размере </w:t>
      </w:r>
      <w:r w:rsidRPr="00655B3D">
        <w:rPr>
          <w:rFonts w:ascii="Times New Roman" w:eastAsia="Calibri" w:hAnsi="Times New Roman" w:cs="Times New Roman"/>
          <w:bCs/>
          <w:spacing w:val="-4"/>
          <w:sz w:val="28"/>
          <w:szCs w:val="28"/>
        </w:rPr>
        <w:t>2 412 526,8</w:t>
      </w:r>
      <w:r>
        <w:rPr>
          <w:rFonts w:ascii="Times New Roman" w:eastAsia="Calibri" w:hAnsi="Times New Roman" w:cs="Times New Roman"/>
          <w:bCs/>
          <w:spacing w:val="-4"/>
          <w:sz w:val="28"/>
          <w:szCs w:val="28"/>
        </w:rPr>
        <w:t xml:space="preserve"> тыс. рублей, в том числе: </w:t>
      </w:r>
      <w:r w:rsidRPr="00655B3D">
        <w:rPr>
          <w:rFonts w:ascii="Times New Roman" w:eastAsia="Calibri" w:hAnsi="Times New Roman" w:cs="Times New Roman"/>
          <w:bCs/>
          <w:spacing w:val="-4"/>
          <w:sz w:val="28"/>
          <w:szCs w:val="28"/>
        </w:rPr>
        <w:t xml:space="preserve">дотации на выравнивание бюджетной обеспеченности муниципальных районов (городских округов) – 1 648 654,0 тыс. </w:t>
      </w:r>
      <w:r w:rsidRPr="00F45C06">
        <w:rPr>
          <w:rFonts w:ascii="Times New Roman" w:eastAsia="Calibri" w:hAnsi="Times New Roman" w:cs="Times New Roman"/>
          <w:bCs/>
          <w:spacing w:val="-4"/>
          <w:sz w:val="28"/>
          <w:szCs w:val="28"/>
        </w:rPr>
        <w:t>рублей (с ростом к утвержденному показателю на 2021 год в 4,1%),</w:t>
      </w:r>
      <w:r w:rsidRPr="00655B3D">
        <w:rPr>
          <w:rFonts w:ascii="Times New Roman" w:eastAsia="Calibri" w:hAnsi="Times New Roman" w:cs="Times New Roman"/>
          <w:bCs/>
          <w:spacing w:val="-4"/>
          <w:sz w:val="28"/>
          <w:szCs w:val="28"/>
        </w:rPr>
        <w:t xml:space="preserve"> расчет указанных дотаций осуществлен министерством финансов </w:t>
      </w:r>
      <w:r w:rsidR="004D1099">
        <w:rPr>
          <w:rFonts w:ascii="Times New Roman" w:eastAsia="Calibri" w:hAnsi="Times New Roman" w:cs="Times New Roman"/>
          <w:bCs/>
          <w:spacing w:val="-4"/>
          <w:sz w:val="28"/>
          <w:szCs w:val="28"/>
        </w:rPr>
        <w:t xml:space="preserve">Тульской </w:t>
      </w:r>
      <w:r w:rsidRPr="00655B3D">
        <w:rPr>
          <w:rFonts w:ascii="Times New Roman" w:eastAsia="Calibri" w:hAnsi="Times New Roman" w:cs="Times New Roman"/>
          <w:bCs/>
          <w:spacing w:val="-4"/>
          <w:sz w:val="28"/>
          <w:szCs w:val="28"/>
        </w:rPr>
        <w:t>области в соответствии с методиками расчета, утвержденными Законом области о межбюджетных отношениях, с</w:t>
      </w:r>
      <w:r w:rsidRPr="00655B3D">
        <w:rPr>
          <w:rFonts w:ascii="Times New Roman" w:eastAsia="Calibri" w:hAnsi="Times New Roman" w:cs="Times New Roman"/>
          <w:spacing w:val="-4"/>
          <w:sz w:val="28"/>
          <w:szCs w:val="28"/>
        </w:rPr>
        <w:t xml:space="preserve"> соблюдением норм, установленных статьей 138 БК РФ</w:t>
      </w:r>
      <w:r w:rsidRPr="00BC4DD0">
        <w:rPr>
          <w:rFonts w:ascii="Times New Roman" w:eastAsia="Calibri" w:hAnsi="Times New Roman" w:cs="Times New Roman"/>
          <w:spacing w:val="-4"/>
          <w:sz w:val="28"/>
          <w:szCs w:val="28"/>
        </w:rPr>
        <w:t>;</w:t>
      </w:r>
      <w:r>
        <w:rPr>
          <w:rFonts w:ascii="Times New Roman" w:eastAsia="Calibri" w:hAnsi="Times New Roman" w:cs="Times New Roman"/>
          <w:bCs/>
          <w:spacing w:val="-4"/>
          <w:sz w:val="28"/>
          <w:szCs w:val="28"/>
        </w:rPr>
        <w:t xml:space="preserve"> дотации </w:t>
      </w:r>
      <w:r w:rsidRPr="002646B9">
        <w:rPr>
          <w:rFonts w:ascii="Times New Roman" w:eastAsia="Calibri" w:hAnsi="Times New Roman" w:cs="Times New Roman"/>
          <w:bCs/>
          <w:spacing w:val="-4"/>
          <w:sz w:val="28"/>
          <w:szCs w:val="28"/>
        </w:rPr>
        <w:t>на поддержку мер по обеспечению сбалансированности</w:t>
      </w:r>
      <w:r>
        <w:rPr>
          <w:rFonts w:ascii="Times New Roman" w:eastAsia="Calibri" w:hAnsi="Times New Roman" w:cs="Times New Roman"/>
          <w:bCs/>
          <w:spacing w:val="-4"/>
          <w:sz w:val="28"/>
          <w:szCs w:val="28"/>
        </w:rPr>
        <w:t xml:space="preserve"> </w:t>
      </w:r>
      <w:r w:rsidRPr="00BC4DD0">
        <w:rPr>
          <w:rFonts w:ascii="Times New Roman" w:eastAsia="Calibri" w:hAnsi="Times New Roman" w:cs="Times New Roman"/>
          <w:bCs/>
          <w:spacing w:val="-4"/>
          <w:sz w:val="28"/>
          <w:szCs w:val="28"/>
        </w:rPr>
        <w:t xml:space="preserve">– 451 821,9 тыс. </w:t>
      </w:r>
      <w:r w:rsidRPr="00F45C06">
        <w:rPr>
          <w:rFonts w:ascii="Times New Roman" w:eastAsia="Calibri" w:hAnsi="Times New Roman" w:cs="Times New Roman"/>
          <w:bCs/>
          <w:spacing w:val="-4"/>
          <w:sz w:val="28"/>
          <w:szCs w:val="28"/>
        </w:rPr>
        <w:t>рублей (с ростом к утвержденному показателю на 2021 год в 2,3 раза</w:t>
      </w:r>
      <w:r>
        <w:rPr>
          <w:rFonts w:ascii="Times New Roman" w:eastAsia="Calibri" w:hAnsi="Times New Roman" w:cs="Times New Roman"/>
          <w:bCs/>
          <w:spacing w:val="-4"/>
          <w:sz w:val="28"/>
          <w:szCs w:val="28"/>
        </w:rPr>
        <w:t>); </w:t>
      </w:r>
      <w:r w:rsidRPr="00F45C06">
        <w:rPr>
          <w:rFonts w:ascii="Times New Roman" w:eastAsia="Calibri" w:hAnsi="Times New Roman" w:cs="Times New Roman"/>
          <w:bCs/>
          <w:spacing w:val="-4"/>
          <w:sz w:val="28"/>
          <w:szCs w:val="28"/>
        </w:rPr>
        <w:t>иные дотации</w:t>
      </w:r>
      <w:r>
        <w:rPr>
          <w:rFonts w:ascii="Times New Roman" w:eastAsia="Calibri" w:hAnsi="Times New Roman" w:cs="Times New Roman"/>
          <w:bCs/>
          <w:spacing w:val="-4"/>
          <w:sz w:val="28"/>
          <w:szCs w:val="28"/>
        </w:rPr>
        <w:t xml:space="preserve"> </w:t>
      </w:r>
      <w:r w:rsidRPr="00BC4DD0">
        <w:rPr>
          <w:rFonts w:ascii="Times New Roman" w:eastAsia="Calibri" w:hAnsi="Times New Roman" w:cs="Times New Roman"/>
          <w:color w:val="000000"/>
          <w:spacing w:val="-4"/>
          <w:sz w:val="28"/>
          <w:szCs w:val="28"/>
        </w:rPr>
        <w:t xml:space="preserve">на поощрение достижения наилучших значений показателей деятельности органов местного самоуправления городских </w:t>
      </w:r>
      <w:r>
        <w:rPr>
          <w:rFonts w:ascii="Times New Roman" w:eastAsia="Calibri" w:hAnsi="Times New Roman" w:cs="Times New Roman"/>
          <w:color w:val="000000"/>
          <w:spacing w:val="-4"/>
          <w:sz w:val="28"/>
          <w:szCs w:val="28"/>
        </w:rPr>
        <w:t>округов и муниципальных районов</w:t>
      </w:r>
      <w:r w:rsidRPr="00BC4DD0">
        <w:rPr>
          <w:rFonts w:ascii="Times New Roman" w:eastAsia="Calibri" w:hAnsi="Times New Roman" w:cs="Times New Roman"/>
          <w:color w:val="000000"/>
          <w:spacing w:val="-4"/>
          <w:sz w:val="28"/>
          <w:szCs w:val="28"/>
        </w:rPr>
        <w:t xml:space="preserve"> – 30 000,0 тыс. рублей </w:t>
      </w:r>
      <w:r w:rsidRPr="00F45C06">
        <w:rPr>
          <w:rFonts w:ascii="Times New Roman" w:eastAsia="Calibri" w:hAnsi="Times New Roman" w:cs="Times New Roman"/>
          <w:color w:val="000000"/>
          <w:spacing w:val="-4"/>
          <w:sz w:val="28"/>
          <w:szCs w:val="28"/>
        </w:rPr>
        <w:t xml:space="preserve">(на уровне утвержденного </w:t>
      </w:r>
      <w:r w:rsidRPr="00F45C06">
        <w:rPr>
          <w:rFonts w:ascii="Times New Roman" w:eastAsia="Calibri" w:hAnsi="Times New Roman" w:cs="Times New Roman"/>
          <w:bCs/>
          <w:spacing w:val="-4"/>
          <w:sz w:val="28"/>
          <w:szCs w:val="28"/>
        </w:rPr>
        <w:t>показателя 2021 года)</w:t>
      </w:r>
      <w:r w:rsidRPr="00F45C06">
        <w:rPr>
          <w:rFonts w:ascii="Times New Roman" w:eastAsia="Calibri" w:hAnsi="Times New Roman" w:cs="Times New Roman"/>
          <w:color w:val="000000"/>
          <w:spacing w:val="-4"/>
          <w:sz w:val="28"/>
          <w:szCs w:val="28"/>
        </w:rPr>
        <w:t>;</w:t>
      </w:r>
      <w:r w:rsidRPr="00BC4DD0">
        <w:rPr>
          <w:rFonts w:ascii="Times New Roman" w:eastAsia="Calibri" w:hAnsi="Times New Roman" w:cs="Times New Roman"/>
          <w:color w:val="000000"/>
          <w:spacing w:val="-4"/>
          <w:sz w:val="28"/>
          <w:szCs w:val="28"/>
        </w:rPr>
        <w:t xml:space="preserve"> на стимулирование муниципальных районов и городских </w:t>
      </w:r>
      <w:r w:rsidRPr="00BC4DD0">
        <w:rPr>
          <w:rFonts w:ascii="Times New Roman" w:eastAsia="Calibri" w:hAnsi="Times New Roman" w:cs="Times New Roman"/>
          <w:color w:val="000000"/>
          <w:spacing w:val="-4"/>
          <w:sz w:val="28"/>
          <w:szCs w:val="28"/>
        </w:rPr>
        <w:lastRenderedPageBreak/>
        <w:t xml:space="preserve">округов по улучшению качества управления муниципальными финансами – 10 000,0 тыс. </w:t>
      </w:r>
      <w:r w:rsidRPr="00F45C06">
        <w:rPr>
          <w:rFonts w:ascii="Times New Roman" w:eastAsia="Calibri" w:hAnsi="Times New Roman" w:cs="Times New Roman"/>
          <w:color w:val="000000"/>
          <w:spacing w:val="-4"/>
          <w:sz w:val="28"/>
          <w:szCs w:val="28"/>
        </w:rPr>
        <w:t xml:space="preserve">рублей (на уровне утвержденного </w:t>
      </w:r>
      <w:r w:rsidRPr="00F45C06">
        <w:rPr>
          <w:rFonts w:ascii="Times New Roman" w:eastAsia="Calibri" w:hAnsi="Times New Roman" w:cs="Times New Roman"/>
          <w:bCs/>
          <w:spacing w:val="-4"/>
          <w:sz w:val="28"/>
          <w:szCs w:val="28"/>
        </w:rPr>
        <w:t>показателя 2021 года)</w:t>
      </w:r>
      <w:r w:rsidRPr="00F45C06">
        <w:rPr>
          <w:rFonts w:ascii="Times New Roman" w:eastAsia="Calibri" w:hAnsi="Times New Roman" w:cs="Times New Roman"/>
          <w:color w:val="000000"/>
          <w:spacing w:val="-4"/>
          <w:sz w:val="28"/>
          <w:szCs w:val="28"/>
        </w:rPr>
        <w:t>;</w:t>
      </w:r>
      <w:r w:rsidRPr="00BC4DD0">
        <w:t xml:space="preserve"> </w:t>
      </w:r>
      <w:r w:rsidRPr="00BC4DD0">
        <w:rPr>
          <w:rFonts w:ascii="Times New Roman" w:eastAsia="Calibri" w:hAnsi="Times New Roman" w:cs="Times New Roman"/>
          <w:color w:val="000000"/>
          <w:spacing w:val="-4"/>
          <w:sz w:val="28"/>
          <w:szCs w:val="28"/>
        </w:rPr>
        <w:t xml:space="preserve">на реализацию дополнительных мер поддержки бюджетов муниципальных районов (городских округов) </w:t>
      </w:r>
      <w:r>
        <w:rPr>
          <w:rFonts w:ascii="Times New Roman" w:eastAsia="Calibri" w:hAnsi="Times New Roman" w:cs="Times New Roman"/>
          <w:color w:val="000000"/>
          <w:spacing w:val="-4"/>
          <w:sz w:val="28"/>
          <w:szCs w:val="28"/>
        </w:rPr>
        <w:t xml:space="preserve">– 100 000,0 тыс. рублей </w:t>
      </w:r>
      <w:r w:rsidRPr="00F45C06">
        <w:rPr>
          <w:rFonts w:ascii="Times New Roman" w:eastAsia="Calibri" w:hAnsi="Times New Roman" w:cs="Times New Roman"/>
          <w:color w:val="000000"/>
          <w:spacing w:val="-4"/>
          <w:sz w:val="28"/>
          <w:szCs w:val="28"/>
        </w:rPr>
        <w:t xml:space="preserve">(на уровне утвержденного </w:t>
      </w:r>
      <w:r w:rsidRPr="00F45C06">
        <w:rPr>
          <w:rFonts w:ascii="Times New Roman" w:eastAsia="Calibri" w:hAnsi="Times New Roman" w:cs="Times New Roman"/>
          <w:bCs/>
          <w:spacing w:val="-4"/>
          <w:sz w:val="28"/>
          <w:szCs w:val="28"/>
        </w:rPr>
        <w:t>показателя 2021 года)</w:t>
      </w:r>
      <w:r w:rsidRPr="00F45C06">
        <w:rPr>
          <w:rFonts w:ascii="Times New Roman" w:eastAsia="Calibri" w:hAnsi="Times New Roman" w:cs="Times New Roman"/>
          <w:color w:val="000000"/>
          <w:spacing w:val="-4"/>
          <w:sz w:val="28"/>
          <w:szCs w:val="28"/>
        </w:rPr>
        <w:t xml:space="preserve">; </w:t>
      </w:r>
      <w:r w:rsidRPr="00D61BE8">
        <w:rPr>
          <w:rFonts w:ascii="Times New Roman" w:eastAsia="Calibri" w:hAnsi="Times New Roman" w:cs="Times New Roman"/>
          <w:color w:val="000000"/>
          <w:spacing w:val="-4"/>
          <w:sz w:val="28"/>
          <w:szCs w:val="28"/>
        </w:rPr>
        <w:t>на частичную компенсацию дополнительных расходов на повышение оплаты труда работников муниципальных учреждений культуры</w:t>
      </w:r>
      <w:r>
        <w:rPr>
          <w:rFonts w:ascii="Times New Roman" w:eastAsia="Calibri" w:hAnsi="Times New Roman" w:cs="Times New Roman"/>
          <w:color w:val="000000"/>
          <w:spacing w:val="-4"/>
          <w:sz w:val="28"/>
          <w:szCs w:val="28"/>
        </w:rPr>
        <w:t xml:space="preserve"> – 172 050,9 тыс. </w:t>
      </w:r>
      <w:r w:rsidRPr="00F45C06">
        <w:rPr>
          <w:rFonts w:ascii="Times New Roman" w:eastAsia="Calibri" w:hAnsi="Times New Roman" w:cs="Times New Roman"/>
          <w:color w:val="000000"/>
          <w:spacing w:val="-4"/>
          <w:sz w:val="28"/>
          <w:szCs w:val="28"/>
        </w:rPr>
        <w:t>рублей (в 2021 году не предусматривались</w:t>
      </w:r>
      <w:r w:rsidRPr="00F45C06">
        <w:rPr>
          <w:rFonts w:ascii="Times New Roman" w:eastAsia="Calibri" w:hAnsi="Times New Roman" w:cs="Times New Roman"/>
          <w:bCs/>
          <w:spacing w:val="-4"/>
          <w:sz w:val="28"/>
          <w:szCs w:val="28"/>
        </w:rPr>
        <w:t>).</w:t>
      </w:r>
    </w:p>
    <w:p w14:paraId="73CE75A4" w14:textId="700C267E" w:rsidR="005036FD" w:rsidRPr="00842925" w:rsidRDefault="00B913A1" w:rsidP="005036FD">
      <w:pPr>
        <w:spacing w:before="40" w:after="0" w:line="240" w:lineRule="auto"/>
        <w:ind w:firstLine="709"/>
        <w:jc w:val="both"/>
        <w:rPr>
          <w:rFonts w:ascii="Times New Roman" w:hAnsi="Times New Roman" w:cs="Times New Roman"/>
          <w:sz w:val="28"/>
          <w:szCs w:val="28"/>
        </w:rPr>
      </w:pPr>
      <w:r w:rsidRPr="003721E1">
        <w:rPr>
          <w:rFonts w:ascii="Times New Roman" w:eastAsia="Calibri" w:hAnsi="Times New Roman" w:cs="Times New Roman"/>
          <w:sz w:val="28"/>
          <w:szCs w:val="28"/>
        </w:rPr>
        <w:t xml:space="preserve">Во исполнение положений статьи 139 БК РФ </w:t>
      </w:r>
      <w:r w:rsidR="005036FD" w:rsidRPr="003721E1">
        <w:rPr>
          <w:rFonts w:ascii="Times New Roman" w:eastAsia="Calibri" w:hAnsi="Times New Roman" w:cs="Times New Roman"/>
          <w:sz w:val="28"/>
          <w:szCs w:val="28"/>
        </w:rPr>
        <w:t xml:space="preserve">Законопроектом утверждается </w:t>
      </w:r>
      <w:r w:rsidR="005036FD" w:rsidRPr="003721E1">
        <w:rPr>
          <w:rFonts w:ascii="Times New Roman" w:eastAsia="Calibri" w:hAnsi="Times New Roman" w:cs="Times New Roman"/>
          <w:i/>
          <w:sz w:val="28"/>
          <w:szCs w:val="28"/>
        </w:rPr>
        <w:t>перечень субсидий</w:t>
      </w:r>
      <w:r w:rsidR="005036FD" w:rsidRPr="003721E1">
        <w:rPr>
          <w:rFonts w:ascii="Times New Roman" w:eastAsia="Calibri" w:hAnsi="Times New Roman" w:cs="Times New Roman"/>
          <w:sz w:val="28"/>
          <w:szCs w:val="28"/>
        </w:rPr>
        <w:t xml:space="preserve"> бюджетам муниципальных</w:t>
      </w:r>
      <w:r w:rsidR="005036FD" w:rsidRPr="00953BAA">
        <w:rPr>
          <w:rFonts w:ascii="Times New Roman" w:eastAsia="Calibri" w:hAnsi="Times New Roman" w:cs="Times New Roman"/>
          <w:sz w:val="28"/>
          <w:szCs w:val="28"/>
        </w:rPr>
        <w:t xml:space="preserve"> районов (городских округов) Тульской области, предоставляемых из бюджета области в целях </w:t>
      </w:r>
      <w:proofErr w:type="spellStart"/>
      <w:r w:rsidR="005036FD" w:rsidRPr="00953BAA">
        <w:rPr>
          <w:rFonts w:ascii="Times New Roman" w:eastAsia="Calibri" w:hAnsi="Times New Roman" w:cs="Times New Roman"/>
          <w:sz w:val="28"/>
          <w:szCs w:val="28"/>
        </w:rPr>
        <w:t>софинансирования</w:t>
      </w:r>
      <w:proofErr w:type="spellEnd"/>
      <w:r w:rsidR="005036FD" w:rsidRPr="00953BAA">
        <w:rPr>
          <w:rFonts w:ascii="Times New Roman" w:eastAsia="Calibri"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w:t>
      </w:r>
      <w:r w:rsidR="005036FD" w:rsidRPr="00252033">
        <w:rPr>
          <w:rFonts w:ascii="Times New Roman" w:eastAsia="Calibri" w:hAnsi="Times New Roman" w:cs="Times New Roman"/>
          <w:sz w:val="28"/>
          <w:szCs w:val="28"/>
        </w:rPr>
        <w:t>годов (часть 16 статьи 17 Законопроекта, приложение №21 к Законопроекту</w:t>
      </w:r>
      <w:r w:rsidR="005036FD" w:rsidRPr="00842925">
        <w:rPr>
          <w:rFonts w:ascii="Times New Roman" w:eastAsia="Calibri" w:hAnsi="Times New Roman" w:cs="Times New Roman"/>
          <w:sz w:val="28"/>
          <w:szCs w:val="28"/>
        </w:rPr>
        <w:t xml:space="preserve">). </w:t>
      </w:r>
      <w:r w:rsidR="005036FD" w:rsidRPr="003721E1">
        <w:rPr>
          <w:rFonts w:ascii="Times New Roman" w:eastAsia="Calibri" w:hAnsi="Times New Roman" w:cs="Times New Roman"/>
          <w:sz w:val="28"/>
          <w:szCs w:val="28"/>
        </w:rPr>
        <w:t>Перечень содержит 51 вид субсидий.</w:t>
      </w:r>
      <w:r w:rsidR="005036FD" w:rsidRPr="00842925">
        <w:rPr>
          <w:rFonts w:ascii="Times New Roman" w:hAnsi="Times New Roman" w:cs="Times New Roman"/>
        </w:rPr>
        <w:t xml:space="preserve"> </w:t>
      </w:r>
    </w:p>
    <w:p w14:paraId="52840917" w14:textId="77777777" w:rsidR="005036FD" w:rsidRPr="00077C49" w:rsidRDefault="005036FD" w:rsidP="005036FD">
      <w:pPr>
        <w:spacing w:before="40" w:after="0" w:line="240" w:lineRule="auto"/>
        <w:ind w:firstLine="709"/>
        <w:jc w:val="both"/>
        <w:rPr>
          <w:rFonts w:ascii="Times New Roman" w:eastAsia="Calibri" w:hAnsi="Times New Roman" w:cs="Times New Roman"/>
          <w:sz w:val="28"/>
          <w:szCs w:val="28"/>
        </w:rPr>
      </w:pPr>
      <w:r w:rsidRPr="00077C49">
        <w:rPr>
          <w:rFonts w:ascii="Times New Roman" w:eastAsia="Calibri" w:hAnsi="Times New Roman" w:cs="Times New Roman"/>
          <w:bCs/>
          <w:sz w:val="28"/>
          <w:szCs w:val="28"/>
        </w:rPr>
        <w:t xml:space="preserve">Объемы </w:t>
      </w:r>
      <w:r w:rsidRPr="00077C49">
        <w:rPr>
          <w:rFonts w:ascii="Times New Roman" w:eastAsia="Calibri" w:hAnsi="Times New Roman" w:cs="Times New Roman"/>
          <w:bCs/>
          <w:i/>
          <w:sz w:val="28"/>
          <w:szCs w:val="28"/>
        </w:rPr>
        <w:t>субсидий</w:t>
      </w:r>
      <w:r w:rsidRPr="00077C49">
        <w:rPr>
          <w:rFonts w:ascii="Times New Roman" w:eastAsia="Calibri" w:hAnsi="Times New Roman" w:cs="Times New Roman"/>
          <w:bCs/>
          <w:sz w:val="28"/>
          <w:szCs w:val="28"/>
        </w:rPr>
        <w:t>, распределенные бюджетам муниципальных образований на 2022 год, предусматриваются с соблюдением норм статьи 139 БК РФ</w:t>
      </w:r>
      <w:r w:rsidRPr="00077C49">
        <w:rPr>
          <w:rFonts w:ascii="Times New Roman" w:eastAsia="Calibri" w:hAnsi="Times New Roman" w:cs="Times New Roman"/>
          <w:bCs/>
          <w:sz w:val="28"/>
          <w:szCs w:val="28"/>
          <w:vertAlign w:val="superscript"/>
        </w:rPr>
        <w:footnoteReference w:id="27"/>
      </w:r>
      <w:r w:rsidRPr="00077C49">
        <w:rPr>
          <w:rFonts w:ascii="Times New Roman" w:eastAsia="Calibri" w:hAnsi="Times New Roman" w:cs="Times New Roman"/>
          <w:bCs/>
          <w:sz w:val="28"/>
          <w:szCs w:val="28"/>
        </w:rPr>
        <w:t>.</w:t>
      </w:r>
      <w:r w:rsidRPr="00077C49">
        <w:rPr>
          <w:rFonts w:ascii="Times New Roman" w:eastAsia="Calibri" w:hAnsi="Times New Roman" w:cs="Times New Roman"/>
          <w:sz w:val="28"/>
          <w:szCs w:val="28"/>
        </w:rPr>
        <w:t> Анализ представленных сведений об объемах субсидий, распределенных бюджетам муниципальных образований (таблицы 4-37, 73 приложения №19 Законопроекта; приложение №13 Законопроекта) показал, что на 2022 год: Законопроектом распределены 5 006 363,1 тыс. рублей, что составляет 86,2% от общего объема субсидий; на конкурсной основе согласно утвержденных порядков предоставления и распределения (проектов порядков) соответствующих субсидий распределяются 804 180,0 тыс. рублей, что составляет 13,8% от общего объема субсидий.</w:t>
      </w:r>
    </w:p>
    <w:p w14:paraId="2E5DA294" w14:textId="2137A6BB" w:rsidR="005036FD" w:rsidRPr="00077C49" w:rsidRDefault="005036FD" w:rsidP="005036FD">
      <w:pPr>
        <w:spacing w:before="40" w:after="0" w:line="240" w:lineRule="auto"/>
        <w:ind w:firstLine="709"/>
        <w:jc w:val="both"/>
        <w:rPr>
          <w:rFonts w:ascii="Times New Roman" w:hAnsi="Times New Roman" w:cs="Times New Roman"/>
          <w:spacing w:val="4"/>
          <w:sz w:val="28"/>
          <w:szCs w:val="28"/>
        </w:rPr>
      </w:pPr>
      <w:r w:rsidRPr="00077C49">
        <w:rPr>
          <w:rFonts w:ascii="Times New Roman" w:eastAsia="Calibri" w:hAnsi="Times New Roman" w:cs="Times New Roman"/>
          <w:bCs/>
          <w:sz w:val="28"/>
          <w:szCs w:val="28"/>
        </w:rPr>
        <w:t xml:space="preserve">Объемы </w:t>
      </w:r>
      <w:r w:rsidRPr="00077C49">
        <w:rPr>
          <w:rFonts w:ascii="Times New Roman" w:eastAsia="Calibri" w:hAnsi="Times New Roman" w:cs="Times New Roman"/>
          <w:bCs/>
          <w:i/>
          <w:sz w:val="28"/>
          <w:szCs w:val="28"/>
        </w:rPr>
        <w:t>субвенций</w:t>
      </w:r>
      <w:r w:rsidRPr="00077C49">
        <w:rPr>
          <w:rFonts w:ascii="Times New Roman" w:eastAsia="Calibri" w:hAnsi="Times New Roman" w:cs="Times New Roman"/>
          <w:bCs/>
          <w:sz w:val="28"/>
          <w:szCs w:val="28"/>
        </w:rPr>
        <w:t>, распределенные бюджетам муниципальных образований на 2022 год, предусматриваются с соблюдением норм статьи 140 БК РФ</w:t>
      </w:r>
      <w:r w:rsidRPr="00077C49">
        <w:rPr>
          <w:rFonts w:ascii="Times New Roman" w:eastAsia="Calibri" w:hAnsi="Times New Roman" w:cs="Times New Roman"/>
          <w:bCs/>
          <w:sz w:val="28"/>
          <w:szCs w:val="28"/>
          <w:vertAlign w:val="superscript"/>
        </w:rPr>
        <w:footnoteReference w:id="28"/>
      </w:r>
      <w:r w:rsidRPr="00077C49">
        <w:rPr>
          <w:rFonts w:ascii="Times New Roman" w:eastAsia="Calibri" w:hAnsi="Times New Roman" w:cs="Times New Roman"/>
          <w:bCs/>
          <w:sz w:val="28"/>
          <w:szCs w:val="28"/>
        </w:rPr>
        <w:t xml:space="preserve">. </w:t>
      </w:r>
      <w:r w:rsidRPr="00077C49">
        <w:rPr>
          <w:rFonts w:ascii="Times New Roman" w:hAnsi="Times New Roman" w:cs="Times New Roman"/>
          <w:sz w:val="28"/>
          <w:szCs w:val="28"/>
        </w:rPr>
        <w:t>Анализ распределения</w:t>
      </w:r>
      <w:r w:rsidRPr="00077C49">
        <w:rPr>
          <w:rFonts w:ascii="Times New Roman" w:eastAsia="Calibri" w:hAnsi="Times New Roman" w:cs="Times New Roman"/>
          <w:sz w:val="28"/>
          <w:szCs w:val="28"/>
        </w:rPr>
        <w:t xml:space="preserve"> бюджетам муниципальных образований </w:t>
      </w:r>
      <w:r w:rsidRPr="00077C49">
        <w:rPr>
          <w:rFonts w:ascii="Times New Roman" w:eastAsia="Calibri" w:hAnsi="Times New Roman" w:cs="Times New Roman"/>
          <w:sz w:val="28"/>
          <w:szCs w:val="28"/>
        </w:rPr>
        <w:lastRenderedPageBreak/>
        <w:t xml:space="preserve">субвенций (таблицы 38-58 приложения №19 Законопроекта) </w:t>
      </w:r>
      <w:r w:rsidRPr="00077C49">
        <w:rPr>
          <w:rFonts w:ascii="Times New Roman" w:hAnsi="Times New Roman" w:cs="Times New Roman"/>
          <w:sz w:val="28"/>
          <w:szCs w:val="28"/>
        </w:rPr>
        <w:t xml:space="preserve">показал, что на 2022 </w:t>
      </w:r>
      <w:r w:rsidR="00B55DFD" w:rsidRPr="00077C49">
        <w:rPr>
          <w:rFonts w:ascii="Times New Roman" w:hAnsi="Times New Roman" w:cs="Times New Roman"/>
          <w:sz w:val="28"/>
          <w:szCs w:val="28"/>
        </w:rPr>
        <w:t>год</w:t>
      </w:r>
      <w:r w:rsidR="00B55DFD">
        <w:rPr>
          <w:rFonts w:ascii="Times New Roman" w:hAnsi="Times New Roman" w:cs="Times New Roman"/>
          <w:spacing w:val="-4"/>
          <w:sz w:val="28"/>
          <w:szCs w:val="28"/>
        </w:rPr>
        <w:t xml:space="preserve"> </w:t>
      </w:r>
      <w:r w:rsidRPr="00077C49">
        <w:rPr>
          <w:rFonts w:ascii="Times New Roman" w:hAnsi="Times New Roman" w:cs="Times New Roman"/>
          <w:spacing w:val="4"/>
          <w:sz w:val="28"/>
          <w:szCs w:val="28"/>
        </w:rPr>
        <w:t xml:space="preserve">Законопроектом распределены </w:t>
      </w:r>
      <w:r w:rsidRPr="00077C49">
        <w:rPr>
          <w:rFonts w:ascii="Times New Roman" w:eastAsia="Times New Roman" w:hAnsi="Times New Roman" w:cs="Times New Roman"/>
          <w:spacing w:val="4"/>
          <w:sz w:val="28"/>
          <w:szCs w:val="28"/>
          <w:lang w:eastAsia="ru-RU"/>
        </w:rPr>
        <w:t>все субвенции, за исключением нераспределенной части одной субвенции</w:t>
      </w:r>
      <w:r w:rsidRPr="00077C49">
        <w:rPr>
          <w:rFonts w:ascii="Times New Roman" w:eastAsia="Times New Roman" w:hAnsi="Times New Roman" w:cs="Times New Roman"/>
          <w:spacing w:val="4"/>
          <w:sz w:val="28"/>
          <w:szCs w:val="28"/>
          <w:vertAlign w:val="superscript"/>
          <w:lang w:eastAsia="ru-RU"/>
        </w:rPr>
        <w:footnoteReference w:id="29"/>
      </w:r>
      <w:r w:rsidRPr="00077C49">
        <w:rPr>
          <w:rFonts w:ascii="Times New Roman" w:eastAsia="Times New Roman" w:hAnsi="Times New Roman" w:cs="Times New Roman"/>
          <w:spacing w:val="4"/>
          <w:sz w:val="28"/>
          <w:szCs w:val="28"/>
          <w:lang w:eastAsia="ru-RU"/>
        </w:rPr>
        <w:t xml:space="preserve">, объем которой </w:t>
      </w:r>
      <w:r w:rsidRPr="00077C49">
        <w:rPr>
          <w:rFonts w:ascii="Times New Roman" w:eastAsia="Calibri" w:hAnsi="Times New Roman" w:cs="Times New Roman"/>
          <w:bCs/>
          <w:spacing w:val="4"/>
          <w:sz w:val="28"/>
          <w:szCs w:val="28"/>
        </w:rPr>
        <w:t xml:space="preserve">не превышает установленное </w:t>
      </w:r>
      <w:r w:rsidRPr="00077C49">
        <w:rPr>
          <w:rFonts w:ascii="Times New Roman" w:hAnsi="Times New Roman" w:cs="Times New Roman"/>
          <w:spacing w:val="4"/>
          <w:kern w:val="28"/>
          <w:sz w:val="28"/>
          <w:szCs w:val="28"/>
        </w:rPr>
        <w:t>статьей 140 БК РФ</w:t>
      </w:r>
      <w:r w:rsidRPr="00077C49">
        <w:rPr>
          <w:rFonts w:ascii="Times New Roman" w:eastAsia="Calibri" w:hAnsi="Times New Roman" w:cs="Times New Roman"/>
          <w:bCs/>
          <w:spacing w:val="4"/>
          <w:sz w:val="28"/>
          <w:szCs w:val="28"/>
        </w:rPr>
        <w:t xml:space="preserve"> ограничение в </w:t>
      </w:r>
      <w:r w:rsidRPr="00077C49">
        <w:rPr>
          <w:rFonts w:ascii="Times New Roman" w:eastAsia="Calibri" w:hAnsi="Times New Roman" w:cs="Times New Roman"/>
          <w:color w:val="000000"/>
          <w:spacing w:val="4"/>
          <w:sz w:val="28"/>
          <w:szCs w:val="28"/>
        </w:rPr>
        <w:t xml:space="preserve">5% </w:t>
      </w:r>
      <w:r w:rsidRPr="00077C49">
        <w:rPr>
          <w:rFonts w:ascii="Times New Roman" w:eastAsia="Calibri" w:hAnsi="Times New Roman" w:cs="Times New Roman"/>
          <w:spacing w:val="4"/>
          <w:sz w:val="28"/>
          <w:szCs w:val="28"/>
        </w:rPr>
        <w:t xml:space="preserve">общего объема соответствующей субвенции. </w:t>
      </w:r>
    </w:p>
    <w:p w14:paraId="0C07D7E6" w14:textId="77777777" w:rsidR="00222342" w:rsidRPr="00077C49" w:rsidRDefault="00222342" w:rsidP="00222342">
      <w:pPr>
        <w:spacing w:after="0" w:line="240" w:lineRule="auto"/>
        <w:ind w:firstLine="709"/>
        <w:jc w:val="both"/>
        <w:rPr>
          <w:rFonts w:ascii="Times New Roman" w:eastAsia="Times New Roman" w:hAnsi="Times New Roman" w:cs="Times New Roman"/>
          <w:spacing w:val="4"/>
          <w:sz w:val="28"/>
          <w:szCs w:val="28"/>
          <w:lang w:eastAsia="ru-RU"/>
        </w:rPr>
      </w:pPr>
      <w:r w:rsidRPr="00077C49">
        <w:rPr>
          <w:rFonts w:ascii="Times New Roman" w:eastAsia="Times New Roman" w:hAnsi="Times New Roman" w:cs="Times New Roman"/>
          <w:spacing w:val="4"/>
          <w:kern w:val="28"/>
          <w:sz w:val="28"/>
          <w:szCs w:val="28"/>
          <w:lang w:eastAsia="ru-RU"/>
        </w:rPr>
        <w:t xml:space="preserve">В соответствии с положениями статей 137, 138, 138.4, 139, 139.1, 140 БК РФ порядок предоставления и распределения каждого межбюджетного трансферта устанавливается законами субъекта РФ и (или) </w:t>
      </w:r>
      <w:r w:rsidRPr="00077C49">
        <w:rPr>
          <w:rFonts w:ascii="Times New Roman" w:eastAsia="Times New Roman" w:hAnsi="Times New Roman" w:cs="Times New Roman"/>
          <w:spacing w:val="4"/>
          <w:sz w:val="28"/>
          <w:szCs w:val="28"/>
          <w:lang w:eastAsia="ru-RU"/>
        </w:rPr>
        <w:t>нормативными правовыми актами высшего исполнительного органа государственной власти субъекта РФ. В соответствии со статьей 16 Закона о бюджетном процессе области одновременно с Законопроектом представлены методики (проекты методик), определяющие порядок предоставления и распределения и расчеты объемов межбюджетных трансфертов местным бюджетам (приложение №12 к письму Губернатора).</w:t>
      </w:r>
    </w:p>
    <w:p w14:paraId="23F24FA0" w14:textId="4EA7EB6D" w:rsidR="00222342" w:rsidRPr="00222342" w:rsidRDefault="00222342" w:rsidP="00222342">
      <w:pPr>
        <w:spacing w:after="0" w:line="240" w:lineRule="auto"/>
        <w:ind w:firstLine="709"/>
        <w:jc w:val="both"/>
        <w:rPr>
          <w:rFonts w:ascii="Times New Roman" w:eastAsia="Times New Roman" w:hAnsi="Times New Roman" w:cs="Times New Roman"/>
          <w:strike/>
          <w:sz w:val="28"/>
          <w:szCs w:val="28"/>
          <w:lang w:eastAsia="ru-RU"/>
        </w:rPr>
      </w:pPr>
      <w:r w:rsidRPr="00077C49">
        <w:rPr>
          <w:rFonts w:ascii="Times New Roman" w:eastAsia="Times New Roman" w:hAnsi="Times New Roman" w:cs="Times New Roman"/>
          <w:spacing w:val="4"/>
          <w:sz w:val="28"/>
          <w:szCs w:val="28"/>
          <w:lang w:eastAsia="ru-RU"/>
        </w:rPr>
        <w:t xml:space="preserve">Анализ представленных методик на соответствие действующим нормативным правовым актам, определяющим порядок предоставления и распределения каждого межбюджетного трансферта, показал, что </w:t>
      </w:r>
      <w:r w:rsidR="00DF6A62" w:rsidRPr="00077C49">
        <w:rPr>
          <w:rFonts w:ascii="Times New Roman" w:eastAsia="Times New Roman" w:hAnsi="Times New Roman" w:cs="Times New Roman"/>
          <w:spacing w:val="4"/>
          <w:sz w:val="28"/>
          <w:szCs w:val="28"/>
          <w:lang w:eastAsia="ru-RU"/>
        </w:rPr>
        <w:t>по 1 виду</w:t>
      </w:r>
      <w:r w:rsidR="00DF6A62" w:rsidRPr="00AA26A2">
        <w:rPr>
          <w:rFonts w:ascii="Times New Roman" w:eastAsia="Times New Roman" w:hAnsi="Times New Roman" w:cs="Times New Roman"/>
          <w:sz w:val="28"/>
          <w:szCs w:val="28"/>
          <w:lang w:eastAsia="ru-RU"/>
        </w:rPr>
        <w:t xml:space="preserve"> </w:t>
      </w:r>
      <w:r w:rsidR="00DF6A62" w:rsidRPr="00AA26A2">
        <w:rPr>
          <w:rFonts w:ascii="Times New Roman" w:eastAsia="Times New Roman" w:hAnsi="Times New Roman" w:cs="Times New Roman"/>
          <w:sz w:val="28"/>
          <w:szCs w:val="28"/>
          <w:lang w:eastAsia="ru-RU"/>
        </w:rPr>
        <w:lastRenderedPageBreak/>
        <w:t>дотаций</w:t>
      </w:r>
      <w:r w:rsidR="00DF6A62" w:rsidRPr="00AA26A2">
        <w:rPr>
          <w:rFonts w:ascii="Times New Roman" w:eastAsia="Times New Roman" w:hAnsi="Times New Roman" w:cs="Times New Roman"/>
          <w:sz w:val="28"/>
          <w:szCs w:val="28"/>
          <w:vertAlign w:val="superscript"/>
          <w:lang w:eastAsia="ru-RU"/>
        </w:rPr>
        <w:footnoteReference w:id="30"/>
      </w:r>
      <w:r w:rsidR="00DF6A62" w:rsidRPr="00AA26A2">
        <w:rPr>
          <w:rFonts w:ascii="Times New Roman" w:eastAsia="Times New Roman" w:hAnsi="Times New Roman" w:cs="Times New Roman"/>
          <w:sz w:val="28"/>
          <w:szCs w:val="28"/>
          <w:lang w:eastAsia="ru-RU"/>
        </w:rPr>
        <w:t xml:space="preserve">, </w:t>
      </w:r>
      <w:r w:rsidRPr="00AA26A2">
        <w:rPr>
          <w:rFonts w:ascii="Times New Roman" w:eastAsia="Times New Roman" w:hAnsi="Times New Roman" w:cs="Times New Roman"/>
          <w:sz w:val="28"/>
          <w:szCs w:val="28"/>
          <w:lang w:eastAsia="ru-RU"/>
        </w:rPr>
        <w:t xml:space="preserve">по </w:t>
      </w:r>
      <w:r w:rsidRPr="00AA26A2">
        <w:rPr>
          <w:rFonts w:ascii="Times New Roman" w:eastAsia="Calibri" w:hAnsi="Times New Roman" w:cs="Times New Roman"/>
          <w:sz w:val="28"/>
          <w:szCs w:val="28"/>
          <w:lang w:eastAsia="ru-RU"/>
        </w:rPr>
        <w:t>11 видам субсидий</w:t>
      </w:r>
      <w:r w:rsidRPr="00AA26A2">
        <w:rPr>
          <w:rFonts w:ascii="Times New Roman" w:eastAsia="Calibri" w:hAnsi="Times New Roman" w:cs="Times New Roman"/>
          <w:sz w:val="28"/>
          <w:szCs w:val="28"/>
          <w:vertAlign w:val="superscript"/>
          <w:lang w:eastAsia="ru-RU"/>
        </w:rPr>
        <w:footnoteReference w:id="31"/>
      </w:r>
      <w:r w:rsidRPr="00AA26A2">
        <w:rPr>
          <w:rFonts w:ascii="Times New Roman" w:eastAsia="Calibri" w:hAnsi="Times New Roman" w:cs="Times New Roman"/>
          <w:sz w:val="28"/>
          <w:szCs w:val="28"/>
          <w:lang w:eastAsia="ru-RU"/>
        </w:rPr>
        <w:t>, 1 виду субвенций</w:t>
      </w:r>
      <w:r w:rsidRPr="00AA26A2">
        <w:rPr>
          <w:rFonts w:ascii="Times New Roman" w:eastAsia="Calibri" w:hAnsi="Times New Roman" w:cs="Times New Roman"/>
          <w:sz w:val="28"/>
          <w:szCs w:val="28"/>
          <w:vertAlign w:val="superscript"/>
          <w:lang w:eastAsia="ru-RU"/>
        </w:rPr>
        <w:footnoteReference w:id="32"/>
      </w:r>
      <w:r w:rsidRPr="00AA26A2">
        <w:rPr>
          <w:rFonts w:ascii="Times New Roman" w:eastAsia="Calibri" w:hAnsi="Times New Roman" w:cs="Times New Roman"/>
          <w:sz w:val="28"/>
          <w:szCs w:val="28"/>
          <w:lang w:eastAsia="ru-RU"/>
        </w:rPr>
        <w:t xml:space="preserve"> и 4 видам иных межбюджетных трансфертов</w:t>
      </w:r>
      <w:r w:rsidRPr="00AA26A2">
        <w:rPr>
          <w:rFonts w:ascii="Times New Roman" w:eastAsia="Calibri" w:hAnsi="Times New Roman" w:cs="Times New Roman"/>
          <w:sz w:val="28"/>
          <w:szCs w:val="28"/>
          <w:vertAlign w:val="superscript"/>
          <w:lang w:eastAsia="ru-RU"/>
        </w:rPr>
        <w:footnoteReference w:id="33"/>
      </w:r>
      <w:r w:rsidRPr="00AA26A2">
        <w:rPr>
          <w:rFonts w:ascii="Times New Roman" w:eastAsia="Calibri" w:hAnsi="Times New Roman" w:cs="Times New Roman"/>
          <w:sz w:val="28"/>
          <w:szCs w:val="28"/>
          <w:lang w:eastAsia="ru-RU"/>
        </w:rPr>
        <w:t xml:space="preserve"> в настоящее время нормативные право</w:t>
      </w:r>
      <w:r w:rsidRPr="00222342">
        <w:rPr>
          <w:rFonts w:ascii="Times New Roman" w:eastAsia="Calibri" w:hAnsi="Times New Roman" w:cs="Times New Roman"/>
          <w:sz w:val="28"/>
          <w:szCs w:val="28"/>
          <w:lang w:eastAsia="ru-RU"/>
        </w:rPr>
        <w:t xml:space="preserve">вые акты </w:t>
      </w:r>
      <w:r w:rsidRPr="00222342">
        <w:rPr>
          <w:rFonts w:ascii="Times New Roman" w:eastAsia="Calibri" w:hAnsi="Times New Roman" w:cs="Times New Roman"/>
          <w:sz w:val="28"/>
          <w:szCs w:val="28"/>
          <w:lang w:eastAsia="ru-RU"/>
        </w:rPr>
        <w:lastRenderedPageBreak/>
        <w:t>не приняты, при этом по всем вышеуказанным видам межбюджетных трансфертов разработаны соответствующие проекты</w:t>
      </w:r>
      <w:r w:rsidR="00B45C48">
        <w:rPr>
          <w:rFonts w:ascii="Times New Roman" w:eastAsia="Calibri" w:hAnsi="Times New Roman" w:cs="Times New Roman"/>
          <w:sz w:val="28"/>
          <w:szCs w:val="28"/>
          <w:lang w:eastAsia="ru-RU"/>
        </w:rPr>
        <w:t xml:space="preserve">. Кроме того, в настоящее время </w:t>
      </w:r>
      <w:r w:rsidR="00B45C48" w:rsidRPr="00222342">
        <w:rPr>
          <w:rFonts w:ascii="Times New Roman" w:eastAsia="Times New Roman" w:hAnsi="Times New Roman" w:cs="Times New Roman"/>
          <w:kern w:val="28"/>
          <w:sz w:val="28"/>
          <w:szCs w:val="28"/>
          <w:lang w:eastAsia="ru-RU"/>
        </w:rPr>
        <w:t>(</w:t>
      </w:r>
      <w:r w:rsidR="00B45C48" w:rsidRPr="00222342">
        <w:rPr>
          <w:rFonts w:ascii="Times New Roman" w:eastAsia="Calibri" w:hAnsi="Times New Roman" w:cs="Times New Roman"/>
          <w:sz w:val="28"/>
          <w:szCs w:val="28"/>
          <w:lang w:eastAsia="ru-RU"/>
        </w:rPr>
        <w:t>по сведениям министерства финансов Тульской области)</w:t>
      </w:r>
      <w:r w:rsidRPr="00222342">
        <w:rPr>
          <w:rFonts w:ascii="Times New Roman" w:eastAsia="Calibri" w:hAnsi="Times New Roman" w:cs="Times New Roman"/>
          <w:sz w:val="28"/>
          <w:szCs w:val="28"/>
          <w:lang w:eastAsia="ru-RU"/>
        </w:rPr>
        <w:t xml:space="preserve"> </w:t>
      </w:r>
      <w:r w:rsidR="00B45C48" w:rsidRPr="00222342">
        <w:rPr>
          <w:rFonts w:ascii="Times New Roman" w:eastAsia="Times New Roman" w:hAnsi="Times New Roman" w:cs="Times New Roman"/>
          <w:kern w:val="28"/>
          <w:sz w:val="28"/>
          <w:szCs w:val="28"/>
          <w:lang w:eastAsia="ru-RU"/>
        </w:rPr>
        <w:t>в стадии разработки</w:t>
      </w:r>
      <w:r w:rsidR="00B45C48" w:rsidRPr="00222342">
        <w:rPr>
          <w:rFonts w:ascii="Times New Roman" w:eastAsia="Calibri" w:hAnsi="Times New Roman" w:cs="Times New Roman"/>
          <w:sz w:val="28"/>
          <w:szCs w:val="28"/>
          <w:lang w:eastAsia="ru-RU"/>
        </w:rPr>
        <w:t xml:space="preserve"> </w:t>
      </w:r>
      <w:r w:rsidR="00B45C48" w:rsidRPr="00222342">
        <w:rPr>
          <w:rFonts w:ascii="Times New Roman" w:eastAsia="Times New Roman" w:hAnsi="Times New Roman" w:cs="Times New Roman"/>
          <w:kern w:val="28"/>
          <w:sz w:val="28"/>
          <w:szCs w:val="28"/>
          <w:lang w:eastAsia="ru-RU"/>
        </w:rPr>
        <w:t>находится</w:t>
      </w:r>
      <w:r w:rsidR="00B45C48" w:rsidRPr="00222342">
        <w:rPr>
          <w:rFonts w:ascii="Times New Roman" w:eastAsia="Calibri" w:hAnsi="Times New Roman" w:cs="Times New Roman"/>
          <w:sz w:val="28"/>
          <w:szCs w:val="28"/>
          <w:lang w:eastAsia="ru-RU"/>
        </w:rPr>
        <w:t xml:space="preserve"> </w:t>
      </w:r>
      <w:r w:rsidR="00B45C48" w:rsidRPr="00222342">
        <w:rPr>
          <w:rFonts w:ascii="Times New Roman" w:eastAsia="Times New Roman" w:hAnsi="Times New Roman" w:cs="Times New Roman"/>
          <w:sz w:val="28"/>
          <w:szCs w:val="28"/>
          <w:lang w:eastAsia="ru-RU"/>
        </w:rPr>
        <w:t xml:space="preserve">проект </w:t>
      </w:r>
      <w:r w:rsidR="00B45C48" w:rsidRPr="00222342">
        <w:rPr>
          <w:rFonts w:ascii="Times New Roman" w:eastAsia="Times New Roman" w:hAnsi="Times New Roman" w:cs="Times New Roman"/>
          <w:kern w:val="28"/>
          <w:sz w:val="28"/>
          <w:szCs w:val="28"/>
          <w:lang w:eastAsia="ru-RU"/>
        </w:rPr>
        <w:t>порядка предоставления и распределения</w:t>
      </w:r>
      <w:r w:rsidR="00B45C48" w:rsidRPr="00222342">
        <w:rPr>
          <w:rFonts w:ascii="Times New Roman" w:eastAsia="Calibri" w:hAnsi="Times New Roman" w:cs="Times New Roman"/>
          <w:sz w:val="28"/>
          <w:szCs w:val="28"/>
          <w:lang w:eastAsia="ru-RU"/>
        </w:rPr>
        <w:t xml:space="preserve"> </w:t>
      </w:r>
      <w:r w:rsidR="00B45C48">
        <w:rPr>
          <w:rFonts w:ascii="Times New Roman" w:eastAsia="Calibri" w:hAnsi="Times New Roman" w:cs="Times New Roman"/>
          <w:sz w:val="28"/>
          <w:szCs w:val="28"/>
          <w:lang w:eastAsia="ru-RU"/>
        </w:rPr>
        <w:t>еще по одному</w:t>
      </w:r>
      <w:r w:rsidRPr="00222342">
        <w:rPr>
          <w:rFonts w:ascii="Times New Roman" w:eastAsia="Times New Roman" w:hAnsi="Times New Roman" w:cs="Times New Roman"/>
          <w:sz w:val="28"/>
          <w:szCs w:val="28"/>
          <w:lang w:eastAsia="ru-RU"/>
        </w:rPr>
        <w:t xml:space="preserve"> виду дотаций</w:t>
      </w:r>
      <w:r w:rsidRPr="00222342">
        <w:rPr>
          <w:rFonts w:ascii="Times New Roman" w:eastAsia="Times New Roman" w:hAnsi="Times New Roman" w:cs="Times New Roman"/>
          <w:sz w:val="28"/>
          <w:szCs w:val="28"/>
          <w:vertAlign w:val="superscript"/>
          <w:lang w:eastAsia="ru-RU"/>
        </w:rPr>
        <w:footnoteReference w:id="34"/>
      </w:r>
      <w:r w:rsidRPr="00222342">
        <w:rPr>
          <w:rFonts w:ascii="Times New Roman" w:eastAsia="Times New Roman" w:hAnsi="Times New Roman" w:cs="Times New Roman"/>
          <w:kern w:val="28"/>
          <w:sz w:val="28"/>
          <w:szCs w:val="28"/>
          <w:lang w:eastAsia="ru-RU"/>
        </w:rPr>
        <w:t>.</w:t>
      </w:r>
    </w:p>
    <w:p w14:paraId="0F9B6DC5" w14:textId="4A988F55" w:rsidR="005036FD" w:rsidRPr="00194D85" w:rsidRDefault="005036FD" w:rsidP="005036FD">
      <w:pPr>
        <w:spacing w:before="120" w:after="0" w:line="240" w:lineRule="auto"/>
        <w:ind w:firstLine="709"/>
        <w:jc w:val="both"/>
        <w:rPr>
          <w:rFonts w:ascii="Times New Roman" w:eastAsia="Calibri" w:hAnsi="Times New Roman" w:cs="Times New Roman"/>
          <w:b/>
          <w:sz w:val="28"/>
          <w:szCs w:val="28"/>
        </w:rPr>
      </w:pPr>
      <w:r w:rsidRPr="00194D85">
        <w:rPr>
          <w:rFonts w:ascii="Times New Roman" w:eastAsia="Calibri" w:hAnsi="Times New Roman" w:cs="Times New Roman"/>
          <w:b/>
          <w:sz w:val="28"/>
          <w:szCs w:val="28"/>
        </w:rPr>
        <w:t>4.2. </w:t>
      </w:r>
      <w:r w:rsidRPr="00194D85">
        <w:rPr>
          <w:rFonts w:ascii="Times New Roman" w:eastAsia="Calibri" w:hAnsi="Times New Roman" w:cs="Times New Roman"/>
          <w:sz w:val="28"/>
          <w:szCs w:val="28"/>
        </w:rPr>
        <w:t>Межбюджетные трансферты внебюджетным фондам и федеральному бюджету</w:t>
      </w:r>
    </w:p>
    <w:p w14:paraId="58CED09E" w14:textId="77777777" w:rsidR="005036FD" w:rsidRPr="004A51DB" w:rsidRDefault="005036FD" w:rsidP="005036FD">
      <w:pPr>
        <w:spacing w:after="0" w:line="240" w:lineRule="auto"/>
        <w:ind w:firstLine="709"/>
        <w:jc w:val="both"/>
        <w:rPr>
          <w:rFonts w:ascii="Times New Roman" w:eastAsia="Calibri" w:hAnsi="Times New Roman" w:cs="Times New Roman"/>
          <w:sz w:val="28"/>
          <w:szCs w:val="28"/>
        </w:rPr>
      </w:pPr>
      <w:r w:rsidRPr="004A51DB">
        <w:rPr>
          <w:rFonts w:ascii="Times New Roman" w:eastAsia="Calibri" w:hAnsi="Times New Roman" w:cs="Times New Roman"/>
          <w:sz w:val="28"/>
          <w:szCs w:val="28"/>
        </w:rPr>
        <w:t xml:space="preserve">Частью 2 статьи 18 Законопроекта предусматриваются </w:t>
      </w:r>
      <w:r w:rsidRPr="004A51DB">
        <w:rPr>
          <w:rFonts w:ascii="Times New Roman" w:eastAsia="Calibri" w:hAnsi="Times New Roman" w:cs="Times New Roman"/>
          <w:i/>
          <w:sz w:val="28"/>
          <w:szCs w:val="28"/>
        </w:rPr>
        <w:t>межбюджетные трансферты Отделению Пенсионного фонда РФ по Тульской области</w:t>
      </w:r>
      <w:r w:rsidRPr="004A51DB">
        <w:rPr>
          <w:rFonts w:ascii="Times New Roman" w:eastAsia="Calibri" w:hAnsi="Times New Roman" w:cs="Times New Roman"/>
          <w:sz w:val="28"/>
          <w:szCs w:val="28"/>
          <w:vertAlign w:val="superscript"/>
        </w:rPr>
        <w:footnoteReference w:id="35"/>
      </w:r>
      <w:r w:rsidRPr="004A51DB">
        <w:rPr>
          <w:rFonts w:ascii="Times New Roman" w:eastAsia="Calibri" w:hAnsi="Times New Roman" w:cs="Times New Roman"/>
          <w:sz w:val="28"/>
          <w:szCs w:val="28"/>
        </w:rPr>
        <w:t xml:space="preserve"> на возмещение затрат по выплате пенсий, оформленных безработным гражданам досрочно в объеме 3 600,0 тыс. рублей ежегодно (</w:t>
      </w:r>
      <w:r w:rsidRPr="004A51DB">
        <w:rPr>
          <w:rFonts w:ascii="Times New Roman" w:eastAsia="Calibri" w:hAnsi="Times New Roman" w:cs="Times New Roman"/>
          <w:color w:val="000000"/>
          <w:spacing w:val="-4"/>
          <w:sz w:val="28"/>
          <w:szCs w:val="28"/>
        </w:rPr>
        <w:t xml:space="preserve">на уровне утвержденного </w:t>
      </w:r>
      <w:r w:rsidRPr="004A51DB">
        <w:rPr>
          <w:rFonts w:ascii="Times New Roman" w:eastAsia="Calibri" w:hAnsi="Times New Roman" w:cs="Times New Roman"/>
          <w:bCs/>
          <w:spacing w:val="-4"/>
          <w:sz w:val="28"/>
          <w:szCs w:val="28"/>
        </w:rPr>
        <w:t>показателя 2021 года</w:t>
      </w:r>
      <w:r w:rsidRPr="004A51DB">
        <w:rPr>
          <w:rFonts w:ascii="Times New Roman" w:eastAsia="Calibri" w:hAnsi="Times New Roman" w:cs="Times New Roman"/>
          <w:sz w:val="28"/>
          <w:szCs w:val="28"/>
        </w:rPr>
        <w:t>).</w:t>
      </w:r>
    </w:p>
    <w:p w14:paraId="11262421" w14:textId="77777777" w:rsidR="005036FD" w:rsidRPr="005D3CAA" w:rsidRDefault="005036FD" w:rsidP="005036FD">
      <w:pPr>
        <w:tabs>
          <w:tab w:val="left" w:pos="1134"/>
        </w:tabs>
        <w:spacing w:before="120" w:after="0" w:line="240" w:lineRule="auto"/>
        <w:ind w:firstLine="709"/>
        <w:jc w:val="both"/>
        <w:rPr>
          <w:rFonts w:ascii="Times New Roman" w:eastAsia="Calibri" w:hAnsi="Times New Roman" w:cs="Times New Roman"/>
          <w:sz w:val="28"/>
          <w:szCs w:val="28"/>
        </w:rPr>
      </w:pPr>
      <w:r w:rsidRPr="004A51DB">
        <w:rPr>
          <w:rFonts w:ascii="Times New Roman" w:eastAsia="Calibri" w:hAnsi="Times New Roman" w:cs="Times New Roman"/>
          <w:sz w:val="28"/>
          <w:szCs w:val="28"/>
        </w:rPr>
        <w:t xml:space="preserve">Частью 1 статьи 18 Законопроекта предусматриваются бюджетные ассигнования на предоставление </w:t>
      </w:r>
      <w:r w:rsidRPr="004A51DB">
        <w:rPr>
          <w:rFonts w:ascii="Times New Roman" w:eastAsia="Calibri" w:hAnsi="Times New Roman" w:cs="Times New Roman"/>
          <w:i/>
          <w:sz w:val="28"/>
          <w:szCs w:val="28"/>
        </w:rPr>
        <w:t>субвенций федеральному бюджету</w:t>
      </w:r>
      <w:r w:rsidRPr="004A51DB">
        <w:rPr>
          <w:rFonts w:ascii="Times New Roman" w:eastAsia="Calibri" w:hAnsi="Times New Roman" w:cs="Times New Roman"/>
          <w:i/>
          <w:sz w:val="28"/>
          <w:szCs w:val="28"/>
          <w:vertAlign w:val="superscript"/>
        </w:rPr>
        <w:footnoteReference w:id="36"/>
      </w:r>
      <w:r w:rsidRPr="004A51DB">
        <w:rPr>
          <w:rFonts w:ascii="Times New Roman" w:eastAsia="Calibri" w:hAnsi="Times New Roman" w:cs="Times New Roman"/>
          <w:sz w:val="28"/>
          <w:szCs w:val="28"/>
        </w:rPr>
        <w:t xml:space="preserve"> на 2022 год в размере 997,6 тыс. рублей (больше на 174,5 тыс. рублей (или на 21,2%) относительно показателя, утвержденного на 2021 год), на 2023 год – 2 269,0 тыс. рублей, на 2024 год – 2 269,0 тыс. рублей.</w:t>
      </w:r>
      <w:r w:rsidRPr="005D3CAA">
        <w:rPr>
          <w:rFonts w:ascii="Times New Roman" w:eastAsia="Calibri" w:hAnsi="Times New Roman" w:cs="Times New Roman"/>
          <w:sz w:val="28"/>
          <w:szCs w:val="28"/>
        </w:rPr>
        <w:t xml:space="preserve"> </w:t>
      </w:r>
    </w:p>
    <w:p w14:paraId="670D3D6A" w14:textId="3E6FEB67" w:rsidR="00A54399" w:rsidRPr="00B32F92" w:rsidRDefault="00A54399" w:rsidP="00A54399">
      <w:pPr>
        <w:keepNext/>
        <w:keepLines/>
        <w:pBdr>
          <w:bottom w:val="thinThickSmallGap" w:sz="18" w:space="10" w:color="auto"/>
        </w:pBdr>
        <w:suppressAutoHyphens/>
        <w:spacing w:before="360" w:after="120" w:line="240" w:lineRule="auto"/>
        <w:jc w:val="center"/>
        <w:rPr>
          <w:rFonts w:ascii="Times New Roman" w:eastAsia="Calibri" w:hAnsi="Times New Roman" w:cs="Times New Roman"/>
          <w:b/>
          <w:caps/>
          <w:spacing w:val="30"/>
          <w:w w:val="150"/>
          <w:sz w:val="24"/>
          <w:szCs w:val="24"/>
        </w:rPr>
      </w:pPr>
      <w:r w:rsidRPr="00B32F92">
        <w:rPr>
          <w:rFonts w:ascii="Times New Roman" w:eastAsia="Calibri" w:hAnsi="Times New Roman" w:cs="Times New Roman"/>
          <w:b/>
          <w:caps/>
          <w:spacing w:val="30"/>
          <w:w w:val="150"/>
          <w:sz w:val="24"/>
          <w:szCs w:val="24"/>
        </w:rPr>
        <w:lastRenderedPageBreak/>
        <w:t>5. ДЕФИЦИТ</w:t>
      </w:r>
      <w:r w:rsidR="004F3931" w:rsidRPr="00B32F92">
        <w:rPr>
          <w:rFonts w:ascii="Times New Roman" w:eastAsia="Calibri" w:hAnsi="Times New Roman" w:cs="Times New Roman"/>
          <w:b/>
          <w:caps/>
          <w:spacing w:val="30"/>
          <w:w w:val="150"/>
          <w:sz w:val="24"/>
          <w:szCs w:val="24"/>
        </w:rPr>
        <w:t xml:space="preserve"> БЮДЖЕТА ОБЛАСТИ</w:t>
      </w:r>
      <w:r w:rsidRPr="00B32F92">
        <w:rPr>
          <w:rFonts w:ascii="Times New Roman" w:eastAsia="Calibri" w:hAnsi="Times New Roman" w:cs="Times New Roman"/>
          <w:b/>
          <w:caps/>
          <w:spacing w:val="30"/>
          <w:w w:val="150"/>
          <w:sz w:val="24"/>
          <w:szCs w:val="24"/>
        </w:rPr>
        <w:br/>
        <w:t>ГОСУДАРСТВЕННЫЙ ДОЛГ</w:t>
      </w:r>
      <w:r w:rsidR="004F3931" w:rsidRPr="00B32F92">
        <w:rPr>
          <w:rFonts w:ascii="Times New Roman" w:eastAsia="Calibri" w:hAnsi="Times New Roman" w:cs="Times New Roman"/>
          <w:b/>
          <w:caps/>
          <w:spacing w:val="30"/>
          <w:w w:val="150"/>
          <w:sz w:val="24"/>
          <w:szCs w:val="24"/>
        </w:rPr>
        <w:t xml:space="preserve"> </w:t>
      </w:r>
      <w:r w:rsidR="0075701E" w:rsidRPr="00B32F92">
        <w:rPr>
          <w:rFonts w:ascii="Times New Roman" w:eastAsia="Calibri" w:hAnsi="Times New Roman" w:cs="Times New Roman"/>
          <w:b/>
          <w:caps/>
          <w:spacing w:val="30"/>
          <w:w w:val="150"/>
          <w:sz w:val="24"/>
          <w:szCs w:val="24"/>
        </w:rPr>
        <w:t>ОБЛАСТИ</w:t>
      </w:r>
    </w:p>
    <w:p w14:paraId="3899F44D" w14:textId="6B5ABCB9" w:rsidR="00FF299A" w:rsidRPr="00FF299A" w:rsidRDefault="00FF299A" w:rsidP="00FF299A">
      <w:pPr>
        <w:autoSpaceDE w:val="0"/>
        <w:autoSpaceDN w:val="0"/>
        <w:adjustRightInd w:val="0"/>
        <w:spacing w:before="240" w:after="0" w:line="240" w:lineRule="auto"/>
        <w:ind w:firstLine="709"/>
        <w:jc w:val="both"/>
        <w:rPr>
          <w:rFonts w:ascii="Times New Roman" w:hAnsi="Times New Roman" w:cs="Times New Roman"/>
          <w:sz w:val="28"/>
          <w:szCs w:val="28"/>
        </w:rPr>
      </w:pPr>
      <w:r w:rsidRPr="00FF299A">
        <w:rPr>
          <w:rFonts w:ascii="Times New Roman" w:eastAsia="Calibri" w:hAnsi="Times New Roman" w:cs="Times New Roman"/>
          <w:kern w:val="28"/>
          <w:sz w:val="28"/>
          <w:szCs w:val="28"/>
        </w:rPr>
        <w:t xml:space="preserve">Законопроектом на 2022 год предусматривается дефицит бюджета области в объеме 3 460,4 млн. рублей, что составляет 4,4% </w:t>
      </w:r>
      <w:r w:rsidRPr="00FF299A">
        <w:rPr>
          <w:rFonts w:ascii="Times New Roman" w:hAnsi="Times New Roman" w:cs="Times New Roman"/>
          <w:sz w:val="28"/>
          <w:szCs w:val="28"/>
        </w:rPr>
        <w:t>общего годового объема доходов бюджета без учета объема безвозмездных поступлений; на 2023 и 2024 годы дефицит бюджета области планируется в размере 0,4% и 0,3% соответственно. Размеры дефицита бюджета области соответствуют требованиям пункта 2 статьи 92.1 БК РФ и требованиям соглашения с Минфином России (не выше 10%).</w:t>
      </w:r>
    </w:p>
    <w:p w14:paraId="053E03C5" w14:textId="77777777" w:rsidR="00FF299A" w:rsidRPr="00FF299A" w:rsidRDefault="00FF299A" w:rsidP="00FF299A">
      <w:pPr>
        <w:spacing w:after="120" w:line="240" w:lineRule="auto"/>
        <w:ind w:firstLine="709"/>
        <w:jc w:val="both"/>
        <w:rPr>
          <w:rFonts w:ascii="Times New Roman" w:hAnsi="Times New Roman" w:cs="Times New Roman"/>
          <w:sz w:val="28"/>
          <w:szCs w:val="28"/>
        </w:rPr>
      </w:pPr>
      <w:r w:rsidRPr="00FF299A">
        <w:rPr>
          <w:rFonts w:ascii="Times New Roman" w:hAnsi="Times New Roman" w:cs="Times New Roman"/>
          <w:sz w:val="28"/>
          <w:szCs w:val="28"/>
        </w:rPr>
        <w:t>Анализ размеров дефицита бюджета области, предусмотренных Законопроектом, представлен на следующей диаграмме.</w:t>
      </w:r>
    </w:p>
    <w:p w14:paraId="37234F38" w14:textId="77777777" w:rsidR="00FF299A" w:rsidRPr="00FF299A" w:rsidRDefault="00FF299A" w:rsidP="00FF299A">
      <w:pPr>
        <w:spacing w:after="120" w:line="240" w:lineRule="auto"/>
        <w:jc w:val="center"/>
        <w:rPr>
          <w:rFonts w:ascii="Times New Roman" w:hAnsi="Times New Roman" w:cs="Times New Roman"/>
          <w:sz w:val="28"/>
          <w:szCs w:val="28"/>
          <w:lang w:val="en-US"/>
        </w:rPr>
      </w:pPr>
      <w:r w:rsidRPr="00FF299A">
        <w:rPr>
          <w:rFonts w:ascii="Times New Roman" w:hAnsi="Times New Roman" w:cs="Times New Roman"/>
          <w:noProof/>
          <w:color w:val="800000"/>
          <w:sz w:val="28"/>
          <w:szCs w:val="28"/>
          <w:lang w:eastAsia="ru-RU"/>
        </w:rPr>
        <w:drawing>
          <wp:inline distT="0" distB="0" distL="0" distR="0" wp14:anchorId="75EF636E" wp14:editId="5F84B95A">
            <wp:extent cx="5917565" cy="5314950"/>
            <wp:effectExtent l="0" t="0" r="698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A2E917" w14:textId="09019413" w:rsidR="00FF299A" w:rsidRPr="00FF299A" w:rsidRDefault="00FF299A" w:rsidP="00FF299A">
      <w:pPr>
        <w:spacing w:before="120" w:after="0" w:line="240" w:lineRule="auto"/>
        <w:ind w:firstLine="709"/>
        <w:jc w:val="both"/>
        <w:rPr>
          <w:rFonts w:ascii="Times New Roman" w:eastAsia="SimSun" w:hAnsi="Times New Roman" w:cs="Times New Roman"/>
          <w:sz w:val="28"/>
          <w:szCs w:val="28"/>
          <w:lang w:eastAsia="zh-CN"/>
        </w:rPr>
      </w:pPr>
      <w:r w:rsidRPr="00FF299A">
        <w:rPr>
          <w:rFonts w:ascii="Times New Roman" w:eastAsia="SimSun" w:hAnsi="Times New Roman" w:cs="Times New Roman"/>
          <w:sz w:val="28"/>
          <w:szCs w:val="28"/>
          <w:lang w:eastAsia="zh-CN"/>
        </w:rPr>
        <w:t xml:space="preserve">Как видно на вышеприведенной диаграмме, относительный размер дефицита бюджета области на 2022 и 2024 годы превышает соответствующие значения аналогичного целевого показателя, предусмотренного госпрограммой «Управление государственными финансами Тульской области»; на момент завершения указанной госпрограммы (2024 год) </w:t>
      </w:r>
      <w:r w:rsidRPr="00FF299A">
        <w:rPr>
          <w:rFonts w:ascii="Times New Roman" w:eastAsia="SimSun" w:hAnsi="Times New Roman" w:cs="Times New Roman"/>
          <w:sz w:val="28"/>
          <w:szCs w:val="28"/>
          <w:lang w:eastAsia="zh-CN"/>
        </w:rPr>
        <w:lastRenderedPageBreak/>
        <w:t>предполагалось достигнуть отсутствия дефицита бюджета области, при этом в Законопроекте на 2024 год запланирован дефицит бюджета в размере 240,</w:t>
      </w:r>
      <w:r w:rsidR="00F506F9">
        <w:rPr>
          <w:rFonts w:ascii="Times New Roman" w:eastAsia="SimSun" w:hAnsi="Times New Roman" w:cs="Times New Roman"/>
          <w:sz w:val="28"/>
          <w:szCs w:val="28"/>
          <w:lang w:eastAsia="zh-CN"/>
        </w:rPr>
        <w:t>7</w:t>
      </w:r>
      <w:r w:rsidRPr="00FF299A">
        <w:rPr>
          <w:rFonts w:ascii="Times New Roman" w:eastAsia="SimSun" w:hAnsi="Times New Roman" w:cs="Times New Roman"/>
          <w:sz w:val="28"/>
          <w:szCs w:val="28"/>
          <w:lang w:eastAsia="zh-CN"/>
        </w:rPr>
        <w:t xml:space="preserve"> млн. рублей. Следует отметить, что отсутствие дефицита бюджета в 2024 году может быть достигнуто за счет уменьшения условно утверждаемых расходов, которые запланированы в Законопроекте в размере, значительно превышающем (более чем на 1 500,0 млн. рублей</w:t>
      </w:r>
      <w:r w:rsidRPr="00FF299A">
        <w:rPr>
          <w:rFonts w:ascii="Times New Roman" w:hAnsi="Times New Roman" w:cs="Times New Roman"/>
          <w:spacing w:val="-7"/>
          <w:sz w:val="28"/>
          <w:szCs w:val="28"/>
          <w:vertAlign w:val="superscript"/>
        </w:rPr>
        <w:footnoteReference w:id="37"/>
      </w:r>
      <w:r w:rsidRPr="00FF299A">
        <w:rPr>
          <w:rFonts w:ascii="Times New Roman" w:eastAsia="SimSun" w:hAnsi="Times New Roman" w:cs="Times New Roman"/>
          <w:sz w:val="28"/>
          <w:szCs w:val="28"/>
          <w:lang w:eastAsia="zh-CN"/>
        </w:rPr>
        <w:t>) минимальный предел, установленный статьей 184.1 БК РФ. Уменьшение условно утверждаемых расходов планового периода также могло бы снизить необходимость в применении таких источников финансирования дефицита бюджета, как кредиты, тем самым улучшив показатели государственного долга области.</w:t>
      </w:r>
    </w:p>
    <w:p w14:paraId="64D4F7B6" w14:textId="77777777" w:rsidR="00FF299A" w:rsidRPr="00B84CEA" w:rsidRDefault="00FF299A" w:rsidP="00FF299A">
      <w:pPr>
        <w:spacing w:after="0" w:line="240" w:lineRule="auto"/>
        <w:ind w:firstLine="709"/>
        <w:jc w:val="both"/>
        <w:rPr>
          <w:rFonts w:ascii="Times New Roman" w:eastAsia="Calibri" w:hAnsi="Times New Roman" w:cs="Times New Roman"/>
          <w:kern w:val="28"/>
          <w:sz w:val="28"/>
          <w:szCs w:val="28"/>
        </w:rPr>
      </w:pPr>
      <w:r w:rsidRPr="00B84CEA">
        <w:rPr>
          <w:rFonts w:ascii="Times New Roman" w:eastAsia="SimSun" w:hAnsi="Times New Roman" w:cs="Times New Roman"/>
          <w:sz w:val="28"/>
          <w:szCs w:val="28"/>
          <w:lang w:eastAsia="zh-CN"/>
        </w:rPr>
        <w:t>Источники финансирования дефицита бюджета, предусмотренные Законопроектом (</w:t>
      </w:r>
      <w:r w:rsidRPr="00B84CEA">
        <w:rPr>
          <w:rFonts w:ascii="Times New Roman" w:hAnsi="Times New Roman" w:cs="Times New Roman"/>
          <w:sz w:val="28"/>
          <w:szCs w:val="28"/>
        </w:rPr>
        <w:t>приложения №26 и №27</w:t>
      </w:r>
      <w:r w:rsidRPr="00B84CEA">
        <w:rPr>
          <w:rFonts w:ascii="Times New Roman" w:eastAsia="SimSun" w:hAnsi="Times New Roman" w:cs="Times New Roman"/>
          <w:sz w:val="28"/>
          <w:szCs w:val="28"/>
          <w:lang w:eastAsia="zh-CN"/>
        </w:rPr>
        <w:t xml:space="preserve">), </w:t>
      </w:r>
      <w:r w:rsidRPr="00B84CEA">
        <w:rPr>
          <w:rFonts w:ascii="Times New Roman" w:eastAsia="Times New Roman" w:hAnsi="Times New Roman" w:cs="Times New Roman"/>
          <w:sz w:val="28"/>
          <w:szCs w:val="28"/>
          <w:lang w:eastAsia="ru-RU"/>
        </w:rPr>
        <w:t>сформированы из числа</w:t>
      </w:r>
      <w:r w:rsidRPr="00B84CEA">
        <w:rPr>
          <w:rFonts w:ascii="Times New Roman" w:eastAsia="SimSun" w:hAnsi="Times New Roman" w:cs="Times New Roman"/>
          <w:sz w:val="28"/>
          <w:szCs w:val="28"/>
          <w:lang w:eastAsia="zh-CN"/>
        </w:rPr>
        <w:t xml:space="preserve"> источников, предусмотренных статьей 95 БК РФ для бюджетов субъектов РФ, их общий объем по годам соответствует прогнозируемому объему дефицита бюджета в 2022, 2023 и 2024 годах.</w:t>
      </w:r>
    </w:p>
    <w:p w14:paraId="592FF195" w14:textId="77777777" w:rsidR="00FF299A" w:rsidRPr="00B84CEA" w:rsidRDefault="00FF299A" w:rsidP="00FF299A">
      <w:pPr>
        <w:spacing w:after="0" w:line="240" w:lineRule="auto"/>
        <w:ind w:firstLine="709"/>
        <w:jc w:val="both"/>
        <w:rPr>
          <w:rFonts w:ascii="Times New Roman" w:hAnsi="Times New Roman" w:cs="Times New Roman"/>
          <w:sz w:val="28"/>
          <w:szCs w:val="28"/>
        </w:rPr>
      </w:pPr>
      <w:r w:rsidRPr="00B84CEA">
        <w:rPr>
          <w:rFonts w:ascii="Times New Roman" w:hAnsi="Times New Roman" w:cs="Times New Roman"/>
          <w:sz w:val="28"/>
          <w:szCs w:val="28"/>
        </w:rPr>
        <w:t>Объемы поступлений и выбытий по источникам финансирования дефицита бюджета области (приложения №26 и №27 к Законопроекту) в части заимствований Тульской области согласуются с показателями Программы государственных внутренних заимствований Тульской области на 2022 год и на плановый период 2023 и 2024 годов (приложение №24 к Законопроекту).</w:t>
      </w:r>
    </w:p>
    <w:p w14:paraId="1F53D39F" w14:textId="68AA7730" w:rsidR="00FF299A" w:rsidRPr="00B84CEA" w:rsidRDefault="00FF299A" w:rsidP="00FF299A">
      <w:pPr>
        <w:spacing w:before="120" w:after="0" w:line="240" w:lineRule="auto"/>
        <w:ind w:firstLine="709"/>
        <w:jc w:val="both"/>
        <w:rPr>
          <w:rFonts w:ascii="Times New Roman" w:hAnsi="Times New Roman" w:cs="Times New Roman"/>
          <w:sz w:val="28"/>
          <w:szCs w:val="28"/>
        </w:rPr>
      </w:pPr>
      <w:r w:rsidRPr="00B84CEA">
        <w:rPr>
          <w:rFonts w:ascii="Times New Roman" w:hAnsi="Times New Roman" w:cs="Times New Roman"/>
          <w:sz w:val="28"/>
          <w:szCs w:val="28"/>
        </w:rPr>
        <w:t>Программа государственных внутренних заимствований Тульской области и программа государственных гарантий Тульской области</w:t>
      </w:r>
      <w:r w:rsidRPr="00B84CEA">
        <w:rPr>
          <w:rFonts w:ascii="Times New Roman" w:hAnsi="Times New Roman" w:cs="Times New Roman"/>
          <w:sz w:val="28"/>
          <w:szCs w:val="28"/>
          <w:vertAlign w:val="superscript"/>
        </w:rPr>
        <w:footnoteReference w:id="38"/>
      </w:r>
      <w:r w:rsidRPr="00B84CEA">
        <w:rPr>
          <w:rFonts w:ascii="Times New Roman" w:hAnsi="Times New Roman" w:cs="Times New Roman"/>
          <w:sz w:val="28"/>
          <w:szCs w:val="28"/>
        </w:rPr>
        <w:t xml:space="preserve"> на 2022 год и на плановый период 2023 и 2024 годов (приложения №24 и №25 к Законопроекту) соответствуют требованиям бюджетного законодательства (статьи 106, 110.1 и 110.2 БК РФ). Цели государственных внутренних заимствований соответствуют требованиям пункта 11 статьи 103 БК РФ. В соответствии с пунктом 16 статьи 103 БК РФ статьей 23 Законопроекта право осуществления государственных внутренних заимствований Тульской области предоставлено министерству финансов </w:t>
      </w:r>
      <w:r w:rsidR="004D1099" w:rsidRPr="00B84CEA">
        <w:rPr>
          <w:rFonts w:ascii="Times New Roman" w:hAnsi="Times New Roman" w:cs="Times New Roman"/>
          <w:sz w:val="28"/>
          <w:szCs w:val="28"/>
        </w:rPr>
        <w:t xml:space="preserve">Тульской </w:t>
      </w:r>
      <w:r w:rsidRPr="00B84CEA">
        <w:rPr>
          <w:rFonts w:ascii="Times New Roman" w:hAnsi="Times New Roman" w:cs="Times New Roman"/>
          <w:sz w:val="28"/>
          <w:szCs w:val="28"/>
        </w:rPr>
        <w:t>области.</w:t>
      </w:r>
    </w:p>
    <w:p w14:paraId="6DEA4337" w14:textId="77777777" w:rsidR="00FF299A" w:rsidRPr="00284576" w:rsidRDefault="00FF299A" w:rsidP="00FF299A">
      <w:pPr>
        <w:spacing w:after="0" w:line="240" w:lineRule="auto"/>
        <w:ind w:firstLine="709"/>
        <w:jc w:val="both"/>
        <w:rPr>
          <w:rFonts w:ascii="Times New Roman" w:hAnsi="Times New Roman" w:cs="Times New Roman"/>
          <w:sz w:val="28"/>
          <w:szCs w:val="28"/>
        </w:rPr>
      </w:pPr>
      <w:r w:rsidRPr="00FF299A">
        <w:rPr>
          <w:rFonts w:ascii="Times New Roman" w:hAnsi="Times New Roman" w:cs="Times New Roman"/>
          <w:sz w:val="28"/>
          <w:szCs w:val="28"/>
        </w:rPr>
        <w:t xml:space="preserve">Верхние пределы государственного долга области на 1 января 2023, 2024 и 2025 годов устанавливаются Законопроектом (часть 1 статьи 21) с соблюдением требований пункта 3 </w:t>
      </w:r>
      <w:r w:rsidRPr="00284576">
        <w:rPr>
          <w:rFonts w:ascii="Times New Roman" w:hAnsi="Times New Roman" w:cs="Times New Roman"/>
          <w:sz w:val="28"/>
          <w:szCs w:val="28"/>
        </w:rPr>
        <w:t>статьи 107 БК РФ.</w:t>
      </w:r>
    </w:p>
    <w:p w14:paraId="624ED830" w14:textId="77777777" w:rsidR="006618A8" w:rsidRPr="00A7537A" w:rsidRDefault="006618A8" w:rsidP="006618A8">
      <w:pPr>
        <w:spacing w:after="120" w:line="240" w:lineRule="auto"/>
        <w:ind w:firstLine="709"/>
        <w:jc w:val="both"/>
        <w:rPr>
          <w:rFonts w:ascii="Times New Roman" w:hAnsi="Times New Roman" w:cs="Times New Roman"/>
          <w:sz w:val="28"/>
          <w:szCs w:val="28"/>
        </w:rPr>
      </w:pPr>
      <w:r w:rsidRPr="00284576">
        <w:rPr>
          <w:rFonts w:ascii="Times New Roman" w:hAnsi="Times New Roman" w:cs="Times New Roman"/>
          <w:sz w:val="28"/>
          <w:szCs w:val="28"/>
        </w:rPr>
        <w:t>Анализ объемов государственного долга области (верхних пределов государственного долга области) в период с 01.01.2020 с учетом показателей, предусмотренных Законопроектом, представлен на следующей диаграмме.</w:t>
      </w:r>
    </w:p>
    <w:p w14:paraId="545CB54E" w14:textId="77777777" w:rsidR="00FF299A" w:rsidRDefault="00FF299A" w:rsidP="00FF299A">
      <w:pPr>
        <w:spacing w:before="120" w:after="0" w:line="240" w:lineRule="auto"/>
        <w:jc w:val="both"/>
        <w:rPr>
          <w:rFonts w:ascii="Times New Roman" w:hAnsi="Times New Roman" w:cs="Times New Roman"/>
          <w:sz w:val="20"/>
          <w:szCs w:val="20"/>
        </w:rPr>
      </w:pPr>
    </w:p>
    <w:p w14:paraId="12F4771F" w14:textId="77777777" w:rsidR="006618A8" w:rsidRDefault="006618A8" w:rsidP="00FF299A">
      <w:pPr>
        <w:spacing w:before="120" w:after="0" w:line="240" w:lineRule="auto"/>
        <w:jc w:val="both"/>
        <w:rPr>
          <w:rFonts w:ascii="Times New Roman" w:hAnsi="Times New Roman" w:cs="Times New Roman"/>
          <w:sz w:val="20"/>
          <w:szCs w:val="20"/>
        </w:rPr>
      </w:pPr>
    </w:p>
    <w:p w14:paraId="478AAB91" w14:textId="7F589063" w:rsidR="006618A8" w:rsidRDefault="00B55DFD" w:rsidP="00FF299A">
      <w:pPr>
        <w:spacing w:before="120" w:after="0" w:line="240" w:lineRule="auto"/>
        <w:jc w:val="both"/>
        <w:rPr>
          <w:rFonts w:ascii="Times New Roman" w:hAnsi="Times New Roman" w:cs="Times New Roman"/>
          <w:sz w:val="20"/>
          <w:szCs w:val="20"/>
        </w:rPr>
      </w:pPr>
      <w:r w:rsidRPr="00A7537A">
        <w:rPr>
          <w:rFonts w:ascii="Times New Roman" w:hAnsi="Times New Roman" w:cs="Times New Roman"/>
          <w:noProof/>
          <w:sz w:val="28"/>
          <w:szCs w:val="28"/>
          <w:lang w:eastAsia="ru-RU"/>
        </w:rPr>
        <w:lastRenderedPageBreak/>
        <w:drawing>
          <wp:inline distT="0" distB="0" distL="0" distR="0" wp14:anchorId="03A82A5E" wp14:editId="20C997BF">
            <wp:extent cx="5940425" cy="7647034"/>
            <wp:effectExtent l="0" t="0" r="3175"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16A20F" w14:textId="77777777" w:rsidR="00077C49" w:rsidRPr="00A7537A" w:rsidRDefault="00077C49" w:rsidP="00077C49">
      <w:pPr>
        <w:spacing w:before="120" w:after="0" w:line="240" w:lineRule="auto"/>
        <w:jc w:val="both"/>
        <w:rPr>
          <w:rFonts w:ascii="Times New Roman" w:hAnsi="Times New Roman" w:cs="Times New Roman"/>
          <w:sz w:val="18"/>
          <w:szCs w:val="18"/>
        </w:rPr>
      </w:pPr>
      <w:r w:rsidRPr="00A7537A">
        <w:rPr>
          <w:rFonts w:ascii="Times New Roman" w:hAnsi="Times New Roman" w:cs="Times New Roman"/>
          <w:sz w:val="18"/>
          <w:szCs w:val="18"/>
        </w:rPr>
        <w:t>*</w:t>
      </w:r>
      <w:r w:rsidRPr="00A7537A">
        <w:rPr>
          <w:rFonts w:ascii="Times New Roman" w:hAnsi="Times New Roman" w:cs="Times New Roman"/>
          <w:sz w:val="18"/>
          <w:szCs w:val="18"/>
          <w:lang w:val="en-US"/>
        </w:rPr>
        <w:t> </w:t>
      </w:r>
      <w:r w:rsidRPr="00A7537A">
        <w:rPr>
          <w:rFonts w:ascii="Times New Roman" w:hAnsi="Times New Roman" w:cs="Times New Roman"/>
          <w:sz w:val="18"/>
          <w:szCs w:val="18"/>
        </w:rPr>
        <w:t>Предельные значения установлены соглашениями с Минфином России о реструктуризации задолженности перед федеральным бюджетом</w:t>
      </w:r>
    </w:p>
    <w:p w14:paraId="5F5404AC" w14:textId="77777777" w:rsidR="00077C49" w:rsidRPr="00A7537A" w:rsidRDefault="00077C49" w:rsidP="00077C49">
      <w:pPr>
        <w:spacing w:before="60" w:after="0" w:line="240" w:lineRule="auto"/>
        <w:jc w:val="both"/>
        <w:rPr>
          <w:rFonts w:ascii="Times New Roman" w:hAnsi="Times New Roman" w:cs="Times New Roman"/>
          <w:sz w:val="18"/>
          <w:szCs w:val="18"/>
        </w:rPr>
      </w:pPr>
      <w:r w:rsidRPr="00A7537A">
        <w:rPr>
          <w:rFonts w:ascii="Times New Roman" w:hAnsi="Times New Roman" w:cs="Times New Roman"/>
          <w:sz w:val="18"/>
          <w:szCs w:val="18"/>
        </w:rPr>
        <w:t xml:space="preserve">** Долговая нагрузка – отношение объема государственного долга </w:t>
      </w:r>
      <w:r>
        <w:rPr>
          <w:rFonts w:ascii="Times New Roman" w:hAnsi="Times New Roman" w:cs="Times New Roman"/>
          <w:sz w:val="18"/>
          <w:szCs w:val="18"/>
        </w:rPr>
        <w:t xml:space="preserve">(без учета объема государственного долга по государственным гарантиям) </w:t>
      </w:r>
      <w:r w:rsidRPr="00A7537A">
        <w:rPr>
          <w:rFonts w:ascii="Times New Roman" w:hAnsi="Times New Roman" w:cs="Times New Roman"/>
          <w:sz w:val="18"/>
          <w:szCs w:val="18"/>
        </w:rPr>
        <w:t>к общему объему доходов бюджета без учета объема безвозмездных поступлений</w:t>
      </w:r>
      <w:r>
        <w:rPr>
          <w:rFonts w:ascii="Times New Roman" w:hAnsi="Times New Roman" w:cs="Times New Roman"/>
          <w:sz w:val="18"/>
          <w:szCs w:val="18"/>
        </w:rPr>
        <w:t xml:space="preserve"> (в соответствии с </w:t>
      </w:r>
      <w:r w:rsidRPr="000477E5">
        <w:rPr>
          <w:rFonts w:ascii="Times New Roman" w:hAnsi="Times New Roman" w:cs="Times New Roman"/>
          <w:sz w:val="18"/>
          <w:szCs w:val="18"/>
        </w:rPr>
        <w:t>Постановление</w:t>
      </w:r>
      <w:r>
        <w:rPr>
          <w:rFonts w:ascii="Times New Roman" w:hAnsi="Times New Roman" w:cs="Times New Roman"/>
          <w:sz w:val="18"/>
          <w:szCs w:val="18"/>
        </w:rPr>
        <w:t>м</w:t>
      </w:r>
      <w:r w:rsidRPr="000477E5">
        <w:rPr>
          <w:rFonts w:ascii="Times New Roman" w:hAnsi="Times New Roman" w:cs="Times New Roman"/>
          <w:sz w:val="18"/>
          <w:szCs w:val="18"/>
        </w:rPr>
        <w:t xml:space="preserve"> Правительства РФ от 13.12.2017 </w:t>
      </w:r>
      <w:r>
        <w:rPr>
          <w:rFonts w:ascii="Times New Roman" w:hAnsi="Times New Roman" w:cs="Times New Roman"/>
          <w:sz w:val="18"/>
          <w:szCs w:val="18"/>
        </w:rPr>
        <w:t>№</w:t>
      </w:r>
      <w:r w:rsidRPr="000477E5">
        <w:rPr>
          <w:rFonts w:ascii="Times New Roman" w:hAnsi="Times New Roman" w:cs="Times New Roman"/>
          <w:sz w:val="18"/>
          <w:szCs w:val="18"/>
        </w:rPr>
        <w:t>1531</w:t>
      </w:r>
      <w:r>
        <w:rPr>
          <w:rFonts w:ascii="Times New Roman" w:hAnsi="Times New Roman" w:cs="Times New Roman"/>
          <w:sz w:val="18"/>
          <w:szCs w:val="18"/>
        </w:rPr>
        <w:t xml:space="preserve"> (редакция</w:t>
      </w:r>
      <w:r w:rsidRPr="000477E5">
        <w:rPr>
          <w:rFonts w:ascii="Times New Roman" w:hAnsi="Times New Roman" w:cs="Times New Roman"/>
          <w:sz w:val="18"/>
          <w:szCs w:val="18"/>
        </w:rPr>
        <w:t xml:space="preserve"> от 27.09.2021)</w:t>
      </w:r>
      <w:r>
        <w:rPr>
          <w:rFonts w:ascii="Times New Roman" w:hAnsi="Times New Roman" w:cs="Times New Roman"/>
          <w:sz w:val="18"/>
          <w:szCs w:val="18"/>
        </w:rPr>
        <w:t xml:space="preserve"> «</w:t>
      </w:r>
      <w:r w:rsidRPr="000477E5">
        <w:rPr>
          <w:rFonts w:ascii="Times New Roman" w:hAnsi="Times New Roman" w:cs="Times New Roman"/>
          <w:sz w:val="18"/>
          <w:szCs w:val="18"/>
        </w:rPr>
        <w:t>О проведении в 2017 году реструктуризации обязательств (задолженности) субъектов Российской Федерации перед Российской Ф</w:t>
      </w:r>
      <w:r>
        <w:rPr>
          <w:rFonts w:ascii="Times New Roman" w:hAnsi="Times New Roman" w:cs="Times New Roman"/>
          <w:sz w:val="18"/>
          <w:szCs w:val="18"/>
        </w:rPr>
        <w:t>едерацией по бюджетным кредитам»)</w:t>
      </w:r>
    </w:p>
    <w:p w14:paraId="2DE4A235" w14:textId="77777777" w:rsidR="006618A8" w:rsidRDefault="006618A8" w:rsidP="00FF299A">
      <w:pPr>
        <w:spacing w:before="120" w:after="0" w:line="240" w:lineRule="auto"/>
        <w:jc w:val="both"/>
        <w:rPr>
          <w:rFonts w:ascii="Times New Roman" w:hAnsi="Times New Roman" w:cs="Times New Roman"/>
          <w:sz w:val="20"/>
          <w:szCs w:val="20"/>
        </w:rPr>
      </w:pPr>
    </w:p>
    <w:p w14:paraId="372F9E80" w14:textId="77777777" w:rsidR="006618A8" w:rsidRDefault="006618A8" w:rsidP="00FF299A">
      <w:pPr>
        <w:spacing w:before="120" w:after="0" w:line="240" w:lineRule="auto"/>
        <w:jc w:val="both"/>
        <w:rPr>
          <w:rFonts w:ascii="Times New Roman" w:hAnsi="Times New Roman" w:cs="Times New Roman"/>
          <w:sz w:val="20"/>
          <w:szCs w:val="20"/>
        </w:rPr>
      </w:pPr>
    </w:p>
    <w:p w14:paraId="289ACC65" w14:textId="1F39D71C" w:rsidR="00C45B52" w:rsidRPr="00284576" w:rsidRDefault="00C45B52" w:rsidP="00C45B52">
      <w:pPr>
        <w:spacing w:before="240" w:after="0" w:line="240" w:lineRule="auto"/>
        <w:ind w:firstLine="709"/>
        <w:jc w:val="both"/>
        <w:rPr>
          <w:rFonts w:ascii="Times New Roman" w:hAnsi="Times New Roman" w:cs="Times New Roman"/>
          <w:sz w:val="28"/>
          <w:szCs w:val="28"/>
        </w:rPr>
      </w:pPr>
      <w:r w:rsidRPr="00284576">
        <w:rPr>
          <w:rFonts w:ascii="Times New Roman" w:hAnsi="Times New Roman" w:cs="Times New Roman"/>
          <w:sz w:val="28"/>
          <w:szCs w:val="28"/>
        </w:rPr>
        <w:lastRenderedPageBreak/>
        <w:t xml:space="preserve">Как видно на диаграмме, верхний предел государственного долга области на 01.01.2023 </w:t>
      </w:r>
      <w:r w:rsidR="000F73BC" w:rsidRPr="00284576">
        <w:rPr>
          <w:rFonts w:ascii="Times New Roman" w:hAnsi="Times New Roman" w:cs="Times New Roman"/>
          <w:sz w:val="28"/>
          <w:szCs w:val="28"/>
        </w:rPr>
        <w:t>устанавливается в сумме</w:t>
      </w:r>
      <w:r w:rsidRPr="00284576">
        <w:rPr>
          <w:rFonts w:ascii="Times New Roman" w:hAnsi="Times New Roman" w:cs="Times New Roman"/>
          <w:sz w:val="28"/>
          <w:szCs w:val="28"/>
        </w:rPr>
        <w:t xml:space="preserve"> 27 929,2 млн. рублей, что выше объема государственного долга области по оценке на 01.01.2022 на 1 924,3 млн. рублей (на 7,4%). В плановом периоде рост верхнего предела государственного долга области предполагается незначительным – на 0,6% в 2023 году и на 0,3% в 2024 году.</w:t>
      </w:r>
    </w:p>
    <w:p w14:paraId="374F28A4" w14:textId="6C881814" w:rsidR="00FF299A" w:rsidRPr="00284576" w:rsidRDefault="00FF299A" w:rsidP="00FF299A">
      <w:pPr>
        <w:spacing w:after="0" w:line="240" w:lineRule="auto"/>
        <w:ind w:firstLine="709"/>
        <w:jc w:val="both"/>
        <w:rPr>
          <w:rFonts w:ascii="Times New Roman" w:hAnsi="Times New Roman" w:cs="Times New Roman"/>
          <w:sz w:val="28"/>
          <w:szCs w:val="28"/>
        </w:rPr>
      </w:pPr>
      <w:r w:rsidRPr="00284576">
        <w:rPr>
          <w:rFonts w:ascii="Times New Roman" w:hAnsi="Times New Roman" w:cs="Times New Roman"/>
          <w:sz w:val="28"/>
          <w:szCs w:val="28"/>
        </w:rPr>
        <w:t xml:space="preserve">Структура государственного долга области с учетом положений Законопроекта соответствует статье 99 БК РФ. В структуре государственного долга области в 2022-2024 годах </w:t>
      </w:r>
      <w:r w:rsidR="00B84CEA" w:rsidRPr="00284576">
        <w:rPr>
          <w:rFonts w:ascii="Times New Roman" w:hAnsi="Times New Roman" w:cs="Times New Roman"/>
          <w:sz w:val="28"/>
          <w:szCs w:val="28"/>
        </w:rPr>
        <w:t>отмечается</w:t>
      </w:r>
      <w:r w:rsidRPr="00284576">
        <w:rPr>
          <w:rFonts w:ascii="Times New Roman" w:hAnsi="Times New Roman" w:cs="Times New Roman"/>
          <w:sz w:val="28"/>
          <w:szCs w:val="28"/>
        </w:rPr>
        <w:t xml:space="preserve"> тенденци</w:t>
      </w:r>
      <w:r w:rsidR="00B84CEA" w:rsidRPr="00284576">
        <w:rPr>
          <w:rFonts w:ascii="Times New Roman" w:hAnsi="Times New Roman" w:cs="Times New Roman"/>
          <w:sz w:val="28"/>
          <w:szCs w:val="28"/>
        </w:rPr>
        <w:t>я</w:t>
      </w:r>
      <w:r w:rsidRPr="00284576">
        <w:rPr>
          <w:rFonts w:ascii="Times New Roman" w:hAnsi="Times New Roman" w:cs="Times New Roman"/>
          <w:sz w:val="28"/>
          <w:szCs w:val="28"/>
        </w:rPr>
        <w:t xml:space="preserve"> </w:t>
      </w:r>
      <w:r w:rsidR="00B84CEA" w:rsidRPr="00284576">
        <w:rPr>
          <w:rFonts w:ascii="Times New Roman" w:hAnsi="Times New Roman" w:cs="Times New Roman"/>
          <w:sz w:val="28"/>
          <w:szCs w:val="28"/>
        </w:rPr>
        <w:t>снижения</w:t>
      </w:r>
      <w:r w:rsidRPr="00284576">
        <w:rPr>
          <w:rFonts w:ascii="Times New Roman" w:hAnsi="Times New Roman" w:cs="Times New Roman"/>
          <w:sz w:val="28"/>
          <w:szCs w:val="28"/>
        </w:rPr>
        <w:t xml:space="preserve"> дол</w:t>
      </w:r>
      <w:r w:rsidR="00B84CEA" w:rsidRPr="00284576">
        <w:rPr>
          <w:rFonts w:ascii="Times New Roman" w:hAnsi="Times New Roman" w:cs="Times New Roman"/>
          <w:sz w:val="28"/>
          <w:szCs w:val="28"/>
        </w:rPr>
        <w:t>и</w:t>
      </w:r>
      <w:r w:rsidRPr="00284576">
        <w:rPr>
          <w:rFonts w:ascii="Times New Roman" w:hAnsi="Times New Roman" w:cs="Times New Roman"/>
          <w:sz w:val="28"/>
          <w:szCs w:val="28"/>
        </w:rPr>
        <w:t xml:space="preserve"> обязательств по бюджетным кредитам и увеличени</w:t>
      </w:r>
      <w:r w:rsidR="00B84CEA" w:rsidRPr="00284576">
        <w:rPr>
          <w:rFonts w:ascii="Times New Roman" w:hAnsi="Times New Roman" w:cs="Times New Roman"/>
          <w:sz w:val="28"/>
          <w:szCs w:val="28"/>
        </w:rPr>
        <w:t>я</w:t>
      </w:r>
      <w:r w:rsidRPr="00284576">
        <w:rPr>
          <w:rFonts w:ascii="Times New Roman" w:hAnsi="Times New Roman" w:cs="Times New Roman"/>
          <w:sz w:val="28"/>
          <w:szCs w:val="28"/>
        </w:rPr>
        <w:t xml:space="preserve"> дол</w:t>
      </w:r>
      <w:r w:rsidR="00B84CEA" w:rsidRPr="00284576">
        <w:rPr>
          <w:rFonts w:ascii="Times New Roman" w:hAnsi="Times New Roman" w:cs="Times New Roman"/>
          <w:sz w:val="28"/>
          <w:szCs w:val="28"/>
        </w:rPr>
        <w:t>и</w:t>
      </w:r>
      <w:r w:rsidRPr="00284576">
        <w:rPr>
          <w:rFonts w:ascii="Times New Roman" w:hAnsi="Times New Roman" w:cs="Times New Roman"/>
          <w:sz w:val="28"/>
          <w:szCs w:val="28"/>
        </w:rPr>
        <w:t xml:space="preserve"> обязательств по коммерческим кредитам.</w:t>
      </w:r>
    </w:p>
    <w:p w14:paraId="0F622A9D" w14:textId="77777777" w:rsidR="00077C49" w:rsidRPr="00A7537A" w:rsidRDefault="00077C49" w:rsidP="00077C49">
      <w:pPr>
        <w:spacing w:after="0" w:line="240" w:lineRule="auto"/>
        <w:ind w:firstLine="709"/>
        <w:jc w:val="both"/>
        <w:rPr>
          <w:rFonts w:ascii="Times New Roman" w:hAnsi="Times New Roman" w:cs="Times New Roman"/>
          <w:sz w:val="28"/>
          <w:szCs w:val="28"/>
        </w:rPr>
      </w:pPr>
      <w:r w:rsidRPr="00B222B8">
        <w:rPr>
          <w:rFonts w:ascii="Times New Roman" w:hAnsi="Times New Roman" w:cs="Times New Roman"/>
          <w:sz w:val="28"/>
          <w:szCs w:val="28"/>
        </w:rPr>
        <w:t xml:space="preserve">Объемы государственного долга области, которые могут быть достигнуты с учетом показателей Законопроекта, </w:t>
      </w:r>
      <w:r>
        <w:rPr>
          <w:rFonts w:ascii="Times New Roman" w:hAnsi="Times New Roman" w:cs="Times New Roman"/>
          <w:sz w:val="28"/>
          <w:szCs w:val="28"/>
        </w:rPr>
        <w:t xml:space="preserve">с учетом положений </w:t>
      </w:r>
      <w:r w:rsidRPr="00B222B8">
        <w:rPr>
          <w:rFonts w:ascii="Times New Roman" w:hAnsi="Times New Roman" w:cs="Times New Roman"/>
          <w:sz w:val="28"/>
          <w:szCs w:val="28"/>
        </w:rPr>
        <w:t>Постановлени</w:t>
      </w:r>
      <w:r>
        <w:rPr>
          <w:rFonts w:ascii="Times New Roman" w:hAnsi="Times New Roman" w:cs="Times New Roman"/>
          <w:sz w:val="28"/>
          <w:szCs w:val="28"/>
        </w:rPr>
        <w:t>я</w:t>
      </w:r>
      <w:r w:rsidRPr="00B222B8">
        <w:rPr>
          <w:rFonts w:ascii="Times New Roman" w:hAnsi="Times New Roman" w:cs="Times New Roman"/>
          <w:sz w:val="28"/>
          <w:szCs w:val="28"/>
        </w:rPr>
        <w:t xml:space="preserve"> Правительства РФ от 13.12.2017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w:t>
      </w:r>
      <w:r>
        <w:rPr>
          <w:rFonts w:ascii="Times New Roman" w:hAnsi="Times New Roman" w:cs="Times New Roman"/>
          <w:sz w:val="28"/>
          <w:szCs w:val="28"/>
        </w:rPr>
        <w:t xml:space="preserve">в </w:t>
      </w:r>
      <w:r w:rsidRPr="00B222B8">
        <w:rPr>
          <w:rFonts w:ascii="Times New Roman" w:hAnsi="Times New Roman" w:cs="Times New Roman"/>
          <w:sz w:val="28"/>
          <w:szCs w:val="28"/>
        </w:rPr>
        <w:t>редакци</w:t>
      </w:r>
      <w:r>
        <w:rPr>
          <w:rFonts w:ascii="Times New Roman" w:hAnsi="Times New Roman" w:cs="Times New Roman"/>
          <w:sz w:val="28"/>
          <w:szCs w:val="28"/>
        </w:rPr>
        <w:t>и</w:t>
      </w:r>
      <w:r w:rsidRPr="00B222B8">
        <w:rPr>
          <w:rFonts w:ascii="Times New Roman" w:hAnsi="Times New Roman" w:cs="Times New Roman"/>
          <w:sz w:val="28"/>
          <w:szCs w:val="28"/>
        </w:rPr>
        <w:t xml:space="preserve"> от 27.09.2021) позволя</w:t>
      </w:r>
      <w:r>
        <w:rPr>
          <w:rFonts w:ascii="Times New Roman" w:hAnsi="Times New Roman" w:cs="Times New Roman"/>
          <w:sz w:val="28"/>
          <w:szCs w:val="28"/>
        </w:rPr>
        <w:t>ю</w:t>
      </w:r>
      <w:r w:rsidRPr="00B222B8">
        <w:rPr>
          <w:rFonts w:ascii="Times New Roman" w:hAnsi="Times New Roman" w:cs="Times New Roman"/>
          <w:sz w:val="28"/>
          <w:szCs w:val="28"/>
        </w:rPr>
        <w:t>т соблюсти ограничения по уровню долговой нагрузки, предусмотренные дополнительным соглашением с Минфином России о реструктуризации задолженности перед федеральным бюджетом (в соответствии с дополнительным соглашением: на 01.01.2023 – 31%, на 01.01.2024 – 29%, на 01.01.2025 – 27%; в соответствии с Законопроектом: 30,1%, 28,5% и 26,9% соответственно).</w:t>
      </w:r>
    </w:p>
    <w:p w14:paraId="383C21F4" w14:textId="2166BE51" w:rsidR="00FF299A" w:rsidRPr="00FF299A" w:rsidRDefault="00FF299A" w:rsidP="00FF299A">
      <w:pPr>
        <w:spacing w:before="120" w:after="0" w:line="240" w:lineRule="auto"/>
        <w:ind w:firstLine="709"/>
        <w:jc w:val="both"/>
        <w:rPr>
          <w:rFonts w:ascii="Times New Roman" w:hAnsi="Times New Roman" w:cs="Times New Roman"/>
          <w:sz w:val="28"/>
          <w:szCs w:val="28"/>
        </w:rPr>
      </w:pPr>
      <w:r w:rsidRPr="00284576">
        <w:rPr>
          <w:rFonts w:ascii="Times New Roman" w:eastAsia="Calibri" w:hAnsi="Times New Roman" w:cs="Times New Roman"/>
          <w:kern w:val="28"/>
          <w:sz w:val="28"/>
          <w:szCs w:val="28"/>
        </w:rPr>
        <w:t>Расходы на обслуживание государственного</w:t>
      </w:r>
      <w:r w:rsidRPr="00FF299A">
        <w:rPr>
          <w:rFonts w:ascii="Times New Roman" w:eastAsia="Calibri" w:hAnsi="Times New Roman" w:cs="Times New Roman"/>
          <w:kern w:val="28"/>
          <w:sz w:val="28"/>
          <w:szCs w:val="28"/>
        </w:rPr>
        <w:t xml:space="preserve"> долга области по отношению к утвержденному показателю на 2021 год увеличатся в 2022 году в два раза и составят 682,6 млн. рублей, в 2023 году – 903,2 млн. рублей, в 2024 году – 1 233,4 млн. рублей. </w:t>
      </w:r>
      <w:r w:rsidRPr="00FF299A">
        <w:rPr>
          <w:rFonts w:ascii="Times New Roman" w:hAnsi="Times New Roman" w:cs="Times New Roman"/>
          <w:sz w:val="28"/>
          <w:szCs w:val="28"/>
        </w:rPr>
        <w:t xml:space="preserve">Годовые объемы расходов на обслуживание государственного долга области, предусмотренные Законопроектом на 2022-2024 годы, соответствуют требованиям статьи 111 БК РФ, а также показателю «Отношение объема расходов на обслуживание государственного долга Тульской области к объему доходов бюджета Тульской области, за исключением безвозмездных поступлений», предусмотренному госпрограммой «Управление государственными финансами Тульской области» (на 2022-2024 годы согласно </w:t>
      </w:r>
      <w:r w:rsidRPr="002E2C76">
        <w:rPr>
          <w:rFonts w:ascii="Times New Roman" w:hAnsi="Times New Roman" w:cs="Times New Roman"/>
          <w:sz w:val="28"/>
          <w:szCs w:val="28"/>
        </w:rPr>
        <w:t xml:space="preserve">госпрограмме – </w:t>
      </w:r>
      <w:r w:rsidR="00070083" w:rsidRPr="002E2C76">
        <w:rPr>
          <w:rFonts w:ascii="Times New Roman" w:hAnsi="Times New Roman" w:cs="Times New Roman"/>
          <w:sz w:val="28"/>
          <w:szCs w:val="28"/>
        </w:rPr>
        <w:t xml:space="preserve">не более </w:t>
      </w:r>
      <w:r w:rsidRPr="002E2C76">
        <w:rPr>
          <w:rFonts w:ascii="Times New Roman" w:hAnsi="Times New Roman" w:cs="Times New Roman"/>
          <w:sz w:val="28"/>
          <w:szCs w:val="28"/>
        </w:rPr>
        <w:t>1,9%,</w:t>
      </w:r>
      <w:r w:rsidRPr="00FF299A">
        <w:rPr>
          <w:rFonts w:ascii="Times New Roman" w:hAnsi="Times New Roman" w:cs="Times New Roman"/>
          <w:sz w:val="28"/>
          <w:szCs w:val="28"/>
        </w:rPr>
        <w:t xml:space="preserve"> 1,9%, 2%; согласно Законопроекту – 0,9%, 1,1%, 1,4%).</w:t>
      </w:r>
    </w:p>
    <w:p w14:paraId="337515D1" w14:textId="77777777" w:rsidR="00554152" w:rsidRDefault="00554152" w:rsidP="00554152">
      <w:pPr>
        <w:tabs>
          <w:tab w:val="left" w:pos="0"/>
        </w:tabs>
        <w:autoSpaceDE w:val="0"/>
        <w:autoSpaceDN w:val="0"/>
        <w:adjustRightInd w:val="0"/>
        <w:spacing w:after="120" w:line="240" w:lineRule="auto"/>
        <w:ind w:firstLine="709"/>
        <w:jc w:val="both"/>
        <w:rPr>
          <w:rFonts w:ascii="Times New Roman" w:eastAsia="Times New Roman" w:hAnsi="Times New Roman" w:cs="Times New Roman"/>
          <w:sz w:val="28"/>
          <w:szCs w:val="28"/>
          <w:highlight w:val="yellow"/>
          <w:lang w:eastAsia="ru-RU"/>
        </w:rPr>
      </w:pPr>
    </w:p>
    <w:p w14:paraId="1E802555" w14:textId="07602347" w:rsidR="005C12C9" w:rsidRPr="00244E4A" w:rsidRDefault="005C12C9" w:rsidP="00554152">
      <w:pPr>
        <w:tabs>
          <w:tab w:val="left" w:pos="0"/>
        </w:tabs>
        <w:autoSpaceDE w:val="0"/>
        <w:autoSpaceDN w:val="0"/>
        <w:adjustRightInd w:val="0"/>
        <w:spacing w:after="120" w:line="240" w:lineRule="auto"/>
        <w:ind w:firstLine="709"/>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rPr>
        <w:t>Настоящее заключение</w:t>
      </w:r>
      <w:r w:rsidRPr="00116BB9">
        <w:rPr>
          <w:rFonts w:ascii="Times New Roman" w:eastAsia="Calibri" w:hAnsi="Times New Roman" w:cs="Times New Roman"/>
          <w:sz w:val="28"/>
          <w:szCs w:val="28"/>
        </w:rPr>
        <w:t xml:space="preserve"> одобрено коллеги</w:t>
      </w:r>
      <w:r>
        <w:rPr>
          <w:rFonts w:ascii="Times New Roman" w:eastAsia="Calibri" w:hAnsi="Times New Roman" w:cs="Times New Roman"/>
          <w:sz w:val="28"/>
          <w:szCs w:val="28"/>
        </w:rPr>
        <w:t>ей</w:t>
      </w:r>
      <w:r w:rsidRPr="00116BB9">
        <w:rPr>
          <w:rFonts w:ascii="Times New Roman" w:eastAsia="Calibri" w:hAnsi="Times New Roman" w:cs="Times New Roman"/>
          <w:sz w:val="28"/>
          <w:szCs w:val="28"/>
        </w:rPr>
        <w:t xml:space="preserve"> счетной палаты Тульской </w:t>
      </w:r>
      <w:r w:rsidRPr="0044146F">
        <w:rPr>
          <w:rFonts w:ascii="Times New Roman" w:eastAsia="Calibri" w:hAnsi="Times New Roman" w:cs="Times New Roman"/>
          <w:sz w:val="28"/>
          <w:szCs w:val="28"/>
        </w:rPr>
        <w:t>области 11 ноября 2021 года (протокол № 11).</w:t>
      </w:r>
    </w:p>
    <w:p w14:paraId="763A5845" w14:textId="77777777" w:rsidR="00764D83" w:rsidRDefault="00764D83" w:rsidP="00D22349">
      <w:pPr>
        <w:tabs>
          <w:tab w:val="right" w:pos="9354"/>
        </w:tabs>
        <w:spacing w:after="0" w:line="240" w:lineRule="auto"/>
        <w:rPr>
          <w:rFonts w:ascii="Times New Roman" w:hAnsi="Times New Roman" w:cs="Times New Roman"/>
          <w:kern w:val="28"/>
          <w:sz w:val="28"/>
          <w:szCs w:val="28"/>
          <w:highlight w:val="yellow"/>
        </w:rPr>
      </w:pPr>
    </w:p>
    <w:p w14:paraId="634C3E25" w14:textId="77777777" w:rsidR="00284576" w:rsidRPr="00244E4A" w:rsidRDefault="00284576" w:rsidP="00D22349">
      <w:pPr>
        <w:tabs>
          <w:tab w:val="right" w:pos="9354"/>
        </w:tabs>
        <w:spacing w:after="0" w:line="240" w:lineRule="auto"/>
        <w:rPr>
          <w:rFonts w:ascii="Times New Roman" w:hAnsi="Times New Roman" w:cs="Times New Roman"/>
          <w:kern w:val="28"/>
          <w:sz w:val="28"/>
          <w:szCs w:val="28"/>
          <w:highlight w:val="yellow"/>
        </w:rPr>
      </w:pPr>
    </w:p>
    <w:p w14:paraId="333044C9" w14:textId="0A0EB45D" w:rsidR="00D22349" w:rsidRPr="00B32F92" w:rsidRDefault="006F1B51" w:rsidP="00D22349">
      <w:pPr>
        <w:tabs>
          <w:tab w:val="right" w:pos="9354"/>
        </w:tabs>
        <w:spacing w:after="0" w:line="240" w:lineRule="auto"/>
        <w:rPr>
          <w:rFonts w:ascii="Times New Roman" w:hAnsi="Times New Roman" w:cs="Times New Roman"/>
          <w:kern w:val="28"/>
          <w:sz w:val="28"/>
          <w:szCs w:val="28"/>
        </w:rPr>
      </w:pPr>
      <w:r w:rsidRPr="00B32F92">
        <w:rPr>
          <w:rFonts w:ascii="Times New Roman" w:hAnsi="Times New Roman" w:cs="Times New Roman"/>
          <w:kern w:val="28"/>
          <w:sz w:val="28"/>
          <w:szCs w:val="28"/>
        </w:rPr>
        <w:t>Аудитор</w:t>
      </w:r>
      <w:r w:rsidR="00D22349" w:rsidRPr="00B32F92">
        <w:rPr>
          <w:rFonts w:ascii="Times New Roman" w:hAnsi="Times New Roman" w:cs="Times New Roman"/>
          <w:kern w:val="28"/>
          <w:sz w:val="28"/>
          <w:szCs w:val="28"/>
        </w:rPr>
        <w:t xml:space="preserve"> </w:t>
      </w:r>
      <w:r w:rsidR="00953275" w:rsidRPr="00B32F92">
        <w:rPr>
          <w:rFonts w:ascii="Times New Roman" w:hAnsi="Times New Roman" w:cs="Times New Roman"/>
          <w:kern w:val="28"/>
          <w:sz w:val="28"/>
          <w:szCs w:val="28"/>
        </w:rPr>
        <w:t xml:space="preserve">счетной палаты </w:t>
      </w:r>
      <w:r w:rsidR="00D22349" w:rsidRPr="00B32F92">
        <w:rPr>
          <w:rFonts w:ascii="Times New Roman" w:hAnsi="Times New Roman" w:cs="Times New Roman"/>
          <w:kern w:val="28"/>
          <w:sz w:val="28"/>
          <w:szCs w:val="28"/>
        </w:rPr>
        <w:t xml:space="preserve">                                                      М.В. Титова    </w:t>
      </w:r>
    </w:p>
    <w:p w14:paraId="4BFDB8DE" w14:textId="1A768DA2" w:rsidR="00423B72" w:rsidRPr="00B3668E" w:rsidRDefault="00953275" w:rsidP="00D22349">
      <w:pPr>
        <w:tabs>
          <w:tab w:val="right" w:pos="9354"/>
        </w:tabs>
        <w:spacing w:after="0" w:line="240" w:lineRule="auto"/>
        <w:rPr>
          <w:rFonts w:ascii="Times New Roman" w:eastAsia="Times New Roman" w:hAnsi="Times New Roman" w:cs="Times New Roman"/>
          <w:sz w:val="28"/>
          <w:szCs w:val="28"/>
          <w:lang w:eastAsia="ru-RU"/>
        </w:rPr>
      </w:pPr>
      <w:r w:rsidRPr="00B32F92">
        <w:rPr>
          <w:rFonts w:ascii="Times New Roman" w:hAnsi="Times New Roman" w:cs="Times New Roman"/>
          <w:kern w:val="28"/>
          <w:sz w:val="28"/>
          <w:szCs w:val="28"/>
        </w:rPr>
        <w:t>Тульской области</w:t>
      </w:r>
      <w:r w:rsidR="00423236" w:rsidRPr="005D3CAA">
        <w:rPr>
          <w:rFonts w:ascii="Times New Roman" w:hAnsi="Times New Roman" w:cs="Times New Roman"/>
          <w:kern w:val="28"/>
          <w:sz w:val="28"/>
          <w:szCs w:val="28"/>
        </w:rPr>
        <w:tab/>
      </w:r>
      <w:r w:rsidR="00423236" w:rsidRPr="00847634">
        <w:rPr>
          <w:rFonts w:ascii="Times New Roman" w:hAnsi="Times New Roman" w:cs="Times New Roman"/>
          <w:kern w:val="28"/>
          <w:sz w:val="28"/>
          <w:szCs w:val="28"/>
        </w:rPr>
        <w:tab/>
      </w:r>
    </w:p>
    <w:sectPr w:rsidR="00423B72" w:rsidRPr="00B3668E" w:rsidSect="000B23E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3A46" w14:textId="77777777" w:rsidR="007E1DC3" w:rsidRDefault="007E1DC3" w:rsidP="00BD36B3">
      <w:pPr>
        <w:spacing w:after="0" w:line="240" w:lineRule="auto"/>
      </w:pPr>
      <w:r>
        <w:separator/>
      </w:r>
    </w:p>
  </w:endnote>
  <w:endnote w:type="continuationSeparator" w:id="0">
    <w:p w14:paraId="35766174" w14:textId="77777777" w:rsidR="007E1DC3" w:rsidRDefault="007E1DC3" w:rsidP="00BD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799A" w14:textId="77777777" w:rsidR="007E1DC3" w:rsidRDefault="007E1DC3" w:rsidP="00BD36B3">
      <w:pPr>
        <w:spacing w:after="0" w:line="240" w:lineRule="auto"/>
      </w:pPr>
      <w:r>
        <w:separator/>
      </w:r>
    </w:p>
  </w:footnote>
  <w:footnote w:type="continuationSeparator" w:id="0">
    <w:p w14:paraId="29DD22AD" w14:textId="77777777" w:rsidR="007E1DC3" w:rsidRDefault="007E1DC3" w:rsidP="00BD36B3">
      <w:pPr>
        <w:spacing w:after="0" w:line="240" w:lineRule="auto"/>
      </w:pPr>
      <w:r>
        <w:continuationSeparator/>
      </w:r>
    </w:p>
  </w:footnote>
  <w:footnote w:id="1">
    <w:p w14:paraId="28F69895" w14:textId="40183DCA" w:rsidR="00810744" w:rsidRPr="004B1339" w:rsidRDefault="00810744" w:rsidP="004B1339">
      <w:pPr>
        <w:pStyle w:val="a3"/>
        <w:ind w:firstLine="567"/>
        <w:jc w:val="both"/>
        <w:rPr>
          <w:sz w:val="22"/>
          <w:szCs w:val="22"/>
        </w:rPr>
      </w:pPr>
      <w:r w:rsidRPr="004B1339">
        <w:rPr>
          <w:rStyle w:val="a5"/>
          <w:sz w:val="22"/>
          <w:szCs w:val="22"/>
        </w:rPr>
        <w:footnoteRef/>
      </w:r>
      <w:r w:rsidRPr="004B1339">
        <w:rPr>
          <w:sz w:val="22"/>
          <w:szCs w:val="22"/>
        </w:rPr>
        <w:t> Закон Тульской области «О бюджете Тульской области на 2021 год и на плановый период 2022 и 2023 годов» (далее – Закон области о бюджете на 2021 год).</w:t>
      </w:r>
    </w:p>
  </w:footnote>
  <w:footnote w:id="2">
    <w:p w14:paraId="42ED44C9" w14:textId="5615F6D6" w:rsidR="00810744" w:rsidRPr="00F04753" w:rsidRDefault="00810744" w:rsidP="0047604B">
      <w:pPr>
        <w:autoSpaceDE w:val="0"/>
        <w:autoSpaceDN w:val="0"/>
        <w:adjustRightInd w:val="0"/>
        <w:spacing w:after="0" w:line="240" w:lineRule="auto"/>
        <w:ind w:firstLine="567"/>
        <w:jc w:val="both"/>
      </w:pPr>
      <w:r w:rsidRPr="00DC5358">
        <w:rPr>
          <w:rFonts w:ascii="Times New Roman" w:eastAsia="Times New Roman" w:hAnsi="Times New Roman" w:cs="Times New Roman"/>
          <w:spacing w:val="-4"/>
          <w:vertAlign w:val="superscript"/>
          <w:lang w:eastAsia="ru-RU"/>
        </w:rPr>
        <w:footnoteRef/>
      </w:r>
      <w:r w:rsidRPr="00DC5358">
        <w:rPr>
          <w:rFonts w:ascii="Times New Roman" w:eastAsia="Times New Roman" w:hAnsi="Times New Roman" w:cs="Times New Roman"/>
          <w:spacing w:val="-4"/>
          <w:lang w:eastAsia="ru-RU"/>
        </w:rPr>
        <w:t xml:space="preserve"> В соответствии с абзацем 8 пункта 3 статьи 184.1 БК РФ</w:t>
      </w:r>
      <w:r>
        <w:t xml:space="preserve">: </w:t>
      </w:r>
      <w:r>
        <w:rPr>
          <w:rFonts w:ascii="Times New Roman" w:hAnsi="Times New Roman" w:cs="Times New Roman"/>
        </w:rPr>
        <w:t xml:space="preserve">общий объем условно утверждаемых (утвержденных) расходов на первый год планового периода утверждается в объеме </w:t>
      </w:r>
      <w:r w:rsidRPr="00DC5358">
        <w:rPr>
          <w:rFonts w:ascii="Times New Roman" w:hAnsi="Times New Roman" w:cs="Times New Roman"/>
          <w:i/>
        </w:rPr>
        <w:t>не менее 2,5 процента</w:t>
      </w:r>
      <w:r>
        <w:rPr>
          <w:rFonts w:ascii="Times New Roman" w:hAnsi="Times New Roman" w:cs="Times New Roman"/>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w:t>
      </w:r>
      <w:r w:rsidRPr="00DC5358">
        <w:rPr>
          <w:rFonts w:ascii="Times New Roman" w:hAnsi="Times New Roman" w:cs="Times New Roman"/>
          <w:i/>
        </w:rPr>
        <w:t>не менее 5 процентов</w:t>
      </w:r>
      <w:r>
        <w:rPr>
          <w:rFonts w:ascii="Times New Roman" w:hAnsi="Times New Roman" w:cs="Times New Roman"/>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r>
        <w:t xml:space="preserve"> </w:t>
      </w:r>
    </w:p>
  </w:footnote>
  <w:footnote w:id="3">
    <w:p w14:paraId="0B48CA84" w14:textId="22B24067" w:rsidR="00810744" w:rsidRPr="000709A2" w:rsidRDefault="00810744" w:rsidP="000709A2">
      <w:pPr>
        <w:pStyle w:val="a3"/>
        <w:ind w:firstLine="567"/>
        <w:rPr>
          <w:sz w:val="22"/>
          <w:szCs w:val="22"/>
        </w:rPr>
      </w:pPr>
      <w:r w:rsidRPr="000709A2">
        <w:rPr>
          <w:rStyle w:val="a5"/>
          <w:sz w:val="22"/>
          <w:szCs w:val="22"/>
        </w:rPr>
        <w:footnoteRef/>
      </w:r>
      <w:r w:rsidRPr="000709A2">
        <w:rPr>
          <w:sz w:val="22"/>
          <w:szCs w:val="22"/>
        </w:rPr>
        <w:t xml:space="preserve"> Приложение №4 к Письму Губернатора.</w:t>
      </w:r>
    </w:p>
  </w:footnote>
  <w:footnote w:id="4">
    <w:p w14:paraId="67EA14E3" w14:textId="77777777" w:rsidR="00810744" w:rsidRPr="00A92FF4" w:rsidRDefault="00810744" w:rsidP="006B4831">
      <w:pPr>
        <w:pStyle w:val="a3"/>
        <w:ind w:firstLine="567"/>
        <w:jc w:val="both"/>
        <w:rPr>
          <w:sz w:val="22"/>
          <w:szCs w:val="22"/>
        </w:rPr>
      </w:pPr>
      <w:r w:rsidRPr="00A92FF4">
        <w:rPr>
          <w:rStyle w:val="a5"/>
          <w:sz w:val="22"/>
          <w:szCs w:val="22"/>
        </w:rPr>
        <w:footnoteRef/>
      </w:r>
      <w:r w:rsidRPr="00A92FF4">
        <w:rPr>
          <w:sz w:val="22"/>
          <w:szCs w:val="22"/>
        </w:rPr>
        <w:t xml:space="preserve"> Письмо Губернатора Тульской области «О проектах законов Тульской области «О бюджете Тульской области на 2022 год и на плановый период 2023 и 2024 годов» и «О бюджете территориального фонда обязательного медицинского страхования Тульской области на 2022 год и на плановый период 2023 и 2024 годов» с приложениями к Законопроектам. </w:t>
      </w:r>
    </w:p>
  </w:footnote>
  <w:footnote w:id="5">
    <w:p w14:paraId="01B53B64" w14:textId="3850C487" w:rsidR="00810744" w:rsidRPr="00D825EA" w:rsidRDefault="00810744" w:rsidP="00887C99">
      <w:pPr>
        <w:pStyle w:val="a3"/>
        <w:ind w:firstLine="567"/>
        <w:jc w:val="both"/>
        <w:rPr>
          <w:sz w:val="22"/>
          <w:szCs w:val="22"/>
        </w:rPr>
      </w:pPr>
      <w:r w:rsidRPr="00A92FF4">
        <w:rPr>
          <w:rStyle w:val="a5"/>
          <w:sz w:val="22"/>
          <w:szCs w:val="22"/>
        </w:rPr>
        <w:footnoteRef/>
      </w:r>
      <w:r>
        <w:rPr>
          <w:rFonts w:eastAsia="Calibri"/>
          <w:sz w:val="22"/>
          <w:szCs w:val="22"/>
        </w:rPr>
        <w:t> </w:t>
      </w:r>
      <w:r w:rsidRPr="00A92FF4">
        <w:rPr>
          <w:rFonts w:eastAsia="Calibri"/>
          <w:sz w:val="22"/>
          <w:szCs w:val="22"/>
        </w:rPr>
        <w:t xml:space="preserve">Расчеты представлены по 113 подстатьям доходов из 118-ти, по пяти подстатьям доходов (задолженность и перерасчеты по отмененным налогам на общую сумму 19,9 тыс. рублей на 2022 год, 11,1 тыс. рублей на 2023 год, 6,5 тыс. рублей – на 2024 год) поступления спрогнозированы по данным главного администратора доходов – Управления Федеральной налоговой службы по </w:t>
      </w:r>
      <w:r w:rsidRPr="00D825EA">
        <w:rPr>
          <w:rFonts w:eastAsia="Calibri"/>
          <w:sz w:val="22"/>
          <w:szCs w:val="22"/>
        </w:rPr>
        <w:t xml:space="preserve">Тульской области (далее – УФНС по Тульской области). </w:t>
      </w:r>
    </w:p>
  </w:footnote>
  <w:footnote w:id="6">
    <w:p w14:paraId="59DF01BC" w14:textId="175DC6DA" w:rsidR="00810744" w:rsidRPr="00D825EA" w:rsidRDefault="00810744" w:rsidP="00203227">
      <w:pPr>
        <w:pStyle w:val="a3"/>
        <w:spacing w:before="20"/>
        <w:ind w:firstLine="567"/>
        <w:jc w:val="both"/>
        <w:rPr>
          <w:sz w:val="22"/>
          <w:szCs w:val="22"/>
        </w:rPr>
      </w:pPr>
      <w:r w:rsidRPr="00D825EA">
        <w:rPr>
          <w:rStyle w:val="a5"/>
          <w:rFonts w:eastAsia="Calibri"/>
          <w:sz w:val="22"/>
          <w:szCs w:val="22"/>
        </w:rPr>
        <w:footnoteRef/>
      </w:r>
      <w:r w:rsidRPr="00D825EA">
        <w:rPr>
          <w:sz w:val="22"/>
          <w:szCs w:val="22"/>
        </w:rPr>
        <w:t> Согласно приложению 10 к письму Губернатора в расчетах использованы следующие прогнозные показатели социально-экономического развития Тульской области на 2022 год и плановый период:</w:t>
      </w:r>
    </w:p>
    <w:p w14:paraId="5B528155" w14:textId="77777777" w:rsidR="00810744" w:rsidRPr="00D825EA" w:rsidRDefault="00810744" w:rsidP="00203227">
      <w:pPr>
        <w:pStyle w:val="a3"/>
        <w:ind w:firstLine="567"/>
        <w:jc w:val="both"/>
        <w:rPr>
          <w:sz w:val="21"/>
          <w:szCs w:val="21"/>
        </w:rPr>
      </w:pPr>
      <w:r w:rsidRPr="00D825EA">
        <w:rPr>
          <w:sz w:val="21"/>
          <w:szCs w:val="21"/>
        </w:rPr>
        <w:t xml:space="preserve">– темпы роста прибыли прибыльных организаций (без учета прибыли сельхозпредприятий): 106,8%; 107,9%; 107,3% соответственно на 2022 год, 2023 год, 2024 год; </w:t>
      </w:r>
    </w:p>
    <w:p w14:paraId="07387346" w14:textId="77777777" w:rsidR="00810744" w:rsidRPr="00D825EA" w:rsidRDefault="00810744" w:rsidP="00203227">
      <w:pPr>
        <w:pStyle w:val="a3"/>
        <w:ind w:firstLine="567"/>
        <w:jc w:val="both"/>
        <w:rPr>
          <w:spacing w:val="-4"/>
          <w:sz w:val="21"/>
          <w:szCs w:val="21"/>
        </w:rPr>
      </w:pPr>
      <w:r w:rsidRPr="00D825EA">
        <w:rPr>
          <w:spacing w:val="-4"/>
          <w:sz w:val="21"/>
          <w:szCs w:val="21"/>
        </w:rPr>
        <w:t xml:space="preserve">– темпы роста фонда оплаты труда и выплат социального характера: 106,2%; 106,6%; 106,7% соответственно на </w:t>
      </w:r>
      <w:r w:rsidRPr="00D825EA">
        <w:rPr>
          <w:sz w:val="21"/>
          <w:szCs w:val="21"/>
        </w:rPr>
        <w:t xml:space="preserve">2022 год, 2023 год, 2024 </w:t>
      </w:r>
      <w:r w:rsidRPr="00D825EA">
        <w:rPr>
          <w:spacing w:val="-4"/>
          <w:sz w:val="21"/>
          <w:szCs w:val="21"/>
        </w:rPr>
        <w:t>год (учтены при расчете налога на доходы физических лиц)</w:t>
      </w:r>
      <w:r w:rsidRPr="00D825EA">
        <w:rPr>
          <w:sz w:val="21"/>
          <w:szCs w:val="21"/>
        </w:rPr>
        <w:t>;</w:t>
      </w:r>
    </w:p>
    <w:p w14:paraId="1BAAEC4B" w14:textId="79EC63E5" w:rsidR="00810744" w:rsidRPr="009A040C" w:rsidRDefault="00810744" w:rsidP="00203227">
      <w:pPr>
        <w:pStyle w:val="a3"/>
        <w:ind w:firstLine="567"/>
        <w:jc w:val="both"/>
        <w:rPr>
          <w:sz w:val="22"/>
          <w:szCs w:val="22"/>
        </w:rPr>
      </w:pPr>
      <w:r w:rsidRPr="00D825EA">
        <w:rPr>
          <w:sz w:val="22"/>
          <w:szCs w:val="22"/>
        </w:rPr>
        <w:t xml:space="preserve">– индексы потребительских цен в среднем за год: 105%; 104%; 104% соответственно на </w:t>
      </w:r>
      <w:r w:rsidRPr="00D825EA">
        <w:rPr>
          <w:sz w:val="21"/>
          <w:szCs w:val="21"/>
        </w:rPr>
        <w:t xml:space="preserve">2022 год, 2023 год, 2024 </w:t>
      </w:r>
      <w:r w:rsidRPr="00D825EA">
        <w:rPr>
          <w:sz w:val="22"/>
          <w:szCs w:val="22"/>
        </w:rPr>
        <w:t>год (учтены при расчете налога на доходы физических лиц, отдельных налогов на добычу полезных ископаемых и платежей за пользование недрами, платы за предоставление сведений и документов, содержащихся в ЕГРИП).</w:t>
      </w:r>
      <w:r w:rsidRPr="00D825EA">
        <w:t xml:space="preserve"> </w:t>
      </w:r>
    </w:p>
  </w:footnote>
  <w:footnote w:id="7">
    <w:p w14:paraId="124677F5" w14:textId="1DF1C77A" w:rsidR="00810744" w:rsidRPr="00353FA4" w:rsidRDefault="00810744" w:rsidP="00353FA4">
      <w:pPr>
        <w:autoSpaceDE w:val="0"/>
        <w:autoSpaceDN w:val="0"/>
        <w:adjustRightInd w:val="0"/>
        <w:spacing w:after="0" w:line="240" w:lineRule="auto"/>
        <w:ind w:firstLine="567"/>
        <w:jc w:val="both"/>
        <w:rPr>
          <w:spacing w:val="-4"/>
        </w:rPr>
      </w:pPr>
      <w:r w:rsidRPr="009A040C">
        <w:rPr>
          <w:rFonts w:ascii="Times New Roman" w:eastAsia="Times New Roman" w:hAnsi="Times New Roman" w:cs="Times New Roman"/>
          <w:spacing w:val="-4"/>
          <w:vertAlign w:val="superscript"/>
          <w:lang w:eastAsia="ru-RU"/>
        </w:rPr>
        <w:footnoteRef/>
      </w:r>
      <w:r w:rsidRPr="009A040C">
        <w:rPr>
          <w:rFonts w:ascii="Times New Roman" w:eastAsia="Times New Roman" w:hAnsi="Times New Roman" w:cs="Times New Roman"/>
          <w:spacing w:val="-4"/>
          <w:lang w:eastAsia="ru-RU"/>
        </w:rPr>
        <w:t> В соответствии с Федеральным законом от 02.07.2021</w:t>
      </w:r>
      <w:r w:rsidRPr="00353FA4">
        <w:rPr>
          <w:rFonts w:ascii="Times New Roman" w:eastAsia="Times New Roman" w:hAnsi="Times New Roman" w:cs="Times New Roman"/>
          <w:spacing w:val="-4"/>
          <w:lang w:eastAsia="ru-RU"/>
        </w:rPr>
        <w:t xml:space="preserve"> №305-ФЗ «О внесении изменений в части первую и вторую Налогового кодекса Российской Федерации и отдельные законодательные акты Российской Федерации», </w:t>
      </w:r>
      <w:r>
        <w:rPr>
          <w:rFonts w:ascii="Times New Roman" w:eastAsia="Times New Roman" w:hAnsi="Times New Roman" w:cs="Times New Roman"/>
          <w:spacing w:val="-4"/>
          <w:lang w:eastAsia="ru-RU"/>
        </w:rPr>
        <w:t xml:space="preserve">ставки </w:t>
      </w:r>
      <w:r w:rsidRPr="00353FA4">
        <w:rPr>
          <w:rFonts w:ascii="Times New Roman" w:eastAsia="Times New Roman" w:hAnsi="Times New Roman" w:cs="Times New Roman"/>
          <w:spacing w:val="-4"/>
          <w:lang w:eastAsia="ru-RU"/>
        </w:rPr>
        <w:t>устанавливаются в размере:</w:t>
      </w:r>
      <w:r w:rsidRPr="00353FA4">
        <w:rPr>
          <w:spacing w:val="-4"/>
        </w:rPr>
        <w:t xml:space="preserve"> </w:t>
      </w:r>
    </w:p>
    <w:p w14:paraId="3474A448" w14:textId="60D2EA54" w:rsidR="00810744" w:rsidRPr="00353FA4" w:rsidRDefault="00810744" w:rsidP="00353FA4">
      <w:pPr>
        <w:pStyle w:val="a3"/>
        <w:ind w:firstLine="567"/>
        <w:jc w:val="both"/>
        <w:rPr>
          <w:spacing w:val="-4"/>
          <w:sz w:val="22"/>
          <w:szCs w:val="22"/>
        </w:rPr>
      </w:pPr>
      <w:r w:rsidRPr="00353FA4">
        <w:rPr>
          <w:spacing w:val="-4"/>
          <w:sz w:val="22"/>
          <w:szCs w:val="22"/>
        </w:rPr>
        <w:t xml:space="preserve">по акцизам на этиловый спирт из пищевого или непищевого сырья (за исключением дистиллятов винного, виноградного, плодового, коньячного, </w:t>
      </w:r>
      <w:proofErr w:type="spellStart"/>
      <w:r w:rsidRPr="00353FA4">
        <w:rPr>
          <w:spacing w:val="-4"/>
          <w:sz w:val="22"/>
          <w:szCs w:val="22"/>
        </w:rPr>
        <w:t>кальвадосного</w:t>
      </w:r>
      <w:proofErr w:type="spellEnd"/>
      <w:r w:rsidRPr="00353FA4">
        <w:rPr>
          <w:spacing w:val="-4"/>
          <w:sz w:val="22"/>
          <w:szCs w:val="22"/>
        </w:rPr>
        <w:t xml:space="preserve">, </w:t>
      </w:r>
      <w:proofErr w:type="spellStart"/>
      <w:r w:rsidRPr="00353FA4">
        <w:rPr>
          <w:spacing w:val="-4"/>
          <w:sz w:val="22"/>
          <w:szCs w:val="22"/>
        </w:rPr>
        <w:t>вискового</w:t>
      </w:r>
      <w:proofErr w:type="spellEnd"/>
      <w:r w:rsidRPr="00353FA4">
        <w:rPr>
          <w:spacing w:val="-4"/>
          <w:sz w:val="22"/>
          <w:szCs w:val="22"/>
        </w:rPr>
        <w:t xml:space="preserve">), акцизам на спиртосодержащую продукцию: в 2022 году – 589,0 рублей за 1 литр; в 2023 году – 613,0 рублей за 1 литр, в 2024 году – 638,0 рублей за 1 литр; </w:t>
      </w:r>
    </w:p>
    <w:p w14:paraId="1CF4AB33" w14:textId="0C5C7E59" w:rsidR="00810744" w:rsidRPr="00353FA4" w:rsidRDefault="00810744" w:rsidP="00353FA4">
      <w:pPr>
        <w:pStyle w:val="a3"/>
        <w:ind w:firstLine="567"/>
        <w:jc w:val="both"/>
        <w:rPr>
          <w:spacing w:val="-4"/>
          <w:sz w:val="22"/>
          <w:szCs w:val="22"/>
        </w:rPr>
      </w:pPr>
      <w:r w:rsidRPr="00353FA4">
        <w:rPr>
          <w:spacing w:val="-4"/>
          <w:sz w:val="22"/>
          <w:szCs w:val="22"/>
        </w:rPr>
        <w:t xml:space="preserve">по акцизам на пиво, акцизам на сидр, </w:t>
      </w:r>
      <w:proofErr w:type="spellStart"/>
      <w:r w:rsidRPr="00353FA4">
        <w:rPr>
          <w:spacing w:val="-4"/>
          <w:sz w:val="22"/>
          <w:szCs w:val="22"/>
        </w:rPr>
        <w:t>пуаре</w:t>
      </w:r>
      <w:proofErr w:type="spellEnd"/>
      <w:r w:rsidRPr="00353FA4">
        <w:rPr>
          <w:spacing w:val="-4"/>
          <w:sz w:val="22"/>
          <w:szCs w:val="22"/>
        </w:rPr>
        <w:t>, медовуху: в 2022 году – 24 рубля за 1 литр; в 2023 году – 25 рублей за 1 литр; в 2024 году – 26 рублей за литр.</w:t>
      </w:r>
    </w:p>
  </w:footnote>
  <w:footnote w:id="8">
    <w:p w14:paraId="7645E5E7" w14:textId="3E4093BB" w:rsidR="00810744" w:rsidRPr="00731AEE" w:rsidRDefault="00810744" w:rsidP="007E0922">
      <w:pPr>
        <w:pStyle w:val="a3"/>
        <w:spacing w:before="40"/>
        <w:ind w:firstLine="567"/>
        <w:jc w:val="both"/>
        <w:rPr>
          <w:spacing w:val="-4"/>
          <w:sz w:val="21"/>
          <w:szCs w:val="21"/>
        </w:rPr>
      </w:pPr>
      <w:r w:rsidRPr="00731AEE">
        <w:rPr>
          <w:rStyle w:val="a5"/>
          <w:spacing w:val="-4"/>
          <w:sz w:val="21"/>
          <w:szCs w:val="21"/>
        </w:rPr>
        <w:footnoteRef/>
      </w:r>
      <w:r w:rsidRPr="00731AEE">
        <w:rPr>
          <w:spacing w:val="-4"/>
          <w:sz w:val="21"/>
          <w:szCs w:val="21"/>
        </w:rPr>
        <w:t> В соответствии с изменениями, вносимыми в БК РФ (проект федерального закона №1258306-7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принят Государственной Думой ФС РФ в I чтении 21.10.2021) увеличены с 80% до 84% нормативы зачисления в бюджеты субъектов РФ по доходам от уплаты акцизов на алкогольную продукцию с объемной долей этилового спирта свыше 9%.</w:t>
      </w:r>
    </w:p>
  </w:footnote>
  <w:footnote w:id="9">
    <w:p w14:paraId="08E692BB" w14:textId="2B22F264" w:rsidR="00810744" w:rsidRPr="00731AEE" w:rsidRDefault="00810744" w:rsidP="008D0546">
      <w:pPr>
        <w:pStyle w:val="a3"/>
        <w:spacing w:before="20"/>
        <w:ind w:firstLine="567"/>
        <w:jc w:val="both"/>
        <w:rPr>
          <w:spacing w:val="-4"/>
          <w:sz w:val="21"/>
          <w:szCs w:val="21"/>
        </w:rPr>
      </w:pPr>
      <w:r w:rsidRPr="00731AEE">
        <w:rPr>
          <w:rStyle w:val="a5"/>
          <w:spacing w:val="-4"/>
          <w:sz w:val="21"/>
          <w:szCs w:val="21"/>
        </w:rPr>
        <w:footnoteRef/>
      </w:r>
      <w:r w:rsidRPr="00731AEE">
        <w:rPr>
          <w:spacing w:val="-4"/>
          <w:sz w:val="21"/>
          <w:szCs w:val="21"/>
        </w:rPr>
        <w:t xml:space="preserve"> На основании сведений УФНС по Тульской области в доходах бюджета области в 2023 году учтено 24,2 млн. рублей.</w:t>
      </w:r>
    </w:p>
  </w:footnote>
  <w:footnote w:id="10">
    <w:p w14:paraId="011B8E95" w14:textId="32356C12" w:rsidR="00810744" w:rsidRPr="00537981" w:rsidRDefault="00810744" w:rsidP="008D0546">
      <w:pPr>
        <w:pStyle w:val="a3"/>
        <w:spacing w:before="20"/>
        <w:ind w:firstLine="567"/>
        <w:jc w:val="both"/>
        <w:rPr>
          <w:spacing w:val="-6"/>
          <w:sz w:val="22"/>
          <w:szCs w:val="22"/>
        </w:rPr>
      </w:pPr>
      <w:r w:rsidRPr="00731AEE">
        <w:rPr>
          <w:rStyle w:val="a5"/>
          <w:spacing w:val="-4"/>
          <w:sz w:val="21"/>
          <w:szCs w:val="21"/>
        </w:rPr>
        <w:footnoteRef/>
      </w:r>
      <w:r w:rsidRPr="00731AEE">
        <w:rPr>
          <w:spacing w:val="-4"/>
          <w:sz w:val="21"/>
          <w:szCs w:val="21"/>
        </w:rPr>
        <w:t> УФНС по Тульской области (по отдельным налоговым доходам), главных администраторов доходов – органов исполнительной власти Тульской области (по государственной пошлине, неналоговым доходам).</w:t>
      </w:r>
    </w:p>
  </w:footnote>
  <w:footnote w:id="11">
    <w:p w14:paraId="7192CC78" w14:textId="3F2756E4" w:rsidR="00810744" w:rsidRDefault="00810744" w:rsidP="0045153D">
      <w:pPr>
        <w:pStyle w:val="a3"/>
        <w:ind w:firstLine="567"/>
      </w:pPr>
      <w:r>
        <w:rPr>
          <w:rStyle w:val="a5"/>
        </w:rPr>
        <w:footnoteRef/>
      </w:r>
      <w:r>
        <w:t xml:space="preserve"> </w:t>
      </w:r>
      <w:r w:rsidRPr="0045153D">
        <w:rPr>
          <w:rFonts w:eastAsia="Calibri"/>
          <w:spacing w:val="-4"/>
          <w:sz w:val="22"/>
          <w:szCs w:val="22"/>
        </w:rPr>
        <w:t>Закон Тульской области №105</w:t>
      </w:r>
      <w:r w:rsidRPr="0045153D">
        <w:rPr>
          <w:rFonts w:eastAsia="Calibri"/>
          <w:spacing w:val="-4"/>
          <w:sz w:val="22"/>
          <w:szCs w:val="22"/>
        </w:rPr>
        <w:noBreakHyphen/>
        <w:t>ЗТО «О бюджете Тульской области на 2021 год и на плановый период 2022 и 2023 годов»</w:t>
      </w:r>
      <w:r>
        <w:rPr>
          <w:rFonts w:eastAsia="Calibri"/>
          <w:spacing w:val="-4"/>
          <w:sz w:val="22"/>
          <w:szCs w:val="22"/>
        </w:rPr>
        <w:t>.</w:t>
      </w:r>
    </w:p>
  </w:footnote>
  <w:footnote w:id="12">
    <w:p w14:paraId="7956F297" w14:textId="75FECADC" w:rsidR="00810744" w:rsidRPr="00FB7390" w:rsidRDefault="00810744" w:rsidP="009C134E">
      <w:pPr>
        <w:pStyle w:val="a3"/>
        <w:ind w:firstLine="567"/>
        <w:jc w:val="both"/>
        <w:rPr>
          <w:spacing w:val="-5"/>
          <w:sz w:val="21"/>
          <w:szCs w:val="21"/>
        </w:rPr>
      </w:pPr>
      <w:r w:rsidRPr="00FB7390">
        <w:rPr>
          <w:rStyle w:val="a5"/>
          <w:spacing w:val="-5"/>
          <w:sz w:val="21"/>
          <w:szCs w:val="21"/>
        </w:rPr>
        <w:footnoteRef/>
      </w:r>
      <w:r w:rsidRPr="00FB7390">
        <w:rPr>
          <w:spacing w:val="-5"/>
          <w:sz w:val="21"/>
          <w:szCs w:val="21"/>
        </w:rPr>
        <w:t> Прогноз составлен на основании сведений главных администраторов доходов: министерства финансов Тульской области – «Проценты, полученные от предоставления бюджетных кредитов внутри страны» (11,7 млн. рублей); министерства имущественных и земельных отношений – доходы от сдачи имущества, земельных участков в аренду, доходы от перечисления части прибыли, остающейся после уплаты налогов и иных обязательных платежей государственных унитарных предприятий и другие (36,6 млн. рублей); другие главные администраторы доходов – прочие поступления от использования имущества (9,0 млн. рублей).</w:t>
      </w:r>
    </w:p>
  </w:footnote>
  <w:footnote w:id="13">
    <w:p w14:paraId="0B27A5C5" w14:textId="3E751414" w:rsidR="00810744" w:rsidRPr="00FB7390" w:rsidRDefault="00810744" w:rsidP="009D4F89">
      <w:pPr>
        <w:pStyle w:val="a3"/>
        <w:ind w:firstLine="567"/>
        <w:jc w:val="both"/>
        <w:rPr>
          <w:spacing w:val="-5"/>
          <w:sz w:val="21"/>
          <w:szCs w:val="21"/>
        </w:rPr>
      </w:pPr>
      <w:r w:rsidRPr="00FB7390">
        <w:rPr>
          <w:rStyle w:val="a5"/>
          <w:spacing w:val="-5"/>
          <w:sz w:val="21"/>
          <w:szCs w:val="21"/>
        </w:rPr>
        <w:footnoteRef/>
      </w:r>
      <w:r w:rsidRPr="00FB7390">
        <w:rPr>
          <w:spacing w:val="-5"/>
          <w:sz w:val="21"/>
          <w:szCs w:val="21"/>
        </w:rPr>
        <w:t> Доходы от продажи материальных и нематериальных активов прогнозируются в соответствии с планируемыми внесениями изменений в программу приватизации Тульской области на 2022 год (в Закон Тульской области от 20.07.2021 №72-ЗТО).</w:t>
      </w:r>
    </w:p>
    <w:p w14:paraId="45F8493D" w14:textId="57591711" w:rsidR="00810744" w:rsidRPr="00FB7390" w:rsidRDefault="00810744" w:rsidP="009D4F89">
      <w:pPr>
        <w:pStyle w:val="a3"/>
        <w:ind w:firstLine="567"/>
        <w:rPr>
          <w:spacing w:val="-5"/>
          <w:sz w:val="21"/>
          <w:szCs w:val="21"/>
        </w:rPr>
      </w:pPr>
      <w:proofErr w:type="spellStart"/>
      <w:r w:rsidRPr="00FB7390">
        <w:rPr>
          <w:spacing w:val="-5"/>
          <w:sz w:val="21"/>
          <w:szCs w:val="21"/>
        </w:rPr>
        <w:t>Справочно</w:t>
      </w:r>
      <w:proofErr w:type="spellEnd"/>
      <w:r w:rsidRPr="00FB7390">
        <w:rPr>
          <w:spacing w:val="-5"/>
          <w:sz w:val="21"/>
          <w:szCs w:val="21"/>
        </w:rPr>
        <w:t>: согласно утвержденной программе приватизации Тульской области на 2022 год доходы от продажи имущества на 2022 год установлены в сумме 222,6 тыс. рублей.</w:t>
      </w:r>
    </w:p>
  </w:footnote>
  <w:footnote w:id="14">
    <w:p w14:paraId="6B14817C" w14:textId="15615DEE" w:rsidR="00810744" w:rsidRPr="00FB7390" w:rsidRDefault="00810744" w:rsidP="00984FFB">
      <w:pPr>
        <w:pStyle w:val="a3"/>
        <w:ind w:firstLine="567"/>
        <w:jc w:val="both"/>
        <w:rPr>
          <w:spacing w:val="-5"/>
          <w:sz w:val="21"/>
          <w:szCs w:val="21"/>
        </w:rPr>
      </w:pPr>
      <w:r w:rsidRPr="00FB7390">
        <w:rPr>
          <w:rStyle w:val="a5"/>
          <w:spacing w:val="-5"/>
          <w:sz w:val="21"/>
          <w:szCs w:val="21"/>
        </w:rPr>
        <w:footnoteRef/>
      </w:r>
      <w:r w:rsidRPr="00FB7390">
        <w:rPr>
          <w:spacing w:val="-5"/>
          <w:sz w:val="21"/>
          <w:szCs w:val="21"/>
        </w:rPr>
        <w:t xml:space="preserve"> На основании сведений главного администратора доходов – министерства здравоохранения Тульской области. </w:t>
      </w:r>
    </w:p>
  </w:footnote>
  <w:footnote w:id="15">
    <w:p w14:paraId="0CB85D33" w14:textId="535D27FC" w:rsidR="00810744" w:rsidRPr="00FB7390" w:rsidRDefault="00810744" w:rsidP="00984FFB">
      <w:pPr>
        <w:pStyle w:val="a3"/>
        <w:ind w:firstLine="567"/>
        <w:jc w:val="both"/>
        <w:rPr>
          <w:spacing w:val="-5"/>
          <w:sz w:val="21"/>
          <w:szCs w:val="21"/>
        </w:rPr>
      </w:pPr>
      <w:r w:rsidRPr="00FB7390">
        <w:rPr>
          <w:rStyle w:val="a5"/>
          <w:spacing w:val="-5"/>
          <w:sz w:val="21"/>
          <w:szCs w:val="21"/>
        </w:rPr>
        <w:footnoteRef/>
      </w:r>
      <w:r w:rsidRPr="00FB7390">
        <w:rPr>
          <w:spacing w:val="-5"/>
          <w:sz w:val="21"/>
          <w:szCs w:val="21"/>
        </w:rPr>
        <w:t> На основании сведений главного администратора доходов – министерства труда и социальной защиты Тульской области.</w:t>
      </w:r>
    </w:p>
  </w:footnote>
  <w:footnote w:id="16">
    <w:p w14:paraId="3AC0398F" w14:textId="74F5E2B2" w:rsidR="00810744" w:rsidRPr="00FB7390" w:rsidRDefault="00810744" w:rsidP="006268F6">
      <w:pPr>
        <w:pStyle w:val="a3"/>
        <w:ind w:firstLine="567"/>
        <w:jc w:val="both"/>
        <w:rPr>
          <w:spacing w:val="-5"/>
          <w:sz w:val="21"/>
          <w:szCs w:val="21"/>
        </w:rPr>
      </w:pPr>
      <w:r w:rsidRPr="00FB7390">
        <w:rPr>
          <w:rStyle w:val="a5"/>
          <w:spacing w:val="-5"/>
          <w:sz w:val="21"/>
          <w:szCs w:val="21"/>
        </w:rPr>
        <w:footnoteRef/>
      </w:r>
      <w:r w:rsidRPr="00FB7390">
        <w:rPr>
          <w:spacing w:val="-5"/>
          <w:sz w:val="21"/>
          <w:szCs w:val="21"/>
        </w:rPr>
        <w:t xml:space="preserve"> В соответствии с Проектом закона о федеральном бюджете на 2022-2024 годы бюджету области распределены следующие межбюджетные трансферты, не учтенные в представленном Законопроекте (тыс. рублей):</w:t>
      </w:r>
    </w:p>
    <w:tbl>
      <w:tblPr>
        <w:tblW w:w="9494" w:type="dxa"/>
        <w:tblInd w:w="-5" w:type="dxa"/>
        <w:shd w:val="clear" w:color="auto" w:fill="FFFFFF" w:themeFill="background1"/>
        <w:tblLayout w:type="fixed"/>
        <w:tblLook w:val="04A0" w:firstRow="1" w:lastRow="0" w:firstColumn="1" w:lastColumn="0" w:noHBand="0" w:noVBand="1"/>
      </w:tblPr>
      <w:tblGrid>
        <w:gridCol w:w="5858"/>
        <w:gridCol w:w="858"/>
        <w:gridCol w:w="858"/>
        <w:gridCol w:w="860"/>
        <w:gridCol w:w="1060"/>
      </w:tblGrid>
      <w:tr w:rsidR="00810744" w:rsidRPr="003B408A" w14:paraId="7A3C088F" w14:textId="77777777" w:rsidTr="009C11EA">
        <w:trPr>
          <w:trHeight w:val="270"/>
          <w:tblHeader/>
        </w:trPr>
        <w:tc>
          <w:tcPr>
            <w:tcW w:w="308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B6CF78A" w14:textId="77777777" w:rsidR="00810744" w:rsidRPr="000B1B36" w:rsidRDefault="00810744" w:rsidP="00FF4267">
            <w:pPr>
              <w:spacing w:after="0" w:line="240" w:lineRule="auto"/>
              <w:jc w:val="center"/>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Наименование межбюджетных трансфертов</w:t>
            </w:r>
          </w:p>
        </w:tc>
        <w:tc>
          <w:tcPr>
            <w:tcW w:w="452" w:type="pct"/>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1E616C1C" w14:textId="77777777" w:rsidR="00810744" w:rsidRPr="000B1B36" w:rsidRDefault="00810744" w:rsidP="00FF4267">
            <w:pPr>
              <w:spacing w:after="0" w:line="240" w:lineRule="auto"/>
              <w:jc w:val="center"/>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2022 год</w:t>
            </w:r>
          </w:p>
        </w:tc>
        <w:tc>
          <w:tcPr>
            <w:tcW w:w="452" w:type="pct"/>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1A7D3522" w14:textId="77777777" w:rsidR="00810744" w:rsidRPr="000B1B36" w:rsidRDefault="00810744" w:rsidP="00FF4267">
            <w:pPr>
              <w:spacing w:after="0" w:line="240" w:lineRule="auto"/>
              <w:jc w:val="center"/>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2023 год</w:t>
            </w:r>
          </w:p>
        </w:tc>
        <w:tc>
          <w:tcPr>
            <w:tcW w:w="452" w:type="pct"/>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506C0D5A" w14:textId="77777777" w:rsidR="00810744" w:rsidRPr="000B1B36" w:rsidRDefault="00810744" w:rsidP="00FF4267">
            <w:pPr>
              <w:spacing w:after="0" w:line="240" w:lineRule="auto"/>
              <w:jc w:val="center"/>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2024 год</w:t>
            </w:r>
          </w:p>
        </w:tc>
        <w:tc>
          <w:tcPr>
            <w:tcW w:w="558" w:type="pct"/>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5C4911C8"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xml:space="preserve">Таблицы </w:t>
            </w:r>
            <w:r w:rsidRPr="003B408A">
              <w:rPr>
                <w:rFonts w:ascii="Times New Roman" w:eastAsia="Times New Roman" w:hAnsi="Times New Roman" w:cs="Times New Roman"/>
                <w:color w:val="000000"/>
                <w:sz w:val="16"/>
                <w:szCs w:val="16"/>
                <w:lang w:eastAsia="ru-RU"/>
              </w:rPr>
              <w:t>п</w:t>
            </w:r>
            <w:r w:rsidRPr="000B1B36">
              <w:rPr>
                <w:rFonts w:ascii="Times New Roman" w:eastAsia="Times New Roman" w:hAnsi="Times New Roman" w:cs="Times New Roman"/>
                <w:color w:val="000000"/>
                <w:sz w:val="16"/>
                <w:szCs w:val="16"/>
                <w:lang w:eastAsia="ru-RU"/>
              </w:rPr>
              <w:t>рил</w:t>
            </w:r>
            <w:r w:rsidRPr="003B408A">
              <w:rPr>
                <w:rFonts w:ascii="Times New Roman" w:eastAsia="Times New Roman" w:hAnsi="Times New Roman" w:cs="Times New Roman"/>
                <w:color w:val="000000"/>
                <w:sz w:val="16"/>
                <w:szCs w:val="16"/>
                <w:lang w:eastAsia="ru-RU"/>
              </w:rPr>
              <w:t>.</w:t>
            </w:r>
            <w:r w:rsidRPr="000B1B36">
              <w:rPr>
                <w:rFonts w:ascii="Times New Roman" w:eastAsia="Times New Roman" w:hAnsi="Times New Roman" w:cs="Times New Roman"/>
                <w:color w:val="000000"/>
                <w:sz w:val="16"/>
                <w:szCs w:val="16"/>
                <w:lang w:eastAsia="ru-RU"/>
              </w:rPr>
              <w:t xml:space="preserve"> 33 </w:t>
            </w:r>
          </w:p>
        </w:tc>
      </w:tr>
      <w:tr w:rsidR="00810744" w:rsidRPr="003B408A" w14:paraId="02FD25EA" w14:textId="77777777" w:rsidTr="009C11EA">
        <w:trPr>
          <w:trHeight w:val="139"/>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6C214D28"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субъектам РФ на развитие сети учреждений культурно-досугового типа</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5499F76F"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75 683,2</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31B63990"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149 702,2</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36CB13CB"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14 394,7</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27C31B5A"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93</w:t>
            </w:r>
          </w:p>
        </w:tc>
      </w:tr>
      <w:tr w:rsidR="00810744" w:rsidRPr="003B408A" w14:paraId="2D23F1A6" w14:textId="77777777" w:rsidTr="009C11EA">
        <w:trPr>
          <w:trHeight w:val="387"/>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44A429CB"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возмещение части затрат на уплату процентов по инвестиционным кредитам (займам) в агропромышленном комплексе</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68E43BE5"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16DAA74C"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5D50BFB0"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51 783,9</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7DD69BCD"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95</w:t>
            </w:r>
          </w:p>
        </w:tc>
      </w:tr>
      <w:tr w:rsidR="00810744" w:rsidRPr="003B408A" w14:paraId="220CAD61" w14:textId="77777777" w:rsidTr="009C11EA">
        <w:trPr>
          <w:trHeight w:val="484"/>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56FA2F9D" w14:textId="5E1995E7" w:rsidR="00810744" w:rsidRPr="000B1B36" w:rsidRDefault="00810744" w:rsidP="000E6AA8">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создание (обновление) материально-технической базы образовательных организаций, реализующих программы среднего профессионального</w:t>
            </w:r>
            <w:r>
              <w:rPr>
                <w:rFonts w:ascii="Times New Roman" w:eastAsia="Times New Roman" w:hAnsi="Times New Roman" w:cs="Times New Roman"/>
                <w:color w:val="000000"/>
                <w:sz w:val="16"/>
                <w:szCs w:val="16"/>
                <w:lang w:eastAsia="ru-RU"/>
              </w:rPr>
              <w:t xml:space="preserve"> </w:t>
            </w:r>
            <w:r w:rsidRPr="000B1B36">
              <w:rPr>
                <w:rFonts w:ascii="Times New Roman" w:eastAsia="Times New Roman" w:hAnsi="Times New Roman" w:cs="Times New Roman"/>
                <w:color w:val="000000"/>
                <w:sz w:val="16"/>
                <w:szCs w:val="16"/>
                <w:lang w:eastAsia="ru-RU"/>
              </w:rPr>
              <w:t xml:space="preserve">образования </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570190B8"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59 721,1</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7219D841"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65 643,9</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648A27A7"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76 210,9</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23201D31"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96</w:t>
            </w:r>
          </w:p>
        </w:tc>
      </w:tr>
      <w:tr w:rsidR="00810744" w:rsidRPr="003B408A" w14:paraId="6491A6FF" w14:textId="77777777" w:rsidTr="009C11EA">
        <w:trPr>
          <w:trHeight w:val="387"/>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5B642E24"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возмещение производителям зерновых культур части затрат на производство и реализацию зерновых культур</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2D4AF4FE"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2FA58CEA"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7D1BC246"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116 832,5</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2CF8EC65"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97</w:t>
            </w:r>
          </w:p>
        </w:tc>
      </w:tr>
      <w:tr w:rsidR="00810744" w:rsidRPr="003B408A" w14:paraId="21ACE963" w14:textId="77777777" w:rsidTr="009C11EA">
        <w:trPr>
          <w:trHeight w:val="193"/>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42C06957"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развитие сельского туризма</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6A960D3D"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9 700,0</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1986C6D0"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10 000,0</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6285D162"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19 700,0</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42BE82CE"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100</w:t>
            </w:r>
          </w:p>
        </w:tc>
      </w:tr>
      <w:tr w:rsidR="00810744" w:rsidRPr="003B408A" w14:paraId="2312EB27" w14:textId="77777777" w:rsidTr="009C11EA">
        <w:trPr>
          <w:trHeight w:val="387"/>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0182388F"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переоснащение медицинских организаций, оказывающих медицинскую помощь больным с онкологическими заболеваниями</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7BC08543"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23C547D7"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6261C2B8"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78 632,0</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5B77EED9"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106</w:t>
            </w:r>
          </w:p>
        </w:tc>
      </w:tr>
      <w:tr w:rsidR="00810744" w:rsidRPr="003B408A" w14:paraId="2F259B40" w14:textId="77777777" w:rsidTr="009C11EA">
        <w:trPr>
          <w:trHeight w:val="290"/>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27D3F55C"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оснащение оборудованием региональных сосудистых центров и первичных сосудистых отделений</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09789B20"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72E3BFC9"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264185D2"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178 763,5</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3AB7903F"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107</w:t>
            </w:r>
          </w:p>
        </w:tc>
      </w:tr>
      <w:tr w:rsidR="00810744" w:rsidRPr="003B408A" w14:paraId="4C6F453B" w14:textId="77777777" w:rsidTr="009C11EA">
        <w:trPr>
          <w:trHeight w:val="193"/>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50C1C256"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техническое оснащение муниципальных музеев</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34494026"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6 391,2</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792EC2A6"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9 345,3</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11EE5A23"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24 150,0</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00049FB3"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108</w:t>
            </w:r>
          </w:p>
        </w:tc>
      </w:tr>
      <w:tr w:rsidR="00810744" w:rsidRPr="003B408A" w14:paraId="6D0BE04D" w14:textId="77777777" w:rsidTr="009C11EA">
        <w:trPr>
          <w:trHeight w:val="290"/>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63BFD2E8"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Субсидии бюджетам субъектов РФ на реконструкцию и капитальный ремонт муниципальных музеев</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510AFA41"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21 000,0</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2D2F5FA3"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77 466,3</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0D74C9C2"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74 323,4</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546CCD46"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110</w:t>
            </w:r>
          </w:p>
        </w:tc>
      </w:tr>
      <w:tr w:rsidR="00810744" w:rsidRPr="000B1B36" w14:paraId="01B0603F" w14:textId="77777777" w:rsidTr="009C11EA">
        <w:trPr>
          <w:trHeight w:val="387"/>
        </w:trPr>
        <w:tc>
          <w:tcPr>
            <w:tcW w:w="3085" w:type="pct"/>
            <w:tcBorders>
              <w:top w:val="nil"/>
              <w:left w:val="single" w:sz="4" w:space="0" w:color="808080"/>
              <w:bottom w:val="single" w:sz="4" w:space="0" w:color="808080"/>
              <w:right w:val="single" w:sz="4" w:space="0" w:color="808080"/>
            </w:tcBorders>
            <w:shd w:val="clear" w:color="auto" w:fill="FFFFFF" w:themeFill="background1"/>
            <w:vAlign w:val="center"/>
            <w:hideMark/>
          </w:tcPr>
          <w:p w14:paraId="7BA8DD0F" w14:textId="77777777" w:rsidR="00810744" w:rsidRPr="000B1B36" w:rsidRDefault="00810744" w:rsidP="00FF4267">
            <w:pPr>
              <w:spacing w:after="0" w:line="240" w:lineRule="auto"/>
              <w:ind w:left="-113" w:right="-57"/>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xml:space="preserve">Иные межбюджетные трансферты бюджетам субъектов РФ на возмещение производителям зерновых культур части затрат на производство и реализацию зерновых культур </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183588A7"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131 010,1</w:t>
            </w:r>
          </w:p>
        </w:tc>
        <w:tc>
          <w:tcPr>
            <w:tcW w:w="452" w:type="pct"/>
            <w:tcBorders>
              <w:top w:val="nil"/>
              <w:left w:val="nil"/>
              <w:bottom w:val="single" w:sz="4" w:space="0" w:color="808080"/>
              <w:right w:val="single" w:sz="4" w:space="0" w:color="808080"/>
            </w:tcBorders>
            <w:shd w:val="clear" w:color="auto" w:fill="FFFFFF" w:themeFill="background1"/>
            <w:vAlign w:val="center"/>
            <w:hideMark/>
          </w:tcPr>
          <w:p w14:paraId="58C8406A"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131 010,1</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155C02DE" w14:textId="77777777" w:rsidR="00810744" w:rsidRPr="000B1B36" w:rsidRDefault="00810744" w:rsidP="00FF4267">
            <w:pPr>
              <w:spacing w:after="0" w:line="240" w:lineRule="auto"/>
              <w:ind w:left="-113" w:right="-57"/>
              <w:jc w:val="right"/>
              <w:rPr>
                <w:rFonts w:ascii="Times New Roman" w:eastAsia="Times New Roman" w:hAnsi="Times New Roman" w:cs="Times New Roman"/>
                <w:color w:val="000000"/>
                <w:sz w:val="16"/>
                <w:szCs w:val="16"/>
                <w:lang w:eastAsia="ru-RU"/>
              </w:rPr>
            </w:pPr>
            <w:r w:rsidRPr="000B1B36">
              <w:rPr>
                <w:rFonts w:ascii="Times New Roman" w:eastAsia="Times New Roman" w:hAnsi="Times New Roman" w:cs="Times New Roman"/>
                <w:color w:val="000000"/>
                <w:sz w:val="16"/>
                <w:szCs w:val="16"/>
                <w:lang w:eastAsia="ru-RU"/>
              </w:rPr>
              <w:t> </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05E6C8C2" w14:textId="77777777" w:rsidR="00810744" w:rsidRPr="000B1B36" w:rsidRDefault="00810744" w:rsidP="00FF4267">
            <w:pPr>
              <w:spacing w:after="0" w:line="240" w:lineRule="auto"/>
              <w:ind w:left="-113" w:right="-57"/>
              <w:jc w:val="center"/>
              <w:rPr>
                <w:rFonts w:ascii="Times New Roman" w:eastAsia="Times New Roman" w:hAnsi="Times New Roman" w:cs="Times New Roman"/>
                <w:color w:val="000000"/>
                <w:sz w:val="16"/>
                <w:szCs w:val="16"/>
                <w:lang w:eastAsia="ru-RU"/>
              </w:rPr>
            </w:pPr>
            <w:r w:rsidRPr="003B408A">
              <w:rPr>
                <w:rFonts w:ascii="Times New Roman" w:eastAsia="Times New Roman" w:hAnsi="Times New Roman" w:cs="Times New Roman"/>
                <w:color w:val="000000"/>
                <w:sz w:val="16"/>
                <w:szCs w:val="16"/>
                <w:lang w:eastAsia="ru-RU"/>
              </w:rPr>
              <w:t>т.</w:t>
            </w:r>
            <w:r w:rsidRPr="000B1B36">
              <w:rPr>
                <w:rFonts w:ascii="Times New Roman" w:eastAsia="Times New Roman" w:hAnsi="Times New Roman" w:cs="Times New Roman"/>
                <w:color w:val="000000"/>
                <w:sz w:val="16"/>
                <w:szCs w:val="16"/>
                <w:lang w:eastAsia="ru-RU"/>
              </w:rPr>
              <w:t xml:space="preserve">  167</w:t>
            </w:r>
          </w:p>
        </w:tc>
      </w:tr>
      <w:tr w:rsidR="00810744" w:rsidRPr="000B1B36" w14:paraId="37D6D70F" w14:textId="77777777" w:rsidTr="009C11EA">
        <w:trPr>
          <w:trHeight w:val="96"/>
        </w:trPr>
        <w:tc>
          <w:tcPr>
            <w:tcW w:w="3085" w:type="pct"/>
            <w:tcBorders>
              <w:top w:val="nil"/>
              <w:left w:val="single" w:sz="4" w:space="0" w:color="808080"/>
              <w:bottom w:val="single" w:sz="4" w:space="0" w:color="808080"/>
              <w:right w:val="single" w:sz="4" w:space="0" w:color="808080"/>
            </w:tcBorders>
            <w:shd w:val="clear" w:color="auto" w:fill="FFFFFF" w:themeFill="background1"/>
            <w:noWrap/>
            <w:vAlign w:val="center"/>
            <w:hideMark/>
          </w:tcPr>
          <w:p w14:paraId="6668F2FA" w14:textId="77777777" w:rsidR="00810744" w:rsidRPr="000B1B36" w:rsidRDefault="00810744" w:rsidP="00FF4267">
            <w:pPr>
              <w:spacing w:after="0" w:line="240" w:lineRule="auto"/>
              <w:rPr>
                <w:rFonts w:ascii="Times New Roman" w:eastAsia="Times New Roman" w:hAnsi="Times New Roman" w:cs="Times New Roman"/>
                <w:b/>
                <w:bCs/>
                <w:color w:val="000000"/>
                <w:sz w:val="16"/>
                <w:szCs w:val="16"/>
                <w:lang w:eastAsia="ru-RU"/>
              </w:rPr>
            </w:pPr>
            <w:r w:rsidRPr="000B1B36">
              <w:rPr>
                <w:rFonts w:ascii="Times New Roman" w:eastAsia="Times New Roman" w:hAnsi="Times New Roman" w:cs="Times New Roman"/>
                <w:b/>
                <w:bCs/>
                <w:color w:val="000000"/>
                <w:sz w:val="16"/>
                <w:szCs w:val="16"/>
                <w:lang w:eastAsia="ru-RU"/>
              </w:rPr>
              <w:t>ИТОГО</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633E5376" w14:textId="77777777" w:rsidR="00810744" w:rsidRPr="000B1B36" w:rsidRDefault="00810744" w:rsidP="00FF4267">
            <w:pPr>
              <w:spacing w:after="0" w:line="240" w:lineRule="auto"/>
              <w:ind w:left="-113" w:right="-57"/>
              <w:jc w:val="right"/>
              <w:rPr>
                <w:rFonts w:ascii="Times New Roman" w:eastAsia="Times New Roman" w:hAnsi="Times New Roman" w:cs="Times New Roman"/>
                <w:b/>
                <w:bCs/>
                <w:color w:val="000000"/>
                <w:sz w:val="16"/>
                <w:szCs w:val="16"/>
                <w:lang w:eastAsia="ru-RU"/>
              </w:rPr>
            </w:pPr>
            <w:r w:rsidRPr="000B1B36">
              <w:rPr>
                <w:rFonts w:ascii="Times New Roman" w:eastAsia="Times New Roman" w:hAnsi="Times New Roman" w:cs="Times New Roman"/>
                <w:b/>
                <w:bCs/>
                <w:color w:val="000000"/>
                <w:sz w:val="16"/>
                <w:szCs w:val="16"/>
                <w:lang w:eastAsia="ru-RU"/>
              </w:rPr>
              <w:t>303 505,6</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6914C343" w14:textId="77777777" w:rsidR="00810744" w:rsidRPr="000B1B36" w:rsidRDefault="00810744" w:rsidP="00FF4267">
            <w:pPr>
              <w:spacing w:after="0" w:line="240" w:lineRule="auto"/>
              <w:ind w:left="-113" w:right="-57"/>
              <w:jc w:val="right"/>
              <w:rPr>
                <w:rFonts w:ascii="Times New Roman" w:eastAsia="Times New Roman" w:hAnsi="Times New Roman" w:cs="Times New Roman"/>
                <w:b/>
                <w:bCs/>
                <w:color w:val="000000"/>
                <w:sz w:val="16"/>
                <w:szCs w:val="16"/>
                <w:lang w:eastAsia="ru-RU"/>
              </w:rPr>
            </w:pPr>
            <w:r w:rsidRPr="000B1B36">
              <w:rPr>
                <w:rFonts w:ascii="Times New Roman" w:eastAsia="Times New Roman" w:hAnsi="Times New Roman" w:cs="Times New Roman"/>
                <w:b/>
                <w:bCs/>
                <w:color w:val="000000"/>
                <w:sz w:val="16"/>
                <w:szCs w:val="16"/>
                <w:lang w:eastAsia="ru-RU"/>
              </w:rPr>
              <w:t>443 167,8</w:t>
            </w:r>
          </w:p>
        </w:tc>
        <w:tc>
          <w:tcPr>
            <w:tcW w:w="452" w:type="pct"/>
            <w:tcBorders>
              <w:top w:val="nil"/>
              <w:left w:val="nil"/>
              <w:bottom w:val="single" w:sz="4" w:space="0" w:color="808080"/>
              <w:right w:val="single" w:sz="4" w:space="0" w:color="808080"/>
            </w:tcBorders>
            <w:shd w:val="clear" w:color="auto" w:fill="FFFFFF" w:themeFill="background1"/>
            <w:noWrap/>
            <w:vAlign w:val="center"/>
            <w:hideMark/>
          </w:tcPr>
          <w:p w14:paraId="5C93C2AC" w14:textId="77777777" w:rsidR="00810744" w:rsidRPr="000B1B36" w:rsidRDefault="00810744" w:rsidP="00FF4267">
            <w:pPr>
              <w:spacing w:after="0" w:line="240" w:lineRule="auto"/>
              <w:ind w:left="-113" w:right="-57"/>
              <w:jc w:val="right"/>
              <w:rPr>
                <w:rFonts w:ascii="Times New Roman" w:eastAsia="Times New Roman" w:hAnsi="Times New Roman" w:cs="Times New Roman"/>
                <w:b/>
                <w:bCs/>
                <w:color w:val="000000"/>
                <w:sz w:val="16"/>
                <w:szCs w:val="16"/>
                <w:lang w:eastAsia="ru-RU"/>
              </w:rPr>
            </w:pPr>
            <w:r w:rsidRPr="000B1B36">
              <w:rPr>
                <w:rFonts w:ascii="Times New Roman" w:eastAsia="Times New Roman" w:hAnsi="Times New Roman" w:cs="Times New Roman"/>
                <w:b/>
                <w:bCs/>
                <w:color w:val="000000"/>
                <w:sz w:val="16"/>
                <w:szCs w:val="16"/>
                <w:lang w:eastAsia="ru-RU"/>
              </w:rPr>
              <w:t>634 790,9</w:t>
            </w:r>
          </w:p>
        </w:tc>
        <w:tc>
          <w:tcPr>
            <w:tcW w:w="558" w:type="pct"/>
            <w:tcBorders>
              <w:top w:val="nil"/>
              <w:left w:val="nil"/>
              <w:bottom w:val="single" w:sz="4" w:space="0" w:color="808080"/>
              <w:right w:val="single" w:sz="4" w:space="0" w:color="808080"/>
            </w:tcBorders>
            <w:shd w:val="clear" w:color="auto" w:fill="FFFFFF" w:themeFill="background1"/>
            <w:noWrap/>
            <w:vAlign w:val="center"/>
            <w:hideMark/>
          </w:tcPr>
          <w:p w14:paraId="2BA01874" w14:textId="77777777" w:rsidR="00810744" w:rsidRPr="000B1B36" w:rsidRDefault="00810744" w:rsidP="00FF4267">
            <w:pPr>
              <w:spacing w:after="0" w:line="240" w:lineRule="auto"/>
              <w:jc w:val="right"/>
              <w:rPr>
                <w:rFonts w:ascii="Times New Roman" w:eastAsia="Times New Roman" w:hAnsi="Times New Roman" w:cs="Times New Roman"/>
                <w:b/>
                <w:bCs/>
                <w:color w:val="000000"/>
                <w:sz w:val="16"/>
                <w:szCs w:val="16"/>
                <w:lang w:eastAsia="ru-RU"/>
              </w:rPr>
            </w:pPr>
          </w:p>
        </w:tc>
      </w:tr>
      <w:tr w:rsidR="00810744" w:rsidRPr="000B1B36" w14:paraId="3956BF2F" w14:textId="77777777" w:rsidTr="009C11EA">
        <w:trPr>
          <w:trHeight w:val="96"/>
        </w:trPr>
        <w:tc>
          <w:tcPr>
            <w:tcW w:w="3085" w:type="pct"/>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tcPr>
          <w:p w14:paraId="480527C6" w14:textId="77777777" w:rsidR="00810744" w:rsidRPr="000B1B36" w:rsidRDefault="00810744" w:rsidP="00FF4267">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Всего</w:t>
            </w:r>
          </w:p>
        </w:tc>
        <w:tc>
          <w:tcPr>
            <w:tcW w:w="1357" w:type="pct"/>
            <w:gridSpan w:val="3"/>
            <w:tcBorders>
              <w:top w:val="single" w:sz="4" w:space="0" w:color="808080"/>
              <w:left w:val="nil"/>
              <w:bottom w:val="single" w:sz="4" w:space="0" w:color="808080"/>
              <w:right w:val="single" w:sz="4" w:space="0" w:color="808080"/>
            </w:tcBorders>
            <w:shd w:val="clear" w:color="auto" w:fill="FFFFFF" w:themeFill="background1"/>
            <w:noWrap/>
            <w:vAlign w:val="center"/>
          </w:tcPr>
          <w:p w14:paraId="08D3C228" w14:textId="77777777" w:rsidR="00810744" w:rsidRPr="000B1B36" w:rsidRDefault="00810744" w:rsidP="00FF4267">
            <w:pPr>
              <w:spacing w:after="0" w:line="240" w:lineRule="auto"/>
              <w:ind w:left="-113" w:right="-57"/>
              <w:jc w:val="center"/>
              <w:rPr>
                <w:rFonts w:ascii="Times New Roman" w:eastAsia="Times New Roman" w:hAnsi="Times New Roman" w:cs="Times New Roman"/>
                <w:b/>
                <w:bCs/>
                <w:color w:val="000000"/>
                <w:sz w:val="16"/>
                <w:szCs w:val="16"/>
                <w:lang w:eastAsia="ru-RU"/>
              </w:rPr>
            </w:pPr>
            <w:r w:rsidRPr="000B1B36">
              <w:rPr>
                <w:rFonts w:ascii="Times New Roman" w:eastAsia="Times New Roman" w:hAnsi="Times New Roman" w:cs="Times New Roman"/>
                <w:b/>
                <w:bCs/>
                <w:color w:val="000000"/>
                <w:sz w:val="16"/>
                <w:szCs w:val="16"/>
                <w:lang w:eastAsia="ru-RU"/>
              </w:rPr>
              <w:t>1 381 464,3</w:t>
            </w:r>
          </w:p>
        </w:tc>
        <w:tc>
          <w:tcPr>
            <w:tcW w:w="558" w:type="pct"/>
            <w:tcBorders>
              <w:top w:val="single" w:sz="4" w:space="0" w:color="808080"/>
              <w:left w:val="nil"/>
              <w:bottom w:val="single" w:sz="4" w:space="0" w:color="808080"/>
              <w:right w:val="single" w:sz="4" w:space="0" w:color="808080"/>
            </w:tcBorders>
            <w:shd w:val="clear" w:color="auto" w:fill="FFFFFF" w:themeFill="background1"/>
            <w:noWrap/>
            <w:vAlign w:val="center"/>
          </w:tcPr>
          <w:p w14:paraId="3ECC293C" w14:textId="77777777" w:rsidR="00810744" w:rsidRPr="000B1B36" w:rsidRDefault="00810744" w:rsidP="00FF4267">
            <w:pPr>
              <w:spacing w:after="0" w:line="240" w:lineRule="auto"/>
              <w:jc w:val="right"/>
              <w:rPr>
                <w:rFonts w:ascii="Times New Roman" w:eastAsia="Times New Roman" w:hAnsi="Times New Roman" w:cs="Times New Roman"/>
                <w:b/>
                <w:bCs/>
                <w:color w:val="000000"/>
                <w:sz w:val="16"/>
                <w:szCs w:val="16"/>
                <w:lang w:eastAsia="ru-RU"/>
              </w:rPr>
            </w:pPr>
          </w:p>
        </w:tc>
      </w:tr>
    </w:tbl>
    <w:p w14:paraId="4FF1467D" w14:textId="3B90EC4D" w:rsidR="00810744" w:rsidRPr="00004B19" w:rsidRDefault="00810744" w:rsidP="009C11EA">
      <w:pPr>
        <w:autoSpaceDE w:val="0"/>
        <w:autoSpaceDN w:val="0"/>
        <w:adjustRightInd w:val="0"/>
        <w:spacing w:before="40" w:after="0" w:line="240" w:lineRule="auto"/>
        <w:jc w:val="both"/>
        <w:rPr>
          <w:rFonts w:ascii="Times New Roman" w:hAnsi="Times New Roman" w:cs="Times New Roman"/>
          <w:highlight w:val="yellow"/>
        </w:rPr>
      </w:pPr>
      <w:r w:rsidRPr="00284576">
        <w:rPr>
          <w:rFonts w:ascii="Times New Roman" w:hAnsi="Times New Roman" w:cs="Times New Roman"/>
        </w:rPr>
        <w:t>Кроме того, не учтены средства, распределенные из федерального бюджета в рамках госпрограммы РФ «Развитие транспортной системы» в соответствии с Распоряжением Правительства РФ от 25.12.2020 №3542-р на 2022 и на 2023 годы по 100,0 млн. рублей в каждый год и учтенные в Законе о бюджете области на 2021 год на 2022 и на 2023 годы.</w:t>
      </w:r>
    </w:p>
  </w:footnote>
  <w:footnote w:id="17">
    <w:p w14:paraId="7E4A199E" w14:textId="77777777" w:rsidR="00810744" w:rsidRPr="0036199B" w:rsidRDefault="00810744" w:rsidP="009C11EA">
      <w:pPr>
        <w:pStyle w:val="a3"/>
        <w:spacing w:before="40"/>
        <w:ind w:firstLine="567"/>
        <w:jc w:val="both"/>
        <w:rPr>
          <w:spacing w:val="-6"/>
          <w:sz w:val="22"/>
          <w:szCs w:val="22"/>
        </w:rPr>
      </w:pPr>
      <w:r w:rsidRPr="0036199B">
        <w:rPr>
          <w:rStyle w:val="a5"/>
          <w:spacing w:val="-6"/>
          <w:sz w:val="22"/>
          <w:szCs w:val="22"/>
        </w:rPr>
        <w:footnoteRef/>
      </w:r>
      <w:r w:rsidRPr="0036199B">
        <w:rPr>
          <w:spacing w:val="-6"/>
          <w:sz w:val="22"/>
          <w:szCs w:val="22"/>
        </w:rPr>
        <w:t xml:space="preserve"> Приложение №11 «Распределение бюджетных ассигнований бюджета Тульской области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Тульской области на 2022 год»;</w:t>
      </w:r>
    </w:p>
    <w:p w14:paraId="7BC5AC6B" w14:textId="77777777" w:rsidR="00810744" w:rsidRPr="0036199B" w:rsidRDefault="00810744" w:rsidP="009C11EA">
      <w:pPr>
        <w:pStyle w:val="a3"/>
        <w:ind w:firstLine="567"/>
        <w:jc w:val="both"/>
        <w:rPr>
          <w:spacing w:val="-6"/>
          <w:sz w:val="22"/>
          <w:szCs w:val="22"/>
        </w:rPr>
      </w:pPr>
      <w:r w:rsidRPr="0036199B">
        <w:rPr>
          <w:spacing w:val="-6"/>
          <w:sz w:val="22"/>
          <w:szCs w:val="22"/>
        </w:rPr>
        <w:t>Приложение №12 «Распределение бюджетных ассигнований бюджета Тульской области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Тульской области на плановый период 2023 и 2024 годов»;</w:t>
      </w:r>
    </w:p>
    <w:p w14:paraId="697485F8" w14:textId="77777777" w:rsidR="00810744" w:rsidRPr="0036199B" w:rsidRDefault="00810744" w:rsidP="009C11EA">
      <w:pPr>
        <w:pStyle w:val="a3"/>
        <w:ind w:firstLine="567"/>
        <w:jc w:val="both"/>
        <w:rPr>
          <w:spacing w:val="-6"/>
          <w:sz w:val="22"/>
          <w:szCs w:val="22"/>
        </w:rPr>
      </w:pPr>
      <w:r w:rsidRPr="0036199B">
        <w:rPr>
          <w:spacing w:val="-6"/>
          <w:sz w:val="22"/>
          <w:szCs w:val="22"/>
        </w:rPr>
        <w:t>Приложение №13 «Ведомственная структура расходов бюджета Тульской области на 2022 год»;</w:t>
      </w:r>
    </w:p>
    <w:p w14:paraId="36447A19" w14:textId="77777777" w:rsidR="00810744" w:rsidRPr="0036199B" w:rsidRDefault="00810744" w:rsidP="009C11EA">
      <w:pPr>
        <w:pStyle w:val="a3"/>
        <w:ind w:firstLine="567"/>
        <w:jc w:val="both"/>
        <w:rPr>
          <w:spacing w:val="-6"/>
          <w:sz w:val="22"/>
          <w:szCs w:val="22"/>
        </w:rPr>
      </w:pPr>
      <w:r w:rsidRPr="0036199B">
        <w:rPr>
          <w:spacing w:val="-6"/>
          <w:sz w:val="22"/>
          <w:szCs w:val="22"/>
        </w:rPr>
        <w:t>Приложение №14 «Ведомственная структура расходов бюджета Тульской области на плановый период 2023 и 2024 годов»;</w:t>
      </w:r>
    </w:p>
    <w:p w14:paraId="7C0CE659" w14:textId="77777777" w:rsidR="00810744" w:rsidRPr="0036199B" w:rsidRDefault="00810744" w:rsidP="009C11EA">
      <w:pPr>
        <w:pStyle w:val="a3"/>
        <w:ind w:firstLine="567"/>
        <w:jc w:val="both"/>
        <w:rPr>
          <w:spacing w:val="-6"/>
          <w:sz w:val="22"/>
          <w:szCs w:val="22"/>
        </w:rPr>
      </w:pPr>
      <w:r w:rsidRPr="0036199B">
        <w:rPr>
          <w:spacing w:val="-6"/>
          <w:sz w:val="22"/>
          <w:szCs w:val="22"/>
        </w:rPr>
        <w:t>Приложение №15 «Распределение бюджетных ассигнований бюджета Тульской области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Тульской области на 2022 год»;</w:t>
      </w:r>
    </w:p>
    <w:p w14:paraId="15EDD94C" w14:textId="77777777" w:rsidR="00810744" w:rsidRPr="00F06F8A" w:rsidRDefault="00810744" w:rsidP="009C11EA">
      <w:pPr>
        <w:pStyle w:val="a3"/>
        <w:ind w:firstLine="567"/>
        <w:jc w:val="both"/>
        <w:rPr>
          <w:sz w:val="22"/>
          <w:szCs w:val="22"/>
        </w:rPr>
      </w:pPr>
      <w:r w:rsidRPr="0036199B">
        <w:rPr>
          <w:spacing w:val="-6"/>
          <w:sz w:val="22"/>
          <w:szCs w:val="22"/>
        </w:rPr>
        <w:t>Приложение №16 №Распределение бюджетных ассигнований бюджета Тульской области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Тульской области на плановый период 2023 и 2024 годов».</w:t>
      </w:r>
    </w:p>
  </w:footnote>
  <w:footnote w:id="18">
    <w:p w14:paraId="4FA18D67" w14:textId="176356FB" w:rsidR="00810744" w:rsidRDefault="00810744" w:rsidP="004F0F8A">
      <w:pPr>
        <w:tabs>
          <w:tab w:val="left" w:pos="993"/>
        </w:tabs>
        <w:spacing w:after="0" w:line="240" w:lineRule="auto"/>
        <w:ind w:firstLine="567"/>
        <w:jc w:val="both"/>
      </w:pPr>
      <w:r w:rsidRPr="00A0738C">
        <w:rPr>
          <w:rStyle w:val="a5"/>
          <w:rFonts w:ascii="Times New Roman" w:hAnsi="Times New Roman" w:cs="Times New Roman"/>
        </w:rPr>
        <w:footnoteRef/>
      </w:r>
      <w:r w:rsidRPr="00A0738C">
        <w:t> </w:t>
      </w:r>
      <w:r w:rsidRPr="00A0738C">
        <w:rPr>
          <w:rFonts w:ascii="Times New Roman" w:eastAsia="Times New Roman" w:hAnsi="Times New Roman" w:cs="Times New Roman"/>
          <w:lang w:eastAsia="ru-RU"/>
        </w:rPr>
        <w:t>Динамика расходов бюджета области на 20</w:t>
      </w:r>
      <w:r>
        <w:rPr>
          <w:rFonts w:ascii="Times New Roman" w:eastAsia="Times New Roman" w:hAnsi="Times New Roman" w:cs="Times New Roman"/>
          <w:lang w:eastAsia="ru-RU"/>
        </w:rPr>
        <w:t>19</w:t>
      </w:r>
      <w:r w:rsidRPr="00A0738C">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A0738C">
        <w:rPr>
          <w:rFonts w:ascii="Times New Roman" w:eastAsia="Times New Roman" w:hAnsi="Times New Roman" w:cs="Times New Roman"/>
          <w:lang w:eastAsia="ru-RU"/>
        </w:rPr>
        <w:t xml:space="preserve"> годы по группам видов расходов, а также их структура </w:t>
      </w:r>
      <w:r w:rsidRPr="00AA26A2">
        <w:rPr>
          <w:rFonts w:ascii="Times New Roman" w:eastAsia="Times New Roman" w:hAnsi="Times New Roman" w:cs="Times New Roman"/>
          <w:lang w:eastAsia="ru-RU"/>
        </w:rPr>
        <w:t>представлена в приложении №3 к</w:t>
      </w:r>
      <w:r w:rsidRPr="00A0738C">
        <w:rPr>
          <w:rFonts w:ascii="Times New Roman" w:eastAsia="Times New Roman" w:hAnsi="Times New Roman" w:cs="Times New Roman"/>
          <w:lang w:eastAsia="ru-RU"/>
        </w:rPr>
        <w:t xml:space="preserve"> настоящему</w:t>
      </w:r>
      <w:r w:rsidRPr="00F26F3E">
        <w:rPr>
          <w:rFonts w:ascii="Times New Roman" w:eastAsia="Times New Roman" w:hAnsi="Times New Roman" w:cs="Times New Roman"/>
          <w:lang w:eastAsia="ru-RU"/>
        </w:rPr>
        <w:t xml:space="preserve"> заключению.</w:t>
      </w:r>
    </w:p>
  </w:footnote>
  <w:footnote w:id="19">
    <w:p w14:paraId="0C570D47" w14:textId="77777777" w:rsidR="00810744" w:rsidRPr="008F3932" w:rsidRDefault="00810744" w:rsidP="00B3424A">
      <w:pPr>
        <w:pStyle w:val="a3"/>
        <w:ind w:firstLine="567"/>
        <w:jc w:val="both"/>
        <w:rPr>
          <w:sz w:val="22"/>
          <w:szCs w:val="22"/>
        </w:rPr>
      </w:pPr>
      <w:r w:rsidRPr="008F3932">
        <w:rPr>
          <w:rStyle w:val="a5"/>
          <w:sz w:val="22"/>
          <w:szCs w:val="22"/>
        </w:rPr>
        <w:footnoteRef/>
      </w:r>
      <w:r w:rsidRPr="008F3932">
        <w:rPr>
          <w:sz w:val="22"/>
          <w:szCs w:val="22"/>
        </w:rPr>
        <w:t xml:space="preserve"> </w:t>
      </w:r>
      <w:r>
        <w:rPr>
          <w:sz w:val="22"/>
          <w:szCs w:val="22"/>
        </w:rPr>
        <w:t>В</w:t>
      </w:r>
      <w:r w:rsidRPr="008F3932">
        <w:rPr>
          <w:sz w:val="22"/>
          <w:szCs w:val="22"/>
        </w:rPr>
        <w:t xml:space="preserve"> рамках реализации Федерального Закона от 19.05.1995 №81-ФЗ «О государственных пособиях гражданам, имеющим детей»</w:t>
      </w:r>
      <w:r>
        <w:rPr>
          <w:sz w:val="22"/>
          <w:szCs w:val="22"/>
        </w:rPr>
        <w:t xml:space="preserve"> в Пенсионный фонд РФ не передана </w:t>
      </w:r>
      <w:r w:rsidRPr="008F3932">
        <w:rPr>
          <w:sz w:val="22"/>
          <w:szCs w:val="22"/>
        </w:rPr>
        <w:t>ежемесячная выплата в связи с рождением (усыновлением) первого ребенка</w:t>
      </w:r>
      <w:r>
        <w:rPr>
          <w:sz w:val="22"/>
          <w:szCs w:val="22"/>
        </w:rPr>
        <w:t>.</w:t>
      </w:r>
    </w:p>
  </w:footnote>
  <w:footnote w:id="20">
    <w:p w14:paraId="423C299C" w14:textId="77777777" w:rsidR="00810744" w:rsidRPr="00E43EE5" w:rsidRDefault="00810744" w:rsidP="007B19BD">
      <w:pPr>
        <w:pStyle w:val="a3"/>
        <w:ind w:firstLine="567"/>
        <w:jc w:val="both"/>
        <w:rPr>
          <w:spacing w:val="-4"/>
          <w:sz w:val="22"/>
          <w:szCs w:val="22"/>
        </w:rPr>
      </w:pPr>
      <w:r w:rsidRPr="00E43EE5">
        <w:rPr>
          <w:rStyle w:val="a5"/>
          <w:spacing w:val="-4"/>
          <w:sz w:val="22"/>
          <w:szCs w:val="22"/>
        </w:rPr>
        <w:footnoteRef/>
      </w:r>
      <w:r w:rsidRPr="00E43EE5">
        <w:rPr>
          <w:spacing w:val="-4"/>
          <w:sz w:val="22"/>
          <w:szCs w:val="22"/>
        </w:rPr>
        <w:t xml:space="preserve"> 5 видов выплат, установленных Законом Тульской области «О физической культуре и спорте»:</w:t>
      </w:r>
    </w:p>
    <w:p w14:paraId="19151925" w14:textId="0BAC6255" w:rsidR="00810744" w:rsidRPr="00E43EE5" w:rsidRDefault="00810744" w:rsidP="007B19BD">
      <w:pPr>
        <w:pStyle w:val="a3"/>
        <w:jc w:val="both"/>
        <w:rPr>
          <w:spacing w:val="-4"/>
          <w:sz w:val="22"/>
          <w:szCs w:val="22"/>
        </w:rPr>
      </w:pPr>
      <w:r w:rsidRPr="00E43EE5">
        <w:rPr>
          <w:i/>
          <w:spacing w:val="-4"/>
          <w:sz w:val="22"/>
          <w:szCs w:val="22"/>
        </w:rPr>
        <w:t>– единовременное</w:t>
      </w:r>
      <w:r w:rsidRPr="00E43EE5">
        <w:rPr>
          <w:spacing w:val="-4"/>
          <w:sz w:val="22"/>
          <w:szCs w:val="22"/>
        </w:rPr>
        <w:t xml:space="preserve"> денежное </w:t>
      </w:r>
      <w:r w:rsidRPr="00E43EE5">
        <w:rPr>
          <w:i/>
          <w:spacing w:val="-4"/>
          <w:sz w:val="22"/>
          <w:szCs w:val="22"/>
        </w:rPr>
        <w:t>вознаграждение</w:t>
      </w:r>
      <w:r w:rsidRPr="00E43EE5">
        <w:rPr>
          <w:spacing w:val="-4"/>
          <w:sz w:val="22"/>
          <w:szCs w:val="22"/>
        </w:rPr>
        <w:t xml:space="preserve"> спортсменам, представляющим область и выступающим в составе сборных команд РФ или области, за достижение ими высоких спортивных результатов, их тренерам (в зависимости от результатов выступлений на официальных спортивных соревнованиях - средний размер выплаты 25</w:t>
      </w:r>
      <w:r>
        <w:rPr>
          <w:spacing w:val="-4"/>
          <w:sz w:val="22"/>
          <w:szCs w:val="22"/>
        </w:rPr>
        <w:t> </w:t>
      </w:r>
      <w:r w:rsidRPr="00E43EE5">
        <w:rPr>
          <w:spacing w:val="-4"/>
          <w:sz w:val="22"/>
          <w:szCs w:val="22"/>
        </w:rPr>
        <w:t>881,44 рубля);</w:t>
      </w:r>
    </w:p>
    <w:p w14:paraId="59726141" w14:textId="77777777" w:rsidR="00810744" w:rsidRPr="00AA26A2" w:rsidRDefault="00810744" w:rsidP="007B19BD">
      <w:pPr>
        <w:pStyle w:val="a3"/>
        <w:jc w:val="both"/>
        <w:rPr>
          <w:spacing w:val="-4"/>
          <w:sz w:val="21"/>
          <w:szCs w:val="21"/>
        </w:rPr>
      </w:pPr>
      <w:r w:rsidRPr="00AA26A2">
        <w:rPr>
          <w:i/>
          <w:spacing w:val="-4"/>
          <w:sz w:val="21"/>
          <w:szCs w:val="21"/>
        </w:rPr>
        <w:t>– ежемесячное</w:t>
      </w:r>
      <w:r w:rsidRPr="00AA26A2">
        <w:rPr>
          <w:spacing w:val="-4"/>
          <w:sz w:val="21"/>
          <w:szCs w:val="21"/>
        </w:rPr>
        <w:t xml:space="preserve"> денежное </w:t>
      </w:r>
      <w:r w:rsidRPr="00AA26A2">
        <w:rPr>
          <w:i/>
          <w:spacing w:val="-4"/>
          <w:sz w:val="21"/>
          <w:szCs w:val="21"/>
        </w:rPr>
        <w:t>содержание</w:t>
      </w:r>
      <w:r w:rsidRPr="00AA26A2">
        <w:rPr>
          <w:spacing w:val="-4"/>
          <w:sz w:val="21"/>
          <w:szCs w:val="21"/>
        </w:rPr>
        <w:t xml:space="preserve"> спортсменам, представляющим область и выступающим в составе сборных команд РФ или области, за достижение ими высоких спортивных результатов (в зависимости от результатов выступлений на официальных спортивных соревнованиях - средний размер выплаты 20 529,60 рубля);</w:t>
      </w:r>
    </w:p>
    <w:p w14:paraId="1409D907" w14:textId="77777777" w:rsidR="00810744" w:rsidRPr="00AA26A2" w:rsidRDefault="00810744" w:rsidP="007B19BD">
      <w:pPr>
        <w:pStyle w:val="a3"/>
        <w:jc w:val="both"/>
        <w:rPr>
          <w:spacing w:val="-4"/>
          <w:sz w:val="21"/>
          <w:szCs w:val="21"/>
        </w:rPr>
      </w:pPr>
      <w:r w:rsidRPr="00AA26A2">
        <w:rPr>
          <w:spacing w:val="-4"/>
          <w:sz w:val="21"/>
          <w:szCs w:val="21"/>
        </w:rPr>
        <w:t xml:space="preserve">– ежемесячное </w:t>
      </w:r>
      <w:r w:rsidRPr="00AA26A2">
        <w:rPr>
          <w:i/>
          <w:spacing w:val="-4"/>
          <w:sz w:val="21"/>
          <w:szCs w:val="21"/>
        </w:rPr>
        <w:t>материальное пособие</w:t>
      </w:r>
      <w:r w:rsidRPr="00AA26A2">
        <w:rPr>
          <w:spacing w:val="-4"/>
          <w:sz w:val="21"/>
          <w:szCs w:val="21"/>
        </w:rPr>
        <w:t xml:space="preserve"> лицам, имеющим </w:t>
      </w:r>
      <w:r w:rsidRPr="00AA26A2">
        <w:rPr>
          <w:i/>
          <w:spacing w:val="-4"/>
          <w:sz w:val="21"/>
          <w:szCs w:val="21"/>
        </w:rPr>
        <w:t>звания «Заслуженный мастер спорта СССР</w:t>
      </w:r>
      <w:r w:rsidRPr="00AA26A2">
        <w:rPr>
          <w:spacing w:val="-4"/>
          <w:sz w:val="21"/>
          <w:szCs w:val="21"/>
        </w:rPr>
        <w:t>», «</w:t>
      </w:r>
      <w:r w:rsidRPr="00AA26A2">
        <w:rPr>
          <w:i/>
          <w:spacing w:val="-4"/>
          <w:sz w:val="21"/>
          <w:szCs w:val="21"/>
        </w:rPr>
        <w:t>Заслуженный мастер спорта России» (</w:t>
      </w:r>
      <w:r w:rsidRPr="00AA26A2">
        <w:rPr>
          <w:spacing w:val="-4"/>
          <w:sz w:val="21"/>
          <w:szCs w:val="21"/>
        </w:rPr>
        <w:t xml:space="preserve">5 769,87 рубля с учетом индексации); </w:t>
      </w:r>
    </w:p>
    <w:p w14:paraId="58D78FEC" w14:textId="77777777" w:rsidR="00810744" w:rsidRPr="00AA26A2" w:rsidRDefault="00810744" w:rsidP="007B19BD">
      <w:pPr>
        <w:pStyle w:val="a3"/>
        <w:jc w:val="both"/>
        <w:rPr>
          <w:spacing w:val="-4"/>
          <w:sz w:val="21"/>
          <w:szCs w:val="21"/>
        </w:rPr>
      </w:pPr>
      <w:r w:rsidRPr="00AA26A2">
        <w:rPr>
          <w:spacing w:val="-4"/>
          <w:sz w:val="21"/>
          <w:szCs w:val="21"/>
        </w:rPr>
        <w:t xml:space="preserve">– ежемесячное </w:t>
      </w:r>
      <w:r w:rsidRPr="00AA26A2">
        <w:rPr>
          <w:i/>
          <w:spacing w:val="-4"/>
          <w:sz w:val="21"/>
          <w:szCs w:val="21"/>
        </w:rPr>
        <w:t>материальное пособие</w:t>
      </w:r>
      <w:r w:rsidRPr="00AA26A2">
        <w:rPr>
          <w:spacing w:val="-4"/>
          <w:sz w:val="21"/>
          <w:szCs w:val="21"/>
        </w:rPr>
        <w:t xml:space="preserve"> лицам, имеющим </w:t>
      </w:r>
      <w:r w:rsidRPr="00AA26A2">
        <w:rPr>
          <w:i/>
          <w:spacing w:val="-4"/>
          <w:sz w:val="21"/>
          <w:szCs w:val="21"/>
        </w:rPr>
        <w:t>звания «Мастер спорта СССР международного класса», «Мастер спорта России международного класса»</w:t>
      </w:r>
      <w:r w:rsidRPr="00AA26A2">
        <w:rPr>
          <w:spacing w:val="-4"/>
          <w:sz w:val="21"/>
          <w:szCs w:val="21"/>
        </w:rPr>
        <w:t xml:space="preserve">, </w:t>
      </w:r>
      <w:r w:rsidRPr="00AA26A2">
        <w:rPr>
          <w:i/>
          <w:spacing w:val="-4"/>
          <w:sz w:val="21"/>
          <w:szCs w:val="21"/>
        </w:rPr>
        <w:t>ставшими инвалидами</w:t>
      </w:r>
      <w:r w:rsidRPr="00AA26A2">
        <w:rPr>
          <w:spacing w:val="-4"/>
          <w:sz w:val="21"/>
          <w:szCs w:val="21"/>
        </w:rPr>
        <w:t xml:space="preserve"> в процессе занятий спортом (3 297,08 рубля с учетом индексации); </w:t>
      </w:r>
    </w:p>
    <w:p w14:paraId="60B93B48" w14:textId="77777777" w:rsidR="00810744" w:rsidRPr="00AA26A2" w:rsidRDefault="00810744" w:rsidP="007B19BD">
      <w:pPr>
        <w:pStyle w:val="a3"/>
        <w:jc w:val="both"/>
        <w:rPr>
          <w:sz w:val="21"/>
          <w:szCs w:val="21"/>
        </w:rPr>
      </w:pPr>
      <w:r w:rsidRPr="00AA26A2">
        <w:rPr>
          <w:spacing w:val="-4"/>
          <w:sz w:val="21"/>
          <w:szCs w:val="21"/>
        </w:rPr>
        <w:t xml:space="preserve">– ежемесячное </w:t>
      </w:r>
      <w:r w:rsidRPr="00AA26A2">
        <w:rPr>
          <w:i/>
          <w:spacing w:val="-4"/>
          <w:sz w:val="21"/>
          <w:szCs w:val="21"/>
        </w:rPr>
        <w:t>материальное пособие</w:t>
      </w:r>
      <w:r w:rsidRPr="00AA26A2">
        <w:rPr>
          <w:spacing w:val="-4"/>
          <w:sz w:val="21"/>
          <w:szCs w:val="21"/>
        </w:rPr>
        <w:t xml:space="preserve"> лицам, </w:t>
      </w:r>
      <w:r w:rsidRPr="00AA26A2">
        <w:rPr>
          <w:i/>
          <w:spacing w:val="-4"/>
          <w:sz w:val="21"/>
          <w:szCs w:val="21"/>
        </w:rPr>
        <w:t>получающим пенсию по старости</w:t>
      </w:r>
      <w:r w:rsidRPr="00AA26A2">
        <w:rPr>
          <w:spacing w:val="-4"/>
          <w:sz w:val="21"/>
          <w:szCs w:val="21"/>
        </w:rPr>
        <w:t>,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15.12.2001 № 167-ФЗ «Об обязательном пенсионном страховании в РФ», имеющие звания «Заслуженный тренер СССР», «Заслуженный тренер России» (5 769,87 рубля с учетом индексации).</w:t>
      </w:r>
    </w:p>
  </w:footnote>
  <w:footnote w:id="21">
    <w:p w14:paraId="3D241E3C" w14:textId="77777777" w:rsidR="00810744" w:rsidRPr="00AA26A2" w:rsidRDefault="00810744" w:rsidP="007B19BD">
      <w:pPr>
        <w:pStyle w:val="a3"/>
        <w:ind w:firstLine="567"/>
        <w:jc w:val="both"/>
        <w:rPr>
          <w:sz w:val="21"/>
          <w:szCs w:val="21"/>
        </w:rPr>
      </w:pPr>
      <w:r w:rsidRPr="00AA26A2">
        <w:rPr>
          <w:rStyle w:val="a5"/>
          <w:sz w:val="21"/>
          <w:szCs w:val="21"/>
        </w:rPr>
        <w:footnoteRef/>
      </w:r>
      <w:r w:rsidRPr="00AA26A2">
        <w:rPr>
          <w:sz w:val="21"/>
          <w:szCs w:val="21"/>
        </w:rPr>
        <w:t xml:space="preserve"> 6 видов выплат, установленных Законом Тульской области «О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p w14:paraId="2DA8BEE9" w14:textId="77777777" w:rsidR="00810744" w:rsidRPr="00AA26A2" w:rsidRDefault="00810744" w:rsidP="007B19BD">
      <w:pPr>
        <w:pStyle w:val="a3"/>
        <w:jc w:val="both"/>
        <w:rPr>
          <w:sz w:val="21"/>
          <w:szCs w:val="21"/>
        </w:rPr>
      </w:pPr>
      <w:r w:rsidRPr="00AA26A2">
        <w:rPr>
          <w:sz w:val="21"/>
          <w:szCs w:val="21"/>
        </w:rPr>
        <w:t>– </w:t>
      </w:r>
      <w:r w:rsidRPr="00AA26A2">
        <w:rPr>
          <w:i/>
          <w:sz w:val="21"/>
          <w:szCs w:val="21"/>
        </w:rPr>
        <w:t>ежемесячная</w:t>
      </w:r>
      <w:r w:rsidRPr="00AA26A2">
        <w:rPr>
          <w:sz w:val="21"/>
          <w:szCs w:val="21"/>
        </w:rPr>
        <w:t xml:space="preserve"> денежная выплата </w:t>
      </w:r>
      <w:r w:rsidRPr="00AA26A2">
        <w:rPr>
          <w:i/>
          <w:sz w:val="21"/>
          <w:szCs w:val="21"/>
        </w:rPr>
        <w:t>одному из родителей</w:t>
      </w:r>
      <w:r w:rsidRPr="00AA26A2">
        <w:rPr>
          <w:sz w:val="21"/>
          <w:szCs w:val="21"/>
        </w:rPr>
        <w:t xml:space="preserve">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(4 393,55 рубля с учетом индексации);</w:t>
      </w:r>
    </w:p>
    <w:p w14:paraId="3DB0C5B0" w14:textId="77777777" w:rsidR="00810744" w:rsidRPr="00AA26A2" w:rsidRDefault="00810744" w:rsidP="007B19BD">
      <w:pPr>
        <w:pStyle w:val="a3"/>
        <w:jc w:val="both"/>
        <w:rPr>
          <w:sz w:val="21"/>
          <w:szCs w:val="21"/>
        </w:rPr>
      </w:pPr>
      <w:r w:rsidRPr="00AA26A2">
        <w:rPr>
          <w:sz w:val="21"/>
          <w:szCs w:val="21"/>
        </w:rPr>
        <w:t>– </w:t>
      </w:r>
      <w:r w:rsidRPr="00AA26A2">
        <w:rPr>
          <w:i/>
          <w:sz w:val="21"/>
          <w:szCs w:val="21"/>
        </w:rPr>
        <w:t>ежегодная</w:t>
      </w:r>
      <w:r w:rsidRPr="00AA26A2">
        <w:rPr>
          <w:sz w:val="21"/>
          <w:szCs w:val="21"/>
        </w:rPr>
        <w:t xml:space="preserve"> денежная выплата </w:t>
      </w:r>
      <w:r w:rsidRPr="00AA26A2">
        <w:rPr>
          <w:i/>
          <w:sz w:val="21"/>
          <w:szCs w:val="21"/>
        </w:rPr>
        <w:t>одному из родителей</w:t>
      </w:r>
      <w:r w:rsidRPr="00AA26A2">
        <w:rPr>
          <w:sz w:val="21"/>
          <w:szCs w:val="21"/>
        </w:rPr>
        <w:t xml:space="preserve"> погибшего (умершего, пропавшего без вести) при исполнении служебных обязанностей военнослужащего или сотрудника правоохранительных органов, принимавших участие в боевых действиях (средний размер выплаты 3 000 рублей); </w:t>
      </w:r>
    </w:p>
    <w:p w14:paraId="419CD0FF" w14:textId="77777777" w:rsidR="00810744" w:rsidRPr="00AA26A2" w:rsidRDefault="00810744" w:rsidP="007B19BD">
      <w:pPr>
        <w:pStyle w:val="a3"/>
        <w:jc w:val="both"/>
        <w:rPr>
          <w:sz w:val="21"/>
          <w:szCs w:val="21"/>
        </w:rPr>
      </w:pPr>
      <w:r w:rsidRPr="00AA26A2">
        <w:rPr>
          <w:sz w:val="21"/>
          <w:szCs w:val="21"/>
        </w:rPr>
        <w:t>– </w:t>
      </w:r>
      <w:r w:rsidRPr="00AA26A2">
        <w:rPr>
          <w:i/>
          <w:sz w:val="21"/>
          <w:szCs w:val="21"/>
        </w:rPr>
        <w:t xml:space="preserve">ежемесячная </w:t>
      </w:r>
      <w:r w:rsidRPr="00AA26A2">
        <w:rPr>
          <w:sz w:val="21"/>
          <w:szCs w:val="21"/>
        </w:rPr>
        <w:t>денежная выплата</w:t>
      </w:r>
      <w:r w:rsidRPr="00AA26A2">
        <w:rPr>
          <w:i/>
          <w:sz w:val="21"/>
          <w:szCs w:val="21"/>
        </w:rPr>
        <w:t xml:space="preserve"> вдовам (вдовцам) погибших</w:t>
      </w:r>
      <w:r w:rsidRPr="00AA26A2">
        <w:rPr>
          <w:sz w:val="21"/>
          <w:szCs w:val="21"/>
        </w:rPr>
        <w:t xml:space="preserve"> (умерших, пропавших без вести) при исполнении служебных обязанностей военнослужащих или сотрудников правоохранительных органов, принимавших участие в боевых действиях, в том числе не вступившим в повторный брак (4 393,55 рубля с учетом индексации);</w:t>
      </w:r>
    </w:p>
    <w:p w14:paraId="380A9B3B" w14:textId="77777777" w:rsidR="00810744" w:rsidRPr="00AA26A2" w:rsidRDefault="00810744" w:rsidP="007B19BD">
      <w:pPr>
        <w:pStyle w:val="a3"/>
        <w:jc w:val="both"/>
        <w:rPr>
          <w:sz w:val="21"/>
          <w:szCs w:val="21"/>
        </w:rPr>
      </w:pPr>
      <w:r w:rsidRPr="00AA26A2">
        <w:rPr>
          <w:sz w:val="21"/>
          <w:szCs w:val="21"/>
        </w:rPr>
        <w:t>– </w:t>
      </w:r>
      <w:r w:rsidRPr="00AA26A2">
        <w:rPr>
          <w:i/>
          <w:sz w:val="21"/>
          <w:szCs w:val="21"/>
        </w:rPr>
        <w:t xml:space="preserve">ежемесячная </w:t>
      </w:r>
      <w:r w:rsidRPr="00AA26A2">
        <w:rPr>
          <w:sz w:val="21"/>
          <w:szCs w:val="21"/>
        </w:rPr>
        <w:t>денежная выплата</w:t>
      </w:r>
      <w:r w:rsidRPr="00AA26A2">
        <w:rPr>
          <w:i/>
          <w:sz w:val="21"/>
          <w:szCs w:val="21"/>
        </w:rPr>
        <w:t xml:space="preserve"> инвалидам боевых действий</w:t>
      </w:r>
      <w:r w:rsidRPr="00AA26A2">
        <w:rPr>
          <w:sz w:val="21"/>
          <w:szCs w:val="21"/>
        </w:rPr>
        <w:t>, проходившим военную службу по призыву (2 196,79 рубля с учетом индексации);</w:t>
      </w:r>
    </w:p>
    <w:p w14:paraId="09F2030C" w14:textId="77777777" w:rsidR="00810744" w:rsidRPr="00AA26A2" w:rsidRDefault="00810744" w:rsidP="007B19BD">
      <w:pPr>
        <w:pStyle w:val="a3"/>
        <w:jc w:val="both"/>
        <w:rPr>
          <w:sz w:val="21"/>
          <w:szCs w:val="21"/>
        </w:rPr>
      </w:pPr>
      <w:r w:rsidRPr="00AA26A2">
        <w:rPr>
          <w:sz w:val="21"/>
          <w:szCs w:val="21"/>
        </w:rPr>
        <w:t>– </w:t>
      </w:r>
      <w:r w:rsidRPr="00AA26A2">
        <w:rPr>
          <w:i/>
          <w:sz w:val="21"/>
          <w:szCs w:val="21"/>
        </w:rPr>
        <w:t>ежегодная</w:t>
      </w:r>
      <w:r w:rsidRPr="00AA26A2">
        <w:rPr>
          <w:sz w:val="21"/>
          <w:szCs w:val="21"/>
        </w:rPr>
        <w:t xml:space="preserve"> денежная </w:t>
      </w:r>
      <w:r w:rsidRPr="00AA26A2">
        <w:rPr>
          <w:i/>
          <w:sz w:val="21"/>
          <w:szCs w:val="21"/>
        </w:rPr>
        <w:t>инвалидам боевых действий</w:t>
      </w:r>
      <w:r w:rsidRPr="00AA26A2">
        <w:rPr>
          <w:sz w:val="21"/>
          <w:szCs w:val="21"/>
        </w:rPr>
        <w:t xml:space="preserve">, проходившим военную службу по призыву (средний размер выплаты 3 000 рублей); </w:t>
      </w:r>
    </w:p>
    <w:p w14:paraId="246BAA52" w14:textId="77777777" w:rsidR="00810744" w:rsidRPr="00954837" w:rsidRDefault="00810744" w:rsidP="007B19BD">
      <w:pPr>
        <w:pStyle w:val="a3"/>
        <w:jc w:val="both"/>
        <w:rPr>
          <w:sz w:val="22"/>
          <w:szCs w:val="22"/>
        </w:rPr>
      </w:pPr>
      <w:r w:rsidRPr="00AA26A2">
        <w:rPr>
          <w:sz w:val="21"/>
          <w:szCs w:val="21"/>
        </w:rPr>
        <w:t>– </w:t>
      </w:r>
      <w:r w:rsidRPr="00AA26A2">
        <w:rPr>
          <w:i/>
          <w:sz w:val="21"/>
          <w:szCs w:val="21"/>
        </w:rPr>
        <w:t>ежегодная</w:t>
      </w:r>
      <w:r w:rsidRPr="00AA26A2">
        <w:rPr>
          <w:sz w:val="21"/>
          <w:szCs w:val="21"/>
        </w:rPr>
        <w:t xml:space="preserve"> денежная выплата </w:t>
      </w:r>
      <w:r w:rsidRPr="00AA26A2">
        <w:rPr>
          <w:i/>
          <w:sz w:val="21"/>
          <w:szCs w:val="21"/>
        </w:rPr>
        <w:t>инвалидам и ветеранам боевых действий</w:t>
      </w:r>
      <w:r w:rsidRPr="00AA26A2">
        <w:rPr>
          <w:sz w:val="21"/>
          <w:szCs w:val="21"/>
        </w:rPr>
        <w:t>, военнослужащим и сотрудникам правоохранительных органов (уволенным с военной службы и службы в правоохранительных органах), получившим увечья, ранения, травмы, заболевания при исполнении служебных обязанностей (за исключением граждан, принимавших участие в ликвидации последствий аварии на Чернобыльской АЭС) (средний размер выплаты 3 000 рублей).</w:t>
      </w:r>
      <w:r>
        <w:rPr>
          <w:sz w:val="22"/>
          <w:szCs w:val="22"/>
        </w:rPr>
        <w:t xml:space="preserve"> </w:t>
      </w:r>
    </w:p>
  </w:footnote>
  <w:footnote w:id="22">
    <w:p w14:paraId="59CA7EB9" w14:textId="5B13EC46" w:rsidR="00810744" w:rsidRPr="002C5E81" w:rsidRDefault="00810744" w:rsidP="007B19BD">
      <w:pPr>
        <w:pStyle w:val="a3"/>
        <w:ind w:firstLine="567"/>
        <w:jc w:val="both"/>
        <w:rPr>
          <w:sz w:val="22"/>
          <w:szCs w:val="22"/>
        </w:rPr>
      </w:pPr>
      <w:r w:rsidRPr="002C5E81">
        <w:rPr>
          <w:rStyle w:val="a5"/>
          <w:spacing w:val="-4"/>
          <w:sz w:val="22"/>
          <w:szCs w:val="22"/>
        </w:rPr>
        <w:footnoteRef/>
      </w:r>
      <w:r>
        <w:rPr>
          <w:spacing w:val="-4"/>
          <w:sz w:val="22"/>
          <w:szCs w:val="22"/>
        </w:rPr>
        <w:t> </w:t>
      </w:r>
      <w:r w:rsidRPr="0064356F">
        <w:rPr>
          <w:spacing w:val="-4"/>
          <w:sz w:val="22"/>
          <w:szCs w:val="22"/>
        </w:rPr>
        <w:t>В том числе. средства выделены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РФ</w:t>
      </w:r>
      <w:r w:rsidRPr="002C5E81">
        <w:rPr>
          <w:spacing w:val="-4"/>
          <w:sz w:val="22"/>
          <w:szCs w:val="22"/>
        </w:rPr>
        <w:t xml:space="preserve"> (КВР 630, 810).</w:t>
      </w:r>
    </w:p>
  </w:footnote>
  <w:footnote w:id="23">
    <w:p w14:paraId="41400D99" w14:textId="77777777" w:rsidR="00810744" w:rsidRDefault="00810744" w:rsidP="00A65E4C">
      <w:pPr>
        <w:pStyle w:val="a3"/>
        <w:ind w:firstLine="567"/>
        <w:jc w:val="both"/>
      </w:pPr>
      <w:r w:rsidRPr="0079691A">
        <w:rPr>
          <w:sz w:val="22"/>
          <w:szCs w:val="22"/>
          <w:vertAlign w:val="superscript"/>
        </w:rPr>
        <w:footnoteRef/>
      </w:r>
      <w:r w:rsidRPr="0079691A">
        <w:rPr>
          <w:sz w:val="22"/>
          <w:szCs w:val="22"/>
        </w:rPr>
        <w:t xml:space="preserve"> Закон Тульской области «О бюджете Тульской области на 2021 год и на плановый период 2022 и 2023 годов» в редакции от 24.09.2021.</w:t>
      </w:r>
    </w:p>
  </w:footnote>
  <w:footnote w:id="24">
    <w:p w14:paraId="2F6B792E" w14:textId="77777777" w:rsidR="00810744" w:rsidRPr="009059BE" w:rsidRDefault="00810744" w:rsidP="003C6F50">
      <w:pPr>
        <w:pStyle w:val="a3"/>
        <w:ind w:firstLine="567"/>
        <w:jc w:val="both"/>
        <w:rPr>
          <w:sz w:val="22"/>
          <w:szCs w:val="22"/>
        </w:rPr>
      </w:pPr>
      <w:r w:rsidRPr="009059BE">
        <w:rPr>
          <w:rStyle w:val="a5"/>
          <w:sz w:val="22"/>
          <w:szCs w:val="22"/>
        </w:rPr>
        <w:footnoteRef/>
      </w:r>
      <w:r w:rsidRPr="009059BE">
        <w:rPr>
          <w:sz w:val="22"/>
          <w:szCs w:val="22"/>
        </w:rPr>
        <w:t xml:space="preserve"> </w:t>
      </w:r>
      <w:r>
        <w:rPr>
          <w:sz w:val="22"/>
          <w:szCs w:val="22"/>
        </w:rPr>
        <w:t>В соответствии со статьей 81 БК РФ «р</w:t>
      </w:r>
      <w:r w:rsidRPr="009059BE">
        <w:rPr>
          <w:sz w:val="22"/>
          <w:szCs w:val="22"/>
        </w:rPr>
        <w:t xml:space="preserve">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w:t>
      </w:r>
      <w:proofErr w:type="gramStart"/>
      <w:r w:rsidRPr="009059BE">
        <w:rPr>
          <w:sz w:val="22"/>
          <w:szCs w:val="22"/>
        </w:rPr>
        <w:t>процента</w:t>
      </w:r>
      <w:proofErr w:type="gramEnd"/>
      <w:r w:rsidRPr="009059BE">
        <w:rPr>
          <w:sz w:val="22"/>
          <w:szCs w:val="22"/>
        </w:rPr>
        <w:t xml:space="preserve"> утвержденного указанными законами (решениями) общего объема расходов</w:t>
      </w:r>
      <w:r>
        <w:rPr>
          <w:sz w:val="22"/>
          <w:szCs w:val="22"/>
        </w:rPr>
        <w:t>»</w:t>
      </w:r>
      <w:r w:rsidRPr="009059BE">
        <w:rPr>
          <w:sz w:val="22"/>
          <w:szCs w:val="22"/>
        </w:rPr>
        <w:t>.</w:t>
      </w:r>
    </w:p>
  </w:footnote>
  <w:footnote w:id="25">
    <w:p w14:paraId="3A092873" w14:textId="07FCB919" w:rsidR="00810744" w:rsidRPr="008507C5" w:rsidRDefault="00810744" w:rsidP="00670B26">
      <w:pPr>
        <w:pStyle w:val="a3"/>
        <w:ind w:firstLine="567"/>
        <w:jc w:val="both"/>
        <w:rPr>
          <w:sz w:val="22"/>
          <w:szCs w:val="22"/>
        </w:rPr>
      </w:pPr>
      <w:r w:rsidRPr="004D1099">
        <w:rPr>
          <w:rStyle w:val="a5"/>
          <w:sz w:val="22"/>
          <w:szCs w:val="22"/>
        </w:rPr>
        <w:footnoteRef/>
      </w:r>
      <w:r w:rsidRPr="004D1099">
        <w:rPr>
          <w:sz w:val="22"/>
          <w:szCs w:val="22"/>
        </w:rPr>
        <w:t xml:space="preserve"> В 2023 году по сравнению с 2022 годом не предусматривается финансирование по трем региональным</w:t>
      </w:r>
      <w:r>
        <w:rPr>
          <w:sz w:val="22"/>
          <w:szCs w:val="22"/>
        </w:rPr>
        <w:t xml:space="preserve"> проектам: «</w:t>
      </w:r>
      <w:r w:rsidRPr="008507C5">
        <w:rPr>
          <w:sz w:val="22"/>
          <w:szCs w:val="22"/>
        </w:rPr>
        <w:t>Жилье</w:t>
      </w:r>
      <w:r>
        <w:rPr>
          <w:sz w:val="22"/>
          <w:szCs w:val="22"/>
        </w:rPr>
        <w:t>» (</w:t>
      </w:r>
      <w:r>
        <w:rPr>
          <w:sz w:val="22"/>
          <w:szCs w:val="22"/>
          <w:lang w:val="en-US"/>
        </w:rPr>
        <w:t>F</w:t>
      </w:r>
      <w:r>
        <w:rPr>
          <w:sz w:val="22"/>
          <w:szCs w:val="22"/>
        </w:rPr>
        <w:t>1), «</w:t>
      </w:r>
      <w:r w:rsidRPr="008507C5">
        <w:rPr>
          <w:sz w:val="22"/>
          <w:szCs w:val="22"/>
        </w:rPr>
        <w:t>Обеспечение устойчивого сокращения непригодного для проживания жилищного фонда</w:t>
      </w:r>
      <w:r>
        <w:rPr>
          <w:sz w:val="22"/>
          <w:szCs w:val="22"/>
        </w:rPr>
        <w:t>» (</w:t>
      </w:r>
      <w:r>
        <w:rPr>
          <w:sz w:val="22"/>
          <w:szCs w:val="22"/>
          <w:lang w:val="en-US"/>
        </w:rPr>
        <w:t>F</w:t>
      </w:r>
      <w:r w:rsidRPr="008507C5">
        <w:rPr>
          <w:sz w:val="22"/>
          <w:szCs w:val="22"/>
        </w:rPr>
        <w:t>3</w:t>
      </w:r>
      <w:r>
        <w:rPr>
          <w:sz w:val="22"/>
          <w:szCs w:val="22"/>
        </w:rPr>
        <w:t>), «</w:t>
      </w:r>
      <w:r w:rsidRPr="008507C5">
        <w:rPr>
          <w:sz w:val="22"/>
          <w:szCs w:val="22"/>
        </w:rPr>
        <w:t>Сохранение уникальных водных объектов</w:t>
      </w:r>
      <w:r>
        <w:rPr>
          <w:sz w:val="22"/>
          <w:szCs w:val="22"/>
        </w:rPr>
        <w:t>» (</w:t>
      </w:r>
      <w:r>
        <w:rPr>
          <w:sz w:val="22"/>
          <w:szCs w:val="22"/>
          <w:lang w:val="en-US"/>
        </w:rPr>
        <w:t>G</w:t>
      </w:r>
      <w:r w:rsidRPr="008507C5">
        <w:rPr>
          <w:sz w:val="22"/>
          <w:szCs w:val="22"/>
        </w:rPr>
        <w:t>8)</w:t>
      </w:r>
      <w:r>
        <w:rPr>
          <w:sz w:val="22"/>
          <w:szCs w:val="22"/>
        </w:rPr>
        <w:t>; предусматривается финансирование регионального проекта «</w:t>
      </w:r>
      <w:r w:rsidRPr="0066641B">
        <w:rPr>
          <w:sz w:val="22"/>
          <w:szCs w:val="22"/>
        </w:rPr>
        <w:t>Чистая страна» (</w:t>
      </w:r>
      <w:r w:rsidRPr="0066641B">
        <w:rPr>
          <w:sz w:val="22"/>
          <w:szCs w:val="22"/>
          <w:lang w:val="en-US"/>
        </w:rPr>
        <w:t>G</w:t>
      </w:r>
      <w:r w:rsidRPr="0066641B">
        <w:rPr>
          <w:sz w:val="22"/>
          <w:szCs w:val="22"/>
        </w:rPr>
        <w:t>1).</w:t>
      </w:r>
    </w:p>
    <w:p w14:paraId="641E06A5" w14:textId="192799B8" w:rsidR="00810744" w:rsidRDefault="00810744" w:rsidP="00670B26">
      <w:pPr>
        <w:pStyle w:val="a3"/>
        <w:ind w:firstLine="567"/>
        <w:jc w:val="both"/>
      </w:pPr>
      <w:r>
        <w:rPr>
          <w:sz w:val="22"/>
          <w:szCs w:val="22"/>
        </w:rPr>
        <w:t>В 2024 году по сравнению с 2023 годом не предусматривается финансирование регионального проекта «</w:t>
      </w:r>
      <w:r w:rsidRPr="008507C5">
        <w:rPr>
          <w:sz w:val="22"/>
          <w:szCs w:val="22"/>
        </w:rPr>
        <w:t>Информационная инфраструктура</w:t>
      </w:r>
      <w:r>
        <w:rPr>
          <w:sz w:val="22"/>
          <w:szCs w:val="22"/>
        </w:rPr>
        <w:t>» (</w:t>
      </w:r>
      <w:r>
        <w:rPr>
          <w:sz w:val="22"/>
          <w:szCs w:val="22"/>
          <w:lang w:val="en-US"/>
        </w:rPr>
        <w:t>D</w:t>
      </w:r>
      <w:r w:rsidRPr="008507C5">
        <w:rPr>
          <w:sz w:val="22"/>
          <w:szCs w:val="22"/>
        </w:rPr>
        <w:t>2</w:t>
      </w:r>
      <w:r>
        <w:rPr>
          <w:sz w:val="22"/>
          <w:szCs w:val="22"/>
        </w:rPr>
        <w:t>).</w:t>
      </w:r>
    </w:p>
  </w:footnote>
  <w:footnote w:id="26">
    <w:p w14:paraId="71AD0746" w14:textId="77777777" w:rsidR="00810744" w:rsidRPr="00E603ED" w:rsidRDefault="00810744" w:rsidP="00B913A1">
      <w:pPr>
        <w:pStyle w:val="a3"/>
        <w:ind w:firstLine="567"/>
        <w:rPr>
          <w:sz w:val="22"/>
          <w:szCs w:val="22"/>
        </w:rPr>
      </w:pPr>
      <w:r w:rsidRPr="00B80E21">
        <w:rPr>
          <w:rStyle w:val="a5"/>
          <w:sz w:val="22"/>
          <w:szCs w:val="22"/>
        </w:rPr>
        <w:footnoteRef/>
      </w:r>
      <w:r w:rsidRPr="00B80E21">
        <w:rPr>
          <w:rFonts w:eastAsia="Calibri"/>
          <w:sz w:val="22"/>
          <w:szCs w:val="22"/>
        </w:rPr>
        <w:t>Приложение №19 к Законопроекту, приложение №13 к Законопроекту.</w:t>
      </w:r>
    </w:p>
  </w:footnote>
  <w:footnote w:id="27">
    <w:p w14:paraId="28A03ABE" w14:textId="7B387C0E" w:rsidR="00810744" w:rsidRPr="000726D5" w:rsidRDefault="00810744" w:rsidP="005036FD">
      <w:pPr>
        <w:spacing w:after="0" w:line="240" w:lineRule="auto"/>
        <w:ind w:firstLine="567"/>
        <w:jc w:val="both"/>
        <w:rPr>
          <w:rFonts w:ascii="Times New Roman" w:eastAsia="Times New Roman" w:hAnsi="Times New Roman" w:cs="Times New Roman"/>
          <w:spacing w:val="-4"/>
          <w:lang w:eastAsia="ru-RU"/>
        </w:rPr>
      </w:pPr>
      <w:r w:rsidRPr="000726D5">
        <w:rPr>
          <w:rStyle w:val="a5"/>
          <w:rFonts w:ascii="Times New Roman" w:hAnsi="Times New Roman" w:cs="Times New Roman"/>
          <w:spacing w:val="-4"/>
        </w:rPr>
        <w:footnoteRef/>
      </w:r>
      <w:r>
        <w:rPr>
          <w:rFonts w:ascii="Times New Roman" w:hAnsi="Times New Roman" w:cs="Times New Roman"/>
          <w:spacing w:val="-4"/>
        </w:rPr>
        <w:t xml:space="preserve"> Норма </w:t>
      </w:r>
      <w:r w:rsidRPr="006618A8">
        <w:rPr>
          <w:rFonts w:ascii="Times New Roman" w:hAnsi="Times New Roman" w:cs="Times New Roman"/>
          <w:spacing w:val="-4"/>
        </w:rPr>
        <w:t>с</w:t>
      </w:r>
      <w:r w:rsidRPr="006618A8">
        <w:rPr>
          <w:rFonts w:ascii="Times New Roman" w:eastAsia="Calibri" w:hAnsi="Times New Roman" w:cs="Times New Roman"/>
          <w:bCs/>
          <w:spacing w:val="-4"/>
        </w:rPr>
        <w:t>татьи 139 БК РФ:</w:t>
      </w:r>
      <w:r w:rsidRPr="000726D5">
        <w:rPr>
          <w:rFonts w:ascii="Times New Roman" w:hAnsi="Times New Roman" w:cs="Times New Roman"/>
          <w:spacing w:val="-4"/>
        </w:rPr>
        <w:t xml:space="preserve"> «</w:t>
      </w:r>
      <w:r w:rsidRPr="000726D5">
        <w:rPr>
          <w:rFonts w:ascii="Times New Roman" w:eastAsia="Times New Roman" w:hAnsi="Times New Roman" w:cs="Times New Roman"/>
          <w:spacing w:val="-4"/>
          <w:lang w:eastAsia="ru-RU"/>
        </w:rPr>
        <w:t>Распределение субсидий местным бюджетам из бюджета субъекта РФ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РФ и субсидий, источником финансового обеспечения которых являются межбюджетные трансферты за счет резервных фондов Президента РФ и Правительства РФ) утверждается законом субъекта РФ о бюджете субъекта РФ на очередной финансовый год и плановый период».</w:t>
      </w:r>
    </w:p>
  </w:footnote>
  <w:footnote w:id="28">
    <w:p w14:paraId="25FA65D7" w14:textId="50FF6A30" w:rsidR="00810744" w:rsidRPr="000726D5" w:rsidRDefault="00810744" w:rsidP="005036FD">
      <w:pPr>
        <w:spacing w:after="0" w:line="240" w:lineRule="auto"/>
        <w:ind w:firstLine="567"/>
        <w:jc w:val="both"/>
        <w:rPr>
          <w:rFonts w:ascii="Times New Roman" w:eastAsia="Times New Roman" w:hAnsi="Times New Roman" w:cs="Times New Roman"/>
          <w:spacing w:val="-4"/>
          <w:lang w:eastAsia="ru-RU"/>
        </w:rPr>
      </w:pPr>
      <w:r w:rsidRPr="000726D5">
        <w:rPr>
          <w:rStyle w:val="a5"/>
          <w:rFonts w:ascii="Times New Roman" w:hAnsi="Times New Roman" w:cs="Times New Roman"/>
          <w:spacing w:val="-4"/>
        </w:rPr>
        <w:footnoteRef/>
      </w:r>
      <w:r w:rsidRPr="000726D5">
        <w:rPr>
          <w:rFonts w:ascii="Times New Roman" w:hAnsi="Times New Roman" w:cs="Times New Roman"/>
          <w:spacing w:val="-4"/>
        </w:rPr>
        <w:t> </w:t>
      </w:r>
      <w:r>
        <w:rPr>
          <w:rFonts w:ascii="Times New Roman" w:hAnsi="Times New Roman" w:cs="Times New Roman"/>
          <w:spacing w:val="-4"/>
        </w:rPr>
        <w:t xml:space="preserve">Норма </w:t>
      </w:r>
      <w:r w:rsidRPr="006618A8">
        <w:rPr>
          <w:rFonts w:ascii="Times New Roman" w:hAnsi="Times New Roman" w:cs="Times New Roman"/>
          <w:spacing w:val="-4"/>
        </w:rPr>
        <w:t>с</w:t>
      </w:r>
      <w:r w:rsidRPr="006618A8">
        <w:rPr>
          <w:rFonts w:ascii="Times New Roman" w:eastAsia="Calibri" w:hAnsi="Times New Roman" w:cs="Times New Roman"/>
          <w:bCs/>
          <w:spacing w:val="-4"/>
        </w:rPr>
        <w:t>татьи 1</w:t>
      </w:r>
      <w:r>
        <w:rPr>
          <w:rFonts w:ascii="Times New Roman" w:eastAsia="Calibri" w:hAnsi="Times New Roman" w:cs="Times New Roman"/>
          <w:bCs/>
          <w:spacing w:val="-4"/>
        </w:rPr>
        <w:t>40</w:t>
      </w:r>
      <w:r w:rsidRPr="006618A8">
        <w:rPr>
          <w:rFonts w:ascii="Times New Roman" w:eastAsia="Calibri" w:hAnsi="Times New Roman" w:cs="Times New Roman"/>
          <w:bCs/>
          <w:spacing w:val="-4"/>
        </w:rPr>
        <w:t xml:space="preserve"> БК РФ:</w:t>
      </w:r>
      <w:r w:rsidRPr="000726D5">
        <w:rPr>
          <w:rFonts w:ascii="Times New Roman" w:hAnsi="Times New Roman" w:cs="Times New Roman"/>
          <w:spacing w:val="-4"/>
        </w:rPr>
        <w:t xml:space="preserve"> «</w:t>
      </w:r>
      <w:r w:rsidRPr="000726D5">
        <w:rPr>
          <w:rFonts w:ascii="Times New Roman" w:eastAsia="Times New Roman" w:hAnsi="Times New Roman" w:cs="Times New Roman"/>
          <w:spacing w:val="-4"/>
          <w:lang w:eastAsia="ru-RU"/>
        </w:rPr>
        <w:t>Распределение субвенций местным бюджетам из бюджета субъекта РФ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РФ, а также за счет резервного фонда высшего исполнительного органа государственной власти субъекта РФ, утверждается законом о бюджете субъекта РФ по каждому муниципальному образованию и виду субвенции».</w:t>
      </w:r>
    </w:p>
    <w:p w14:paraId="1221A247" w14:textId="09D863E0" w:rsidR="00810744" w:rsidRPr="000726D5" w:rsidRDefault="00810744" w:rsidP="005036FD">
      <w:pPr>
        <w:spacing w:after="0" w:line="240" w:lineRule="auto"/>
        <w:ind w:firstLine="567"/>
        <w:jc w:val="both"/>
        <w:rPr>
          <w:rFonts w:ascii="Times New Roman" w:eastAsia="Times New Roman" w:hAnsi="Times New Roman" w:cs="Times New Roman"/>
          <w:spacing w:val="-4"/>
          <w:lang w:eastAsia="ru-RU"/>
        </w:rPr>
      </w:pPr>
      <w:r w:rsidRPr="000726D5">
        <w:rPr>
          <w:rFonts w:ascii="Times New Roman" w:eastAsia="Times New Roman" w:hAnsi="Times New Roman" w:cs="Times New Roman"/>
          <w:spacing w:val="-4"/>
          <w:lang w:eastAsia="ru-RU"/>
        </w:rPr>
        <w:t>«При этом допускается утверждение не распределенной между муниципальными образованиями субвенции местным бюджетам из бюджета субъекта РФ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РФ, на те же цели в процессе исполнения бюджета субъекта РФ без внесения изменений в закон субъекта РФ о бюджете субъекта РФ».</w:t>
      </w:r>
    </w:p>
  </w:footnote>
  <w:footnote w:id="29">
    <w:p w14:paraId="2F5B47F9" w14:textId="77777777" w:rsidR="00810744" w:rsidRPr="00B55DFD" w:rsidRDefault="00810744" w:rsidP="005036FD">
      <w:pPr>
        <w:pStyle w:val="a3"/>
        <w:spacing w:before="40"/>
        <w:ind w:firstLine="567"/>
        <w:jc w:val="both"/>
        <w:rPr>
          <w:sz w:val="21"/>
          <w:szCs w:val="21"/>
        </w:rPr>
      </w:pPr>
      <w:r w:rsidRPr="00B55DFD">
        <w:rPr>
          <w:spacing w:val="-4"/>
          <w:sz w:val="21"/>
          <w:szCs w:val="21"/>
          <w:vertAlign w:val="superscript"/>
        </w:rPr>
        <w:footnoteRef/>
      </w:r>
      <w:r w:rsidRPr="00B55DFD">
        <w:rPr>
          <w:spacing w:val="-4"/>
          <w:sz w:val="21"/>
          <w:szCs w:val="21"/>
        </w:rPr>
        <w:t> Субвенция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нераспределенная часть составляет 0,6% от объема указанной субвенции, таблица 57 приложения №19 Законопроекта.</w:t>
      </w:r>
    </w:p>
  </w:footnote>
  <w:footnote w:id="30">
    <w:p w14:paraId="58605547" w14:textId="2C5099BC" w:rsidR="00810744" w:rsidRPr="00B55DFD" w:rsidRDefault="00810744" w:rsidP="00B55DFD">
      <w:pPr>
        <w:pStyle w:val="a3"/>
        <w:spacing w:before="40"/>
        <w:ind w:firstLine="567"/>
        <w:jc w:val="both"/>
        <w:rPr>
          <w:sz w:val="22"/>
          <w:szCs w:val="22"/>
        </w:rPr>
      </w:pPr>
      <w:r w:rsidRPr="00B55DFD">
        <w:rPr>
          <w:spacing w:val="-6"/>
          <w:sz w:val="22"/>
          <w:szCs w:val="22"/>
          <w:vertAlign w:val="superscript"/>
        </w:rPr>
        <w:footnoteRef/>
      </w:r>
      <w:r w:rsidRPr="00B55DFD">
        <w:rPr>
          <w:spacing w:val="-6"/>
          <w:sz w:val="22"/>
          <w:szCs w:val="22"/>
        </w:rPr>
        <w:t> Иные дотации бюджетам муниципальных районов (городских округов) Тульской области на частичную компенсацию дополнительных расходов на повышение оплаты труда работников муниципальных учреждений культуры – Проект постановления правительства Тульской области «Об утверждении правил, условий предоставления и методики распределения иных дотаций бюджетам муниципальных районов (городских округов) Тульской области на частичную компенсацию дополнительных расходов на повышение оплаты труда работников муниципальных учреждений культуры».</w:t>
      </w:r>
    </w:p>
  </w:footnote>
  <w:footnote w:id="31">
    <w:p w14:paraId="21E56207" w14:textId="77777777" w:rsidR="00810744" w:rsidRPr="00B55DFD" w:rsidRDefault="00810744" w:rsidP="00B55DFD">
      <w:pPr>
        <w:pStyle w:val="a3"/>
        <w:spacing w:before="40"/>
        <w:ind w:firstLine="567"/>
        <w:jc w:val="both"/>
        <w:rPr>
          <w:spacing w:val="-6"/>
          <w:sz w:val="22"/>
          <w:szCs w:val="22"/>
        </w:rPr>
      </w:pPr>
      <w:r w:rsidRPr="00B55DFD">
        <w:rPr>
          <w:rStyle w:val="a5"/>
          <w:spacing w:val="-6"/>
          <w:sz w:val="22"/>
          <w:szCs w:val="22"/>
        </w:rPr>
        <w:footnoteRef/>
      </w:r>
      <w:r w:rsidRPr="00B55DFD">
        <w:rPr>
          <w:spacing w:val="-6"/>
          <w:sz w:val="22"/>
          <w:szCs w:val="22"/>
        </w:rPr>
        <w:t xml:space="preserve"> Субсидии на развитие сети учреждений культурно-досугового типа; на государственную поддержку отрасли культуры (мероприятия по модернизации региональных и муниципальных детских школ искусств по видам искусств); на государственную поддержку отрасли культуры (модернизация библиотек в части комплектования книжных фондов); на техническое оснащение муниципальных музеев; на реконструкцию и капитальный ремонт муниципальных музеев – Проект </w:t>
      </w:r>
      <w:hyperlink r:id="rId1">
        <w:r w:rsidRPr="00B55DFD">
          <w:rPr>
            <w:spacing w:val="-6"/>
            <w:sz w:val="22"/>
            <w:szCs w:val="22"/>
          </w:rPr>
          <w:t>постановления правительства Тульской области «О внесении изменений в постановление правительства Тульской области от 04.03.2019 № 75 «Об утверждении государственной программы Тульской области «Развитие культуры и туризма Тульской области»</w:t>
        </w:r>
      </w:hyperlink>
      <w:r w:rsidRPr="00B55DFD">
        <w:rPr>
          <w:spacing w:val="-6"/>
          <w:sz w:val="22"/>
          <w:szCs w:val="22"/>
        </w:rPr>
        <w:t>.</w:t>
      </w:r>
    </w:p>
    <w:p w14:paraId="77EE6328" w14:textId="77777777" w:rsidR="00810744" w:rsidRPr="00B55DFD" w:rsidRDefault="00810744" w:rsidP="00B55DFD">
      <w:pPr>
        <w:pStyle w:val="ConsPlusNormal"/>
        <w:spacing w:before="40"/>
        <w:ind w:firstLine="567"/>
        <w:jc w:val="both"/>
        <w:rPr>
          <w:rFonts w:ascii="Times New Roman" w:hAnsi="Times New Roman"/>
          <w:color w:val="000000"/>
          <w:spacing w:val="-6"/>
          <w:sz w:val="22"/>
          <w:szCs w:val="22"/>
        </w:rPr>
      </w:pPr>
      <w:r w:rsidRPr="00B55DFD">
        <w:rPr>
          <w:rFonts w:ascii="Times New Roman" w:hAnsi="Times New Roman"/>
          <w:spacing w:val="-6"/>
          <w:sz w:val="22"/>
          <w:szCs w:val="22"/>
        </w:rPr>
        <w:t xml:space="preserve">Субсидии на обеспечение комплексного развития сельских территорий (субсидии бюджетам муниципальных районов (городских округов) Тульской области на реализацию мероприятий по благоустройству сельских территорий) и Субсидии бюджетам муниципальных районов (городских округов) Тульской области на реализацию мероприятий по комплексной борьбе с борщевиком Сосновского – </w:t>
      </w:r>
      <w:r w:rsidRPr="00B55DFD">
        <w:rPr>
          <w:rFonts w:ascii="Times New Roman" w:hAnsi="Times New Roman"/>
          <w:color w:val="000000"/>
          <w:spacing w:val="-6"/>
          <w:sz w:val="22"/>
          <w:szCs w:val="22"/>
        </w:rPr>
        <w:t>Проект постановления правительства Тульской области «О внесении изменений и дополнений в постановление правительства Тульской области от 16.01.2020 №4 «Об утверждении государственной программы Тульской области «Комплексное развитие сельских территорий Тульской области».</w:t>
      </w:r>
    </w:p>
    <w:p w14:paraId="0F5EF3B7" w14:textId="354F808D" w:rsidR="00810744" w:rsidRPr="00B55DFD" w:rsidRDefault="00810744" w:rsidP="00B55DFD">
      <w:pPr>
        <w:pStyle w:val="a3"/>
        <w:spacing w:before="40"/>
        <w:ind w:firstLine="567"/>
        <w:jc w:val="both"/>
        <w:rPr>
          <w:spacing w:val="-6"/>
          <w:sz w:val="22"/>
          <w:szCs w:val="22"/>
        </w:rPr>
      </w:pPr>
      <w:r w:rsidRPr="00B55DFD">
        <w:rPr>
          <w:spacing w:val="-6"/>
          <w:sz w:val="22"/>
          <w:szCs w:val="22"/>
        </w:rPr>
        <w:t>Субсидии на создание новых мест в общеобразовательных организациях в связи с ростом числа обучающихся, вызванным демографическим фактором – Проект постановления правительства Тульской области «О внесении изменений в постановление правительства Тульской области от 01.02.2019 № 39 «Об утверждении государственной программы Тульской области «Развитие образования Тульской области».</w:t>
      </w:r>
    </w:p>
    <w:p w14:paraId="48B86276" w14:textId="77777777" w:rsidR="00810744" w:rsidRPr="00B55DFD" w:rsidRDefault="00810744" w:rsidP="00B55DFD">
      <w:pPr>
        <w:pStyle w:val="a3"/>
        <w:spacing w:before="40"/>
        <w:ind w:firstLine="567"/>
        <w:jc w:val="both"/>
        <w:rPr>
          <w:spacing w:val="-6"/>
          <w:sz w:val="22"/>
          <w:szCs w:val="22"/>
        </w:rPr>
      </w:pPr>
      <w:r w:rsidRPr="00B55DFD">
        <w:rPr>
          <w:spacing w:val="-6"/>
          <w:sz w:val="22"/>
          <w:szCs w:val="22"/>
        </w:rPr>
        <w:t>Субсидии бюджетам муниципальных районов (городских округов) из бюджета Тульской области для организации и осуществления мероприятий по работе с детьми и молодежью Тульской области – Проект постановления правительства Тульской области от 22.09.2021 №742-ПП «Об утверждении Правил предоставления субсидий бюджетам муниципальных районов (городских округов) из бюджета Тульской области для организации и осуществления мероприятий по работе с детьми и молодежью Тульской области».</w:t>
      </w:r>
    </w:p>
    <w:p w14:paraId="64A61E6F" w14:textId="77777777" w:rsidR="00810744" w:rsidRPr="00B55DFD" w:rsidRDefault="00810744" w:rsidP="00B55DFD">
      <w:pPr>
        <w:pStyle w:val="a3"/>
        <w:spacing w:before="40"/>
        <w:ind w:firstLine="567"/>
        <w:jc w:val="both"/>
        <w:rPr>
          <w:spacing w:val="-6"/>
          <w:sz w:val="22"/>
          <w:szCs w:val="22"/>
        </w:rPr>
      </w:pPr>
      <w:r w:rsidRPr="00B55DFD">
        <w:rPr>
          <w:spacing w:val="-6"/>
          <w:sz w:val="22"/>
          <w:szCs w:val="22"/>
        </w:rPr>
        <w:t xml:space="preserve">Субсидии бюджетам муниципальных районов (городских округов) из бюджета Тульской области на проведение работ по оформлению ярмарок – Проект постановления правительства Тульской области </w:t>
      </w:r>
      <w:r w:rsidRPr="00B55DFD">
        <w:rPr>
          <w:bCs/>
          <w:spacing w:val="-6"/>
          <w:sz w:val="22"/>
          <w:szCs w:val="22"/>
        </w:rPr>
        <w:t>«</w:t>
      </w:r>
      <w:r w:rsidRPr="00B55DFD">
        <w:rPr>
          <w:spacing w:val="-6"/>
          <w:sz w:val="22"/>
          <w:szCs w:val="22"/>
        </w:rPr>
        <w:t>Об утверждении</w:t>
      </w:r>
      <w:r w:rsidRPr="00B55DFD">
        <w:rPr>
          <w:rFonts w:eastAsia="PT Astra Serif"/>
          <w:bCs/>
          <w:spacing w:val="-6"/>
          <w:sz w:val="22"/>
          <w:szCs w:val="22"/>
        </w:rPr>
        <w:t xml:space="preserve"> Правил предоставления субсидий бюджетам муниципальных районов (городских округов) из бюджета Тульской области на проведение работ по оформлению ярмарок».</w:t>
      </w:r>
    </w:p>
    <w:p w14:paraId="53EA72CC" w14:textId="77777777" w:rsidR="00810744" w:rsidRPr="00B55DFD" w:rsidRDefault="00810744" w:rsidP="00B55DFD">
      <w:pPr>
        <w:pStyle w:val="a3"/>
        <w:spacing w:before="40"/>
        <w:ind w:firstLine="567"/>
        <w:jc w:val="both"/>
        <w:rPr>
          <w:spacing w:val="-6"/>
          <w:sz w:val="22"/>
          <w:szCs w:val="22"/>
        </w:rPr>
      </w:pPr>
      <w:r w:rsidRPr="00B55DFD">
        <w:rPr>
          <w:spacing w:val="-6"/>
          <w:sz w:val="22"/>
          <w:szCs w:val="22"/>
        </w:rPr>
        <w:t>Субсидии бюджетам муниципальных районов (городских округов) из бюджета Тульской области на строительство и реконструкцию очистных сооружений канализации – Проект постановления правительства Тульской области «О внесении изменений в постановление правительства Тульской области от 30.01.2019 №21 «Об утверждении государственной программы Тульской области «Обеспечение качественными услугами жилищно-коммунального хозяйства населения Тульской области».</w:t>
      </w:r>
    </w:p>
  </w:footnote>
  <w:footnote w:id="32">
    <w:p w14:paraId="6442DA38" w14:textId="77777777" w:rsidR="00810744" w:rsidRPr="00B55DFD" w:rsidRDefault="00810744" w:rsidP="00B55DFD">
      <w:pPr>
        <w:pStyle w:val="a3"/>
        <w:spacing w:before="40"/>
        <w:ind w:firstLine="567"/>
        <w:jc w:val="both"/>
        <w:rPr>
          <w:spacing w:val="-6"/>
          <w:sz w:val="22"/>
          <w:szCs w:val="22"/>
        </w:rPr>
      </w:pPr>
      <w:r w:rsidRPr="00B55DFD">
        <w:rPr>
          <w:rStyle w:val="a5"/>
          <w:spacing w:val="-6"/>
          <w:sz w:val="22"/>
          <w:szCs w:val="22"/>
        </w:rPr>
        <w:footnoteRef/>
      </w:r>
      <w:r w:rsidRPr="00B55DFD">
        <w:rPr>
          <w:spacing w:val="-6"/>
          <w:sz w:val="22"/>
          <w:szCs w:val="22"/>
        </w:rPr>
        <w:t> Субвенции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Проект постановления правительства Тульской области «О нормативах обеспечения государственных гарантий реализации прав на получение образования в муниципальных дошкольных и общеобразовательных организациях».</w:t>
      </w:r>
    </w:p>
  </w:footnote>
  <w:footnote w:id="33">
    <w:p w14:paraId="73BA7593" w14:textId="77777777" w:rsidR="00810744" w:rsidRPr="00B55DFD" w:rsidRDefault="00810744" w:rsidP="00B55DFD">
      <w:pPr>
        <w:pStyle w:val="a3"/>
        <w:spacing w:before="40"/>
        <w:ind w:firstLine="567"/>
        <w:jc w:val="both"/>
        <w:rPr>
          <w:spacing w:val="-6"/>
          <w:sz w:val="22"/>
          <w:szCs w:val="22"/>
        </w:rPr>
      </w:pPr>
      <w:r w:rsidRPr="00B55DFD">
        <w:rPr>
          <w:rStyle w:val="a5"/>
          <w:spacing w:val="-6"/>
          <w:sz w:val="22"/>
          <w:szCs w:val="22"/>
        </w:rPr>
        <w:footnoteRef/>
      </w:r>
      <w:r w:rsidRPr="00B55DFD">
        <w:rPr>
          <w:spacing w:val="-6"/>
          <w:sz w:val="22"/>
          <w:szCs w:val="22"/>
        </w:rPr>
        <w:t> Иные межбюджетные трансферты на выполнение работ по капитальному ремонту гидротехнических сооружений – Проект постановления правительства Тульской области «Об утверждении Порядка предоставления иных межбюджетных трансфертов из бюджета Тульской области местным бюджетам на выполнение работ по капитальному ремонту гидротехнических сооружений».</w:t>
      </w:r>
    </w:p>
    <w:p w14:paraId="533D836F" w14:textId="77777777" w:rsidR="00810744" w:rsidRPr="00222342" w:rsidRDefault="00810744" w:rsidP="00B55DFD">
      <w:pPr>
        <w:spacing w:before="40" w:after="0" w:line="240" w:lineRule="auto"/>
        <w:ind w:firstLine="567"/>
        <w:jc w:val="both"/>
        <w:rPr>
          <w:rFonts w:ascii="Times New Roman" w:eastAsia="Times New Roman" w:hAnsi="Times New Roman" w:cs="Times New Roman"/>
          <w:spacing w:val="-6"/>
          <w:sz w:val="21"/>
          <w:szCs w:val="21"/>
          <w:lang w:eastAsia="ru-RU"/>
        </w:rPr>
      </w:pPr>
      <w:r w:rsidRPr="00B55DFD">
        <w:rPr>
          <w:rFonts w:ascii="Times New Roman" w:hAnsi="Times New Roman" w:cs="Times New Roman"/>
          <w:spacing w:val="-6"/>
        </w:rPr>
        <w:t xml:space="preserve">Иные межбюджетные трансферты на государственную поддержку отрасли культуры (государственная поддержка лучших сельских учреждений культуры) и  Иные межбюджетные трансферты на государственную поддержку отрасли культуры (государственная поддержка лучших работников сельских учреждений культуры) – Проект </w:t>
      </w:r>
      <w:hyperlink r:id="rId2">
        <w:r w:rsidRPr="00B55DFD">
          <w:rPr>
            <w:rFonts w:ascii="Times New Roman" w:hAnsi="Times New Roman" w:cs="Times New Roman"/>
            <w:spacing w:val="-6"/>
          </w:rPr>
          <w:t>постановления правительства Тульской области «О внесении изменений в постановление правительства Тульской области от 04.03.2019 № 75 «</w:t>
        </w:r>
        <w:r w:rsidRPr="00B55DFD">
          <w:rPr>
            <w:rFonts w:ascii="Times New Roman" w:eastAsia="Times New Roman" w:hAnsi="Times New Roman" w:cs="Times New Roman"/>
            <w:spacing w:val="-6"/>
            <w:lang w:eastAsia="ru-RU"/>
          </w:rPr>
          <w:t>Об утверждении государственной программы Тульской области «Развитие культуры и туризма Тульской области</w:t>
        </w:r>
        <w:r w:rsidRPr="00B55DFD">
          <w:rPr>
            <w:rFonts w:ascii="Times New Roman" w:hAnsi="Times New Roman" w:cs="Times New Roman"/>
            <w:spacing w:val="-6"/>
          </w:rPr>
          <w:t>»</w:t>
        </w:r>
      </w:hyperlink>
      <w:r w:rsidRPr="00222342">
        <w:rPr>
          <w:rFonts w:ascii="Times New Roman" w:hAnsi="Times New Roman" w:cs="Times New Roman"/>
          <w:spacing w:val="-6"/>
          <w:sz w:val="21"/>
          <w:szCs w:val="21"/>
        </w:rPr>
        <w:t>.</w:t>
      </w:r>
    </w:p>
    <w:p w14:paraId="79E81D0D" w14:textId="77777777" w:rsidR="00810744" w:rsidRPr="00222342" w:rsidRDefault="00810744" w:rsidP="00222342">
      <w:pPr>
        <w:autoSpaceDE w:val="0"/>
        <w:autoSpaceDN w:val="0"/>
        <w:adjustRightInd w:val="0"/>
        <w:spacing w:after="0" w:line="240" w:lineRule="auto"/>
        <w:ind w:firstLine="567"/>
        <w:jc w:val="both"/>
        <w:rPr>
          <w:rFonts w:ascii="Times New Roman" w:hAnsi="Times New Roman" w:cs="Times New Roman"/>
          <w:spacing w:val="-6"/>
          <w:sz w:val="21"/>
          <w:szCs w:val="21"/>
        </w:rPr>
      </w:pPr>
      <w:r w:rsidRPr="00222342">
        <w:rPr>
          <w:rFonts w:ascii="Times New Roman" w:hAnsi="Times New Roman" w:cs="Times New Roman"/>
          <w:spacing w:val="-6"/>
          <w:sz w:val="21"/>
          <w:szCs w:val="21"/>
        </w:rPr>
        <w:t>Иные межбюджетные трансферты на приобретение специализированной техники – Проект постановления правительства Тульской области «Об утверждении правил предоставления и распределения иных межбюджетных трансфертов из бюджета Тульской области бюджетам муниципальных районов (городских округов) Тульской области на приобретение специализированной техники».</w:t>
      </w:r>
    </w:p>
  </w:footnote>
  <w:footnote w:id="34">
    <w:p w14:paraId="58AF72DC" w14:textId="77777777" w:rsidR="00810744" w:rsidRPr="00222342" w:rsidRDefault="00810744" w:rsidP="00222342">
      <w:pPr>
        <w:pStyle w:val="a3"/>
        <w:ind w:firstLine="567"/>
        <w:jc w:val="both"/>
        <w:rPr>
          <w:strike/>
          <w:spacing w:val="-6"/>
          <w:sz w:val="21"/>
          <w:szCs w:val="21"/>
        </w:rPr>
      </w:pPr>
      <w:r w:rsidRPr="00222342">
        <w:rPr>
          <w:rStyle w:val="a5"/>
          <w:spacing w:val="-6"/>
          <w:sz w:val="21"/>
          <w:szCs w:val="21"/>
        </w:rPr>
        <w:footnoteRef/>
      </w:r>
      <w:r w:rsidRPr="00222342">
        <w:rPr>
          <w:spacing w:val="-6"/>
          <w:sz w:val="21"/>
          <w:szCs w:val="21"/>
        </w:rPr>
        <w:t> Иные дотации бюджетам муниципальных районов (городских округов) Тульской области на реализацию дополнительных мер поддержки бюджетов муниципальных районов (городских округов) Тульской области.</w:t>
      </w:r>
    </w:p>
  </w:footnote>
  <w:footnote w:id="35">
    <w:p w14:paraId="3591A50C" w14:textId="77777777" w:rsidR="00810744" w:rsidRPr="00222342" w:rsidRDefault="00810744" w:rsidP="005036FD">
      <w:pPr>
        <w:spacing w:before="20" w:after="0" w:line="240" w:lineRule="auto"/>
        <w:ind w:firstLine="567"/>
        <w:jc w:val="both"/>
        <w:rPr>
          <w:rFonts w:ascii="Times New Roman" w:eastAsia="Calibri" w:hAnsi="Times New Roman" w:cs="Times New Roman"/>
          <w:spacing w:val="-6"/>
          <w:sz w:val="21"/>
          <w:szCs w:val="21"/>
        </w:rPr>
      </w:pPr>
      <w:r w:rsidRPr="00222342">
        <w:rPr>
          <w:rStyle w:val="a5"/>
          <w:rFonts w:ascii="Times New Roman" w:hAnsi="Times New Roman" w:cs="Times New Roman"/>
          <w:spacing w:val="-6"/>
          <w:sz w:val="21"/>
          <w:szCs w:val="21"/>
        </w:rPr>
        <w:footnoteRef/>
      </w:r>
      <w:r w:rsidRPr="00222342">
        <w:rPr>
          <w:rFonts w:ascii="Times New Roman" w:hAnsi="Times New Roman" w:cs="Times New Roman"/>
          <w:spacing w:val="-6"/>
          <w:sz w:val="21"/>
          <w:szCs w:val="21"/>
        </w:rPr>
        <w:t> </w:t>
      </w:r>
      <w:r w:rsidRPr="00222342">
        <w:rPr>
          <w:rFonts w:ascii="Times New Roman" w:eastAsia="Calibri" w:hAnsi="Times New Roman" w:cs="Times New Roman"/>
          <w:spacing w:val="-6"/>
          <w:sz w:val="21"/>
          <w:szCs w:val="21"/>
        </w:rPr>
        <w:t xml:space="preserve">Проектом федерального закона «О бюджете Пенсионного фонда Российской Федерации на 2022 год и на плановый период 2023 и 2024 годов» (статья 7) предусматривается право Пенсионного фонда РФ осуществлять в 2022 году финансовое обеспечение выплаты пенсий, назначенных досрочно гражданам, признанным безработными, социального пособия на погребение умерших </w:t>
      </w:r>
      <w:proofErr w:type="spellStart"/>
      <w:r w:rsidRPr="00222342">
        <w:rPr>
          <w:rFonts w:ascii="Times New Roman" w:eastAsia="Calibri" w:hAnsi="Times New Roman" w:cs="Times New Roman"/>
          <w:spacing w:val="-6"/>
          <w:sz w:val="21"/>
          <w:szCs w:val="21"/>
        </w:rPr>
        <w:t>неработавших</w:t>
      </w:r>
      <w:proofErr w:type="spellEnd"/>
      <w:r w:rsidRPr="00222342">
        <w:rPr>
          <w:rFonts w:ascii="Times New Roman" w:eastAsia="Calibri" w:hAnsi="Times New Roman" w:cs="Times New Roman"/>
          <w:spacing w:val="-6"/>
          <w:sz w:val="21"/>
          <w:szCs w:val="21"/>
        </w:rPr>
        <w:t xml:space="preserve"> пенсионеров, досрочно оформивших пенсию по предложению органов службы занятости населения субъектов РФ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w:t>
      </w:r>
      <w:r w:rsidRPr="00222342">
        <w:rPr>
          <w:rFonts w:ascii="Times New Roman" w:eastAsia="Calibri" w:hAnsi="Times New Roman" w:cs="Times New Roman"/>
          <w:i/>
          <w:spacing w:val="-6"/>
          <w:sz w:val="21"/>
          <w:szCs w:val="21"/>
        </w:rPr>
        <w:t>с последующим возмещением за счет бюджетных ассигнований, получаемых в форме межбюджетных трансфертов из бюджетов субъектов РФ</w:t>
      </w:r>
      <w:r w:rsidRPr="00222342">
        <w:rPr>
          <w:rFonts w:ascii="Times New Roman" w:eastAsia="Calibri" w:hAnsi="Times New Roman" w:cs="Times New Roman"/>
          <w:spacing w:val="-6"/>
          <w:sz w:val="21"/>
          <w:szCs w:val="21"/>
        </w:rPr>
        <w:t>.</w:t>
      </w:r>
    </w:p>
  </w:footnote>
  <w:footnote w:id="36">
    <w:p w14:paraId="2F7585BE" w14:textId="77777777" w:rsidR="00810744" w:rsidRPr="00EC20D6" w:rsidRDefault="00810744" w:rsidP="005036FD">
      <w:pPr>
        <w:tabs>
          <w:tab w:val="left" w:pos="1134"/>
        </w:tabs>
        <w:spacing w:before="40" w:after="0" w:line="240" w:lineRule="auto"/>
        <w:ind w:firstLine="567"/>
        <w:jc w:val="both"/>
        <w:rPr>
          <w:rFonts w:ascii="Times New Roman" w:eastAsia="Calibri" w:hAnsi="Times New Roman" w:cs="Times New Roman"/>
        </w:rPr>
      </w:pPr>
      <w:r w:rsidRPr="00222342">
        <w:rPr>
          <w:rStyle w:val="a5"/>
          <w:rFonts w:ascii="Times New Roman" w:hAnsi="Times New Roman" w:cs="Times New Roman"/>
          <w:spacing w:val="-6"/>
          <w:sz w:val="21"/>
          <w:szCs w:val="21"/>
        </w:rPr>
        <w:footnoteRef/>
      </w:r>
      <w:r w:rsidRPr="00222342">
        <w:rPr>
          <w:rFonts w:ascii="Times New Roman" w:hAnsi="Times New Roman" w:cs="Times New Roman"/>
          <w:spacing w:val="-6"/>
          <w:sz w:val="21"/>
          <w:szCs w:val="21"/>
        </w:rPr>
        <w:t> </w:t>
      </w:r>
      <w:r w:rsidRPr="00222342">
        <w:rPr>
          <w:rFonts w:ascii="Times New Roman" w:eastAsia="Calibri" w:hAnsi="Times New Roman" w:cs="Times New Roman"/>
          <w:spacing w:val="-6"/>
          <w:sz w:val="21"/>
          <w:szCs w:val="21"/>
        </w:rPr>
        <w:t>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области об административных правонарушениях.</w:t>
      </w:r>
    </w:p>
  </w:footnote>
  <w:footnote w:id="37">
    <w:p w14:paraId="0A5FB910" w14:textId="77777777" w:rsidR="00810744" w:rsidRPr="00B84CEA" w:rsidRDefault="00810744" w:rsidP="00FF299A">
      <w:pPr>
        <w:spacing w:after="0" w:line="240" w:lineRule="auto"/>
        <w:ind w:firstLine="567"/>
        <w:jc w:val="both"/>
        <w:rPr>
          <w:spacing w:val="-4"/>
        </w:rPr>
      </w:pPr>
      <w:r w:rsidRPr="00B84CEA">
        <w:rPr>
          <w:rStyle w:val="a5"/>
          <w:rFonts w:ascii="Times New Roman" w:hAnsi="Times New Roman" w:cs="Times New Roman"/>
          <w:spacing w:val="-4"/>
        </w:rPr>
        <w:footnoteRef/>
      </w:r>
      <w:r w:rsidRPr="00B84CEA">
        <w:rPr>
          <w:rFonts w:ascii="Times New Roman" w:hAnsi="Times New Roman" w:cs="Times New Roman"/>
          <w:spacing w:val="-4"/>
        </w:rPr>
        <w:t> 6 000,0 млн. рублей [условно утверждаемые расходы на 2024 год согласно Законопроекту] – 4 425,9 млн. рублей [расчетный размер условно утверждаемых расходов, составляющий 5% общего объема расходов на 2024 год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(статья 184.1 БК РФ)] = 1 574,1 млн. рублей.</w:t>
      </w:r>
    </w:p>
  </w:footnote>
  <w:footnote w:id="38">
    <w:p w14:paraId="154B62D2" w14:textId="77777777" w:rsidR="00810744" w:rsidRPr="00A00F5D" w:rsidRDefault="00810744" w:rsidP="00FF299A">
      <w:pPr>
        <w:spacing w:after="0" w:line="240" w:lineRule="auto"/>
        <w:ind w:firstLine="567"/>
        <w:jc w:val="both"/>
        <w:rPr>
          <w:spacing w:val="-6"/>
          <w:sz w:val="21"/>
          <w:szCs w:val="21"/>
        </w:rPr>
      </w:pPr>
      <w:r w:rsidRPr="00B84CEA">
        <w:rPr>
          <w:rStyle w:val="a5"/>
          <w:rFonts w:ascii="Times New Roman" w:hAnsi="Times New Roman" w:cs="Times New Roman"/>
          <w:spacing w:val="-4"/>
        </w:rPr>
        <w:footnoteRef/>
      </w:r>
      <w:r w:rsidRPr="00B84CEA">
        <w:rPr>
          <w:rFonts w:ascii="Times New Roman" w:hAnsi="Times New Roman" w:cs="Times New Roman"/>
          <w:spacing w:val="-4"/>
        </w:rPr>
        <w:t xml:space="preserve"> Предоставление государственных гарантий Тульской области, согласно </w:t>
      </w:r>
      <w:proofErr w:type="gramStart"/>
      <w:r w:rsidRPr="00B84CEA">
        <w:rPr>
          <w:rFonts w:ascii="Times New Roman" w:hAnsi="Times New Roman" w:cs="Times New Roman"/>
          <w:spacing w:val="-4"/>
        </w:rPr>
        <w:t>программе государственных гарантий Тульской области</w:t>
      </w:r>
      <w:proofErr w:type="gramEnd"/>
      <w:r w:rsidRPr="00B84CEA">
        <w:rPr>
          <w:rFonts w:ascii="Times New Roman" w:hAnsi="Times New Roman" w:cs="Times New Roman"/>
          <w:spacing w:val="-4"/>
        </w:rPr>
        <w:t xml:space="preserve"> на 2022 год и на плановый период 2023 и 2024 годов, не предусматривается.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64868"/>
      <w:docPartObj>
        <w:docPartGallery w:val="Page Numbers (Top of Page)"/>
        <w:docPartUnique/>
      </w:docPartObj>
    </w:sdtPr>
    <w:sdtEndPr>
      <w:rPr>
        <w:rFonts w:ascii="Times New Roman" w:hAnsi="Times New Roman" w:cs="Times New Roman"/>
      </w:rPr>
    </w:sdtEndPr>
    <w:sdtContent>
      <w:p w14:paraId="35620DD0" w14:textId="77777777" w:rsidR="00810744" w:rsidRPr="009C0EF1" w:rsidRDefault="00810744">
        <w:pPr>
          <w:pStyle w:val="a6"/>
          <w:jc w:val="center"/>
          <w:rPr>
            <w:rFonts w:ascii="Times New Roman" w:hAnsi="Times New Roman" w:cs="Times New Roman"/>
          </w:rPr>
        </w:pPr>
        <w:r w:rsidRPr="009C0EF1">
          <w:rPr>
            <w:rFonts w:ascii="Times New Roman" w:hAnsi="Times New Roman" w:cs="Times New Roman"/>
            <w:noProof/>
          </w:rPr>
          <w:fldChar w:fldCharType="begin"/>
        </w:r>
        <w:r w:rsidRPr="009C0EF1">
          <w:rPr>
            <w:rFonts w:ascii="Times New Roman" w:hAnsi="Times New Roman" w:cs="Times New Roman"/>
            <w:noProof/>
          </w:rPr>
          <w:instrText>PAGE   \* MERGEFORMAT</w:instrText>
        </w:r>
        <w:r w:rsidRPr="009C0EF1">
          <w:rPr>
            <w:rFonts w:ascii="Times New Roman" w:hAnsi="Times New Roman" w:cs="Times New Roman"/>
            <w:noProof/>
          </w:rPr>
          <w:fldChar w:fldCharType="separate"/>
        </w:r>
        <w:r w:rsidR="00475FB7">
          <w:rPr>
            <w:rFonts w:ascii="Times New Roman" w:hAnsi="Times New Roman" w:cs="Times New Roman"/>
            <w:noProof/>
          </w:rPr>
          <w:t>38</w:t>
        </w:r>
        <w:r w:rsidRPr="009C0EF1">
          <w:rPr>
            <w:rFonts w:ascii="Times New Roman" w:hAnsi="Times New Roman" w:cs="Times New Roman"/>
            <w:noProof/>
          </w:rPr>
          <w:fldChar w:fldCharType="end"/>
        </w:r>
      </w:p>
    </w:sdtContent>
  </w:sdt>
  <w:p w14:paraId="0DB8A7C7" w14:textId="77777777" w:rsidR="00810744" w:rsidRDefault="008107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0CA558C"/>
    <w:multiLevelType w:val="hybridMultilevel"/>
    <w:tmpl w:val="0186BCA6"/>
    <w:lvl w:ilvl="0" w:tplc="AD4A7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7"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F4D2F"/>
    <w:multiLevelType w:val="hybridMultilevel"/>
    <w:tmpl w:val="C424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D6575F"/>
    <w:multiLevelType w:val="hybridMultilevel"/>
    <w:tmpl w:val="1862CE20"/>
    <w:lvl w:ilvl="0" w:tplc="7A20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6173"/>
    <w:multiLevelType w:val="hybridMultilevel"/>
    <w:tmpl w:val="3ACAC250"/>
    <w:lvl w:ilvl="0" w:tplc="B89CE3AE">
      <w:start w:val="1"/>
      <w:numFmt w:val="decimal"/>
      <w:lvlText w:val="%1)"/>
      <w:lvlJc w:val="left"/>
      <w:pPr>
        <w:ind w:left="1654"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5A704F20"/>
    <w:multiLevelType w:val="hybridMultilevel"/>
    <w:tmpl w:val="F2DEF93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56DEF"/>
    <w:multiLevelType w:val="hybridMultilevel"/>
    <w:tmpl w:val="889C4D7C"/>
    <w:lvl w:ilvl="0" w:tplc="F9C47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BC10DA"/>
    <w:multiLevelType w:val="hybridMultilevel"/>
    <w:tmpl w:val="CD00FFF8"/>
    <w:lvl w:ilvl="0" w:tplc="24C4D3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5713D1D"/>
    <w:multiLevelType w:val="hybridMultilevel"/>
    <w:tmpl w:val="932E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516FE"/>
    <w:multiLevelType w:val="hybridMultilevel"/>
    <w:tmpl w:val="AB1A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40"/>
  </w:num>
  <w:num w:numId="7">
    <w:abstractNumId w:val="25"/>
  </w:num>
  <w:num w:numId="8">
    <w:abstractNumId w:val="27"/>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6"/>
  </w:num>
  <w:num w:numId="16">
    <w:abstractNumId w:val="30"/>
  </w:num>
  <w:num w:numId="17">
    <w:abstractNumId w:val="36"/>
  </w:num>
  <w:num w:numId="18">
    <w:abstractNumId w:val="16"/>
  </w:num>
  <w:num w:numId="19">
    <w:abstractNumId w:val="9"/>
  </w:num>
  <w:num w:numId="20">
    <w:abstractNumId w:val="7"/>
  </w:num>
  <w:num w:numId="21">
    <w:abstractNumId w:val="31"/>
  </w:num>
  <w:num w:numId="22">
    <w:abstractNumId w:val="13"/>
  </w:num>
  <w:num w:numId="23">
    <w:abstractNumId w:val="39"/>
  </w:num>
  <w:num w:numId="24">
    <w:abstractNumId w:val="12"/>
  </w:num>
  <w:num w:numId="25">
    <w:abstractNumId w:val="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2"/>
  </w:num>
  <w:num w:numId="30">
    <w:abstractNumId w:val="34"/>
  </w:num>
  <w:num w:numId="31">
    <w:abstractNumId w:val="15"/>
  </w:num>
  <w:num w:numId="32">
    <w:abstractNumId w:val="17"/>
  </w:num>
  <w:num w:numId="33">
    <w:abstractNumId w:val="10"/>
  </w:num>
  <w:num w:numId="34">
    <w:abstractNumId w:val="33"/>
  </w:num>
  <w:num w:numId="35">
    <w:abstractNumId w:val="28"/>
  </w:num>
  <w:num w:numId="36">
    <w:abstractNumId w:val="5"/>
  </w:num>
  <w:num w:numId="37">
    <w:abstractNumId w:val="0"/>
  </w:num>
  <w:num w:numId="38">
    <w:abstractNumId w:val="43"/>
  </w:num>
  <w:num w:numId="39">
    <w:abstractNumId w:val="32"/>
  </w:num>
  <w:num w:numId="40">
    <w:abstractNumId w:val="45"/>
  </w:num>
  <w:num w:numId="41">
    <w:abstractNumId w:val="38"/>
  </w:num>
  <w:num w:numId="42">
    <w:abstractNumId w:val="22"/>
  </w:num>
  <w:num w:numId="43">
    <w:abstractNumId w:val="35"/>
  </w:num>
  <w:num w:numId="44">
    <w:abstractNumId w:val="29"/>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B3"/>
    <w:rsid w:val="000006BF"/>
    <w:rsid w:val="000013E6"/>
    <w:rsid w:val="0000230C"/>
    <w:rsid w:val="000035E8"/>
    <w:rsid w:val="00004B19"/>
    <w:rsid w:val="0000546A"/>
    <w:rsid w:val="000063A4"/>
    <w:rsid w:val="00006EDC"/>
    <w:rsid w:val="00013F05"/>
    <w:rsid w:val="00016EC9"/>
    <w:rsid w:val="00020C3D"/>
    <w:rsid w:val="00022335"/>
    <w:rsid w:val="0002300C"/>
    <w:rsid w:val="000239C3"/>
    <w:rsid w:val="00023DAE"/>
    <w:rsid w:val="000246A1"/>
    <w:rsid w:val="00024726"/>
    <w:rsid w:val="000323ED"/>
    <w:rsid w:val="00032F42"/>
    <w:rsid w:val="000356F3"/>
    <w:rsid w:val="000361B7"/>
    <w:rsid w:val="00040166"/>
    <w:rsid w:val="000406E7"/>
    <w:rsid w:val="00045849"/>
    <w:rsid w:val="000519D1"/>
    <w:rsid w:val="00051C50"/>
    <w:rsid w:val="00053860"/>
    <w:rsid w:val="00054963"/>
    <w:rsid w:val="0005694F"/>
    <w:rsid w:val="00062642"/>
    <w:rsid w:val="00062F60"/>
    <w:rsid w:val="00070083"/>
    <w:rsid w:val="000709A2"/>
    <w:rsid w:val="000726D5"/>
    <w:rsid w:val="00073E49"/>
    <w:rsid w:val="00075649"/>
    <w:rsid w:val="00077C49"/>
    <w:rsid w:val="0008033C"/>
    <w:rsid w:val="00082118"/>
    <w:rsid w:val="0008293A"/>
    <w:rsid w:val="0008688B"/>
    <w:rsid w:val="000901CC"/>
    <w:rsid w:val="000955FF"/>
    <w:rsid w:val="000A472C"/>
    <w:rsid w:val="000A4A1F"/>
    <w:rsid w:val="000A614F"/>
    <w:rsid w:val="000A6A78"/>
    <w:rsid w:val="000B0033"/>
    <w:rsid w:val="000B23E7"/>
    <w:rsid w:val="000B26E0"/>
    <w:rsid w:val="000B4132"/>
    <w:rsid w:val="000B52CF"/>
    <w:rsid w:val="000B6292"/>
    <w:rsid w:val="000B7D38"/>
    <w:rsid w:val="000C1406"/>
    <w:rsid w:val="000C195B"/>
    <w:rsid w:val="000C2A63"/>
    <w:rsid w:val="000C50D6"/>
    <w:rsid w:val="000C60F1"/>
    <w:rsid w:val="000C6BC6"/>
    <w:rsid w:val="000C72EC"/>
    <w:rsid w:val="000D0E51"/>
    <w:rsid w:val="000D494E"/>
    <w:rsid w:val="000D5AB0"/>
    <w:rsid w:val="000E2058"/>
    <w:rsid w:val="000E4E34"/>
    <w:rsid w:val="000E60FE"/>
    <w:rsid w:val="000E6AA8"/>
    <w:rsid w:val="000F076D"/>
    <w:rsid w:val="000F1FBD"/>
    <w:rsid w:val="000F36AC"/>
    <w:rsid w:val="000F4171"/>
    <w:rsid w:val="000F5646"/>
    <w:rsid w:val="000F73BC"/>
    <w:rsid w:val="000F7DF2"/>
    <w:rsid w:val="0010178D"/>
    <w:rsid w:val="00103059"/>
    <w:rsid w:val="00105554"/>
    <w:rsid w:val="00107169"/>
    <w:rsid w:val="0011402E"/>
    <w:rsid w:val="001146F8"/>
    <w:rsid w:val="00116BB9"/>
    <w:rsid w:val="00116E14"/>
    <w:rsid w:val="00116F12"/>
    <w:rsid w:val="00122DFB"/>
    <w:rsid w:val="001236E7"/>
    <w:rsid w:val="001250DD"/>
    <w:rsid w:val="001269E4"/>
    <w:rsid w:val="00126A28"/>
    <w:rsid w:val="0012747E"/>
    <w:rsid w:val="00130C59"/>
    <w:rsid w:val="00131316"/>
    <w:rsid w:val="00131EB9"/>
    <w:rsid w:val="00134D5F"/>
    <w:rsid w:val="0013544D"/>
    <w:rsid w:val="00137F87"/>
    <w:rsid w:val="0014148F"/>
    <w:rsid w:val="001417C9"/>
    <w:rsid w:val="00142C64"/>
    <w:rsid w:val="00147A78"/>
    <w:rsid w:val="00147E0A"/>
    <w:rsid w:val="00150103"/>
    <w:rsid w:val="0015203A"/>
    <w:rsid w:val="00152F81"/>
    <w:rsid w:val="00155290"/>
    <w:rsid w:val="001558BD"/>
    <w:rsid w:val="00155FAA"/>
    <w:rsid w:val="00156171"/>
    <w:rsid w:val="001567BF"/>
    <w:rsid w:val="001608DE"/>
    <w:rsid w:val="00162CD9"/>
    <w:rsid w:val="0016499B"/>
    <w:rsid w:val="0016573E"/>
    <w:rsid w:val="00167B59"/>
    <w:rsid w:val="00170822"/>
    <w:rsid w:val="001724A8"/>
    <w:rsid w:val="00173189"/>
    <w:rsid w:val="00174E6A"/>
    <w:rsid w:val="00175CDA"/>
    <w:rsid w:val="00183EB5"/>
    <w:rsid w:val="00184269"/>
    <w:rsid w:val="00184CA1"/>
    <w:rsid w:val="00187E34"/>
    <w:rsid w:val="00191E09"/>
    <w:rsid w:val="001921D9"/>
    <w:rsid w:val="00193E0C"/>
    <w:rsid w:val="00196C7F"/>
    <w:rsid w:val="00197452"/>
    <w:rsid w:val="001A16B3"/>
    <w:rsid w:val="001A17A4"/>
    <w:rsid w:val="001A17DF"/>
    <w:rsid w:val="001A1F5E"/>
    <w:rsid w:val="001A202E"/>
    <w:rsid w:val="001A2951"/>
    <w:rsid w:val="001A43CA"/>
    <w:rsid w:val="001A54EA"/>
    <w:rsid w:val="001A69A8"/>
    <w:rsid w:val="001B0DF0"/>
    <w:rsid w:val="001C214E"/>
    <w:rsid w:val="001C6103"/>
    <w:rsid w:val="001D115D"/>
    <w:rsid w:val="001D228D"/>
    <w:rsid w:val="001D446C"/>
    <w:rsid w:val="001D6AAA"/>
    <w:rsid w:val="001D7C70"/>
    <w:rsid w:val="001E01F0"/>
    <w:rsid w:val="001E0602"/>
    <w:rsid w:val="001E4624"/>
    <w:rsid w:val="001E76A0"/>
    <w:rsid w:val="001F0379"/>
    <w:rsid w:val="001F4429"/>
    <w:rsid w:val="001F7FE4"/>
    <w:rsid w:val="00203227"/>
    <w:rsid w:val="00203A13"/>
    <w:rsid w:val="00203EB5"/>
    <w:rsid w:val="00204230"/>
    <w:rsid w:val="00207260"/>
    <w:rsid w:val="00207F84"/>
    <w:rsid w:val="00210157"/>
    <w:rsid w:val="002132EC"/>
    <w:rsid w:val="00215F21"/>
    <w:rsid w:val="00216DF1"/>
    <w:rsid w:val="00220D83"/>
    <w:rsid w:val="00222342"/>
    <w:rsid w:val="00225A40"/>
    <w:rsid w:val="002316E4"/>
    <w:rsid w:val="00232B7C"/>
    <w:rsid w:val="00233B7E"/>
    <w:rsid w:val="00235CE8"/>
    <w:rsid w:val="00235DCC"/>
    <w:rsid w:val="00236875"/>
    <w:rsid w:val="00236901"/>
    <w:rsid w:val="00236EFF"/>
    <w:rsid w:val="00237BEE"/>
    <w:rsid w:val="00237FB5"/>
    <w:rsid w:val="00242175"/>
    <w:rsid w:val="00242DCC"/>
    <w:rsid w:val="002448E5"/>
    <w:rsid w:val="00244E4A"/>
    <w:rsid w:val="002453E6"/>
    <w:rsid w:val="002469F4"/>
    <w:rsid w:val="0025038D"/>
    <w:rsid w:val="00250CD1"/>
    <w:rsid w:val="002512A9"/>
    <w:rsid w:val="00252275"/>
    <w:rsid w:val="00252828"/>
    <w:rsid w:val="00256031"/>
    <w:rsid w:val="00256347"/>
    <w:rsid w:val="002574CB"/>
    <w:rsid w:val="00263766"/>
    <w:rsid w:val="00264FB6"/>
    <w:rsid w:val="0026506B"/>
    <w:rsid w:val="00265674"/>
    <w:rsid w:val="002673D4"/>
    <w:rsid w:val="00271C57"/>
    <w:rsid w:val="00273DB8"/>
    <w:rsid w:val="00275229"/>
    <w:rsid w:val="00275C7C"/>
    <w:rsid w:val="00276D38"/>
    <w:rsid w:val="00277DBF"/>
    <w:rsid w:val="002803A7"/>
    <w:rsid w:val="002831BA"/>
    <w:rsid w:val="00283B57"/>
    <w:rsid w:val="002843CC"/>
    <w:rsid w:val="00284576"/>
    <w:rsid w:val="002854AA"/>
    <w:rsid w:val="00286699"/>
    <w:rsid w:val="00290603"/>
    <w:rsid w:val="00290FBC"/>
    <w:rsid w:val="002915CA"/>
    <w:rsid w:val="00295516"/>
    <w:rsid w:val="00295E96"/>
    <w:rsid w:val="00297A73"/>
    <w:rsid w:val="002A33CD"/>
    <w:rsid w:val="002A3816"/>
    <w:rsid w:val="002A4F2B"/>
    <w:rsid w:val="002A5FFA"/>
    <w:rsid w:val="002A62F8"/>
    <w:rsid w:val="002A63BC"/>
    <w:rsid w:val="002A6EFB"/>
    <w:rsid w:val="002B1366"/>
    <w:rsid w:val="002B257B"/>
    <w:rsid w:val="002B33FC"/>
    <w:rsid w:val="002B463C"/>
    <w:rsid w:val="002B488D"/>
    <w:rsid w:val="002B4956"/>
    <w:rsid w:val="002B54BF"/>
    <w:rsid w:val="002B6005"/>
    <w:rsid w:val="002B626F"/>
    <w:rsid w:val="002B689B"/>
    <w:rsid w:val="002B6CD5"/>
    <w:rsid w:val="002C1236"/>
    <w:rsid w:val="002C1BCB"/>
    <w:rsid w:val="002C32B1"/>
    <w:rsid w:val="002C385C"/>
    <w:rsid w:val="002C3FF5"/>
    <w:rsid w:val="002C4F3B"/>
    <w:rsid w:val="002C5B62"/>
    <w:rsid w:val="002C5E81"/>
    <w:rsid w:val="002C6FBC"/>
    <w:rsid w:val="002C7F3C"/>
    <w:rsid w:val="002D03AA"/>
    <w:rsid w:val="002D2885"/>
    <w:rsid w:val="002D3195"/>
    <w:rsid w:val="002D3DA5"/>
    <w:rsid w:val="002D63D1"/>
    <w:rsid w:val="002E093D"/>
    <w:rsid w:val="002E0E5A"/>
    <w:rsid w:val="002E14A0"/>
    <w:rsid w:val="002E2C76"/>
    <w:rsid w:val="002E3021"/>
    <w:rsid w:val="002E6E03"/>
    <w:rsid w:val="002E7FCE"/>
    <w:rsid w:val="002F0B87"/>
    <w:rsid w:val="002F223F"/>
    <w:rsid w:val="002F2B38"/>
    <w:rsid w:val="002F5B74"/>
    <w:rsid w:val="00312D58"/>
    <w:rsid w:val="0031622C"/>
    <w:rsid w:val="0031712F"/>
    <w:rsid w:val="00317B0E"/>
    <w:rsid w:val="00317EE4"/>
    <w:rsid w:val="00320EB6"/>
    <w:rsid w:val="00325706"/>
    <w:rsid w:val="00332685"/>
    <w:rsid w:val="00333524"/>
    <w:rsid w:val="00333D35"/>
    <w:rsid w:val="00336FF3"/>
    <w:rsid w:val="00337D21"/>
    <w:rsid w:val="0034236C"/>
    <w:rsid w:val="00343DDC"/>
    <w:rsid w:val="0035024B"/>
    <w:rsid w:val="003508A5"/>
    <w:rsid w:val="00351499"/>
    <w:rsid w:val="00352796"/>
    <w:rsid w:val="00352D19"/>
    <w:rsid w:val="00352F70"/>
    <w:rsid w:val="00353512"/>
    <w:rsid w:val="00353FA4"/>
    <w:rsid w:val="00355170"/>
    <w:rsid w:val="003577FE"/>
    <w:rsid w:val="0036199B"/>
    <w:rsid w:val="00361B1B"/>
    <w:rsid w:val="00364056"/>
    <w:rsid w:val="00365DBA"/>
    <w:rsid w:val="003721E1"/>
    <w:rsid w:val="00374DF7"/>
    <w:rsid w:val="003776C6"/>
    <w:rsid w:val="00377D67"/>
    <w:rsid w:val="00377EE4"/>
    <w:rsid w:val="00380597"/>
    <w:rsid w:val="0038241C"/>
    <w:rsid w:val="00384427"/>
    <w:rsid w:val="00394A4F"/>
    <w:rsid w:val="00396168"/>
    <w:rsid w:val="003970E4"/>
    <w:rsid w:val="003A15A6"/>
    <w:rsid w:val="003A2878"/>
    <w:rsid w:val="003A2936"/>
    <w:rsid w:val="003A2A29"/>
    <w:rsid w:val="003A6243"/>
    <w:rsid w:val="003A7BEA"/>
    <w:rsid w:val="003B0884"/>
    <w:rsid w:val="003B0E14"/>
    <w:rsid w:val="003B124C"/>
    <w:rsid w:val="003B240C"/>
    <w:rsid w:val="003B2CC5"/>
    <w:rsid w:val="003B7AD7"/>
    <w:rsid w:val="003C0016"/>
    <w:rsid w:val="003C079A"/>
    <w:rsid w:val="003C2DC3"/>
    <w:rsid w:val="003C44AE"/>
    <w:rsid w:val="003C6A25"/>
    <w:rsid w:val="003C6F50"/>
    <w:rsid w:val="003C768C"/>
    <w:rsid w:val="003D0167"/>
    <w:rsid w:val="003D2074"/>
    <w:rsid w:val="003D4735"/>
    <w:rsid w:val="003D7669"/>
    <w:rsid w:val="003E0605"/>
    <w:rsid w:val="003E1CEC"/>
    <w:rsid w:val="003E6763"/>
    <w:rsid w:val="003E7DB7"/>
    <w:rsid w:val="003F13A3"/>
    <w:rsid w:val="003F2906"/>
    <w:rsid w:val="003F3596"/>
    <w:rsid w:val="003F4967"/>
    <w:rsid w:val="003F6346"/>
    <w:rsid w:val="003F74EF"/>
    <w:rsid w:val="004024D0"/>
    <w:rsid w:val="0040343F"/>
    <w:rsid w:val="00403999"/>
    <w:rsid w:val="004043BE"/>
    <w:rsid w:val="004115F7"/>
    <w:rsid w:val="00412168"/>
    <w:rsid w:val="00412319"/>
    <w:rsid w:val="00412506"/>
    <w:rsid w:val="00414CBE"/>
    <w:rsid w:val="00415F36"/>
    <w:rsid w:val="004170AD"/>
    <w:rsid w:val="00423236"/>
    <w:rsid w:val="00423B72"/>
    <w:rsid w:val="0042538C"/>
    <w:rsid w:val="00426BF0"/>
    <w:rsid w:val="00433DBA"/>
    <w:rsid w:val="00434160"/>
    <w:rsid w:val="00434A1B"/>
    <w:rsid w:val="00435C9D"/>
    <w:rsid w:val="0044146F"/>
    <w:rsid w:val="0044156F"/>
    <w:rsid w:val="0044452E"/>
    <w:rsid w:val="00445960"/>
    <w:rsid w:val="00445D5A"/>
    <w:rsid w:val="0044693F"/>
    <w:rsid w:val="0045153D"/>
    <w:rsid w:val="00452D7A"/>
    <w:rsid w:val="00455350"/>
    <w:rsid w:val="00455717"/>
    <w:rsid w:val="00455C94"/>
    <w:rsid w:val="00461AF0"/>
    <w:rsid w:val="00463419"/>
    <w:rsid w:val="004708B6"/>
    <w:rsid w:val="004711EA"/>
    <w:rsid w:val="0047178B"/>
    <w:rsid w:val="00474129"/>
    <w:rsid w:val="00475F6D"/>
    <w:rsid w:val="00475FB7"/>
    <w:rsid w:val="0047604B"/>
    <w:rsid w:val="00481863"/>
    <w:rsid w:val="004822A3"/>
    <w:rsid w:val="004841BF"/>
    <w:rsid w:val="00484D31"/>
    <w:rsid w:val="00484D51"/>
    <w:rsid w:val="0048537E"/>
    <w:rsid w:val="00486F92"/>
    <w:rsid w:val="00490229"/>
    <w:rsid w:val="0049076C"/>
    <w:rsid w:val="00491E80"/>
    <w:rsid w:val="00492603"/>
    <w:rsid w:val="004973E7"/>
    <w:rsid w:val="00497615"/>
    <w:rsid w:val="004A00F5"/>
    <w:rsid w:val="004A0979"/>
    <w:rsid w:val="004A0A09"/>
    <w:rsid w:val="004A0CC9"/>
    <w:rsid w:val="004A18B5"/>
    <w:rsid w:val="004A1DB4"/>
    <w:rsid w:val="004A4D0B"/>
    <w:rsid w:val="004B1339"/>
    <w:rsid w:val="004B14DE"/>
    <w:rsid w:val="004B427F"/>
    <w:rsid w:val="004B57B2"/>
    <w:rsid w:val="004C1A88"/>
    <w:rsid w:val="004C2844"/>
    <w:rsid w:val="004C7466"/>
    <w:rsid w:val="004D1099"/>
    <w:rsid w:val="004D3C0E"/>
    <w:rsid w:val="004D609A"/>
    <w:rsid w:val="004E3904"/>
    <w:rsid w:val="004E4D45"/>
    <w:rsid w:val="004E51AD"/>
    <w:rsid w:val="004E61C4"/>
    <w:rsid w:val="004F0F8A"/>
    <w:rsid w:val="004F1184"/>
    <w:rsid w:val="004F36D0"/>
    <w:rsid w:val="004F3931"/>
    <w:rsid w:val="004F5589"/>
    <w:rsid w:val="004F65BB"/>
    <w:rsid w:val="005011B9"/>
    <w:rsid w:val="005028B9"/>
    <w:rsid w:val="005036FD"/>
    <w:rsid w:val="00506846"/>
    <w:rsid w:val="005075D5"/>
    <w:rsid w:val="00510227"/>
    <w:rsid w:val="00510AA5"/>
    <w:rsid w:val="00510D7B"/>
    <w:rsid w:val="00511750"/>
    <w:rsid w:val="00512989"/>
    <w:rsid w:val="00512AEB"/>
    <w:rsid w:val="005135A5"/>
    <w:rsid w:val="00515EDE"/>
    <w:rsid w:val="00530C53"/>
    <w:rsid w:val="00530FD3"/>
    <w:rsid w:val="005313FD"/>
    <w:rsid w:val="005320DC"/>
    <w:rsid w:val="0053396A"/>
    <w:rsid w:val="00534CFB"/>
    <w:rsid w:val="00535E60"/>
    <w:rsid w:val="005362D6"/>
    <w:rsid w:val="0053664D"/>
    <w:rsid w:val="00537981"/>
    <w:rsid w:val="0054468F"/>
    <w:rsid w:val="00553C62"/>
    <w:rsid w:val="00554152"/>
    <w:rsid w:val="0055589E"/>
    <w:rsid w:val="0056110A"/>
    <w:rsid w:val="00562055"/>
    <w:rsid w:val="005635B0"/>
    <w:rsid w:val="00565588"/>
    <w:rsid w:val="00570C5B"/>
    <w:rsid w:val="00572310"/>
    <w:rsid w:val="00576A39"/>
    <w:rsid w:val="0057724F"/>
    <w:rsid w:val="00577FB5"/>
    <w:rsid w:val="00580E8A"/>
    <w:rsid w:val="00582919"/>
    <w:rsid w:val="0058639E"/>
    <w:rsid w:val="0058676D"/>
    <w:rsid w:val="0059224E"/>
    <w:rsid w:val="00592838"/>
    <w:rsid w:val="0059529E"/>
    <w:rsid w:val="00595A34"/>
    <w:rsid w:val="00597518"/>
    <w:rsid w:val="005A08E0"/>
    <w:rsid w:val="005A0BA2"/>
    <w:rsid w:val="005A13A1"/>
    <w:rsid w:val="005A1F98"/>
    <w:rsid w:val="005A3DBB"/>
    <w:rsid w:val="005A4929"/>
    <w:rsid w:val="005A611E"/>
    <w:rsid w:val="005A77C3"/>
    <w:rsid w:val="005B4038"/>
    <w:rsid w:val="005B4D68"/>
    <w:rsid w:val="005B4D78"/>
    <w:rsid w:val="005C12C9"/>
    <w:rsid w:val="005C3988"/>
    <w:rsid w:val="005C4B1A"/>
    <w:rsid w:val="005D3CAA"/>
    <w:rsid w:val="005D434E"/>
    <w:rsid w:val="005D445B"/>
    <w:rsid w:val="005D7D3E"/>
    <w:rsid w:val="005E1024"/>
    <w:rsid w:val="005E514F"/>
    <w:rsid w:val="005F0AAB"/>
    <w:rsid w:val="005F3064"/>
    <w:rsid w:val="005F339A"/>
    <w:rsid w:val="005F3B3C"/>
    <w:rsid w:val="005F5E5D"/>
    <w:rsid w:val="005F7F20"/>
    <w:rsid w:val="00601563"/>
    <w:rsid w:val="006047BC"/>
    <w:rsid w:val="00606758"/>
    <w:rsid w:val="00607644"/>
    <w:rsid w:val="0061213D"/>
    <w:rsid w:val="006131BB"/>
    <w:rsid w:val="00613ECA"/>
    <w:rsid w:val="006166CF"/>
    <w:rsid w:val="00617911"/>
    <w:rsid w:val="0062177A"/>
    <w:rsid w:val="00621D74"/>
    <w:rsid w:val="00622B89"/>
    <w:rsid w:val="00622DF8"/>
    <w:rsid w:val="00624686"/>
    <w:rsid w:val="006268F6"/>
    <w:rsid w:val="00627CC6"/>
    <w:rsid w:val="006301FD"/>
    <w:rsid w:val="006311A9"/>
    <w:rsid w:val="00635565"/>
    <w:rsid w:val="00636C2A"/>
    <w:rsid w:val="006370D9"/>
    <w:rsid w:val="006403A9"/>
    <w:rsid w:val="006412E4"/>
    <w:rsid w:val="00641380"/>
    <w:rsid w:val="006425F6"/>
    <w:rsid w:val="0064356F"/>
    <w:rsid w:val="00643765"/>
    <w:rsid w:val="00644394"/>
    <w:rsid w:val="006447B4"/>
    <w:rsid w:val="00644B01"/>
    <w:rsid w:val="006523AA"/>
    <w:rsid w:val="00652962"/>
    <w:rsid w:val="00652976"/>
    <w:rsid w:val="00656207"/>
    <w:rsid w:val="006601B6"/>
    <w:rsid w:val="006618A8"/>
    <w:rsid w:val="00665F8D"/>
    <w:rsid w:val="0066641B"/>
    <w:rsid w:val="0066652E"/>
    <w:rsid w:val="00666752"/>
    <w:rsid w:val="00670A9C"/>
    <w:rsid w:val="00670B26"/>
    <w:rsid w:val="006712C7"/>
    <w:rsid w:val="00671564"/>
    <w:rsid w:val="006757AB"/>
    <w:rsid w:val="0067664B"/>
    <w:rsid w:val="0068135F"/>
    <w:rsid w:val="00681453"/>
    <w:rsid w:val="0068368F"/>
    <w:rsid w:val="0068377F"/>
    <w:rsid w:val="00683FD4"/>
    <w:rsid w:val="00686B4F"/>
    <w:rsid w:val="00692044"/>
    <w:rsid w:val="00692588"/>
    <w:rsid w:val="006929B1"/>
    <w:rsid w:val="00692FAD"/>
    <w:rsid w:val="00695EE3"/>
    <w:rsid w:val="00697B77"/>
    <w:rsid w:val="00697FF2"/>
    <w:rsid w:val="006A0FBD"/>
    <w:rsid w:val="006A2C25"/>
    <w:rsid w:val="006A2F9B"/>
    <w:rsid w:val="006A5C6D"/>
    <w:rsid w:val="006A646F"/>
    <w:rsid w:val="006A7800"/>
    <w:rsid w:val="006B1F92"/>
    <w:rsid w:val="006B4195"/>
    <w:rsid w:val="006B4831"/>
    <w:rsid w:val="006B5432"/>
    <w:rsid w:val="006B5D40"/>
    <w:rsid w:val="006B6595"/>
    <w:rsid w:val="006C49A9"/>
    <w:rsid w:val="006C4B67"/>
    <w:rsid w:val="006C4C17"/>
    <w:rsid w:val="006D0223"/>
    <w:rsid w:val="006D251A"/>
    <w:rsid w:val="006D327F"/>
    <w:rsid w:val="006D3429"/>
    <w:rsid w:val="006D3745"/>
    <w:rsid w:val="006D51CF"/>
    <w:rsid w:val="006D6C83"/>
    <w:rsid w:val="006E3105"/>
    <w:rsid w:val="006E3B7E"/>
    <w:rsid w:val="006E461E"/>
    <w:rsid w:val="006E4CBA"/>
    <w:rsid w:val="006F07A5"/>
    <w:rsid w:val="006F1B51"/>
    <w:rsid w:val="006F1CB0"/>
    <w:rsid w:val="006F1F62"/>
    <w:rsid w:val="006F51D3"/>
    <w:rsid w:val="00700968"/>
    <w:rsid w:val="00703557"/>
    <w:rsid w:val="00705E10"/>
    <w:rsid w:val="007063EF"/>
    <w:rsid w:val="007123C0"/>
    <w:rsid w:val="00714973"/>
    <w:rsid w:val="00714B6B"/>
    <w:rsid w:val="0071596D"/>
    <w:rsid w:val="00722871"/>
    <w:rsid w:val="00722946"/>
    <w:rsid w:val="00723408"/>
    <w:rsid w:val="00724331"/>
    <w:rsid w:val="00727494"/>
    <w:rsid w:val="007274FE"/>
    <w:rsid w:val="00731AEE"/>
    <w:rsid w:val="00732856"/>
    <w:rsid w:val="00733379"/>
    <w:rsid w:val="00734F34"/>
    <w:rsid w:val="00740F41"/>
    <w:rsid w:val="0074182A"/>
    <w:rsid w:val="00744514"/>
    <w:rsid w:val="00750823"/>
    <w:rsid w:val="00750D4E"/>
    <w:rsid w:val="00753C1E"/>
    <w:rsid w:val="0075530F"/>
    <w:rsid w:val="0075701E"/>
    <w:rsid w:val="00757CD2"/>
    <w:rsid w:val="007640C5"/>
    <w:rsid w:val="00764D83"/>
    <w:rsid w:val="0076507F"/>
    <w:rsid w:val="007678B3"/>
    <w:rsid w:val="00770AD5"/>
    <w:rsid w:val="00770E19"/>
    <w:rsid w:val="007712FC"/>
    <w:rsid w:val="00781737"/>
    <w:rsid w:val="00790BAF"/>
    <w:rsid w:val="00791952"/>
    <w:rsid w:val="00795EF0"/>
    <w:rsid w:val="0079691A"/>
    <w:rsid w:val="00797108"/>
    <w:rsid w:val="007A13D0"/>
    <w:rsid w:val="007A2320"/>
    <w:rsid w:val="007A286F"/>
    <w:rsid w:val="007B0257"/>
    <w:rsid w:val="007B19BD"/>
    <w:rsid w:val="007B203F"/>
    <w:rsid w:val="007B2801"/>
    <w:rsid w:val="007B5343"/>
    <w:rsid w:val="007B6E23"/>
    <w:rsid w:val="007B7107"/>
    <w:rsid w:val="007B71B8"/>
    <w:rsid w:val="007C4AFD"/>
    <w:rsid w:val="007C5F98"/>
    <w:rsid w:val="007C736B"/>
    <w:rsid w:val="007C7672"/>
    <w:rsid w:val="007D2281"/>
    <w:rsid w:val="007D5D22"/>
    <w:rsid w:val="007D6828"/>
    <w:rsid w:val="007D7ED9"/>
    <w:rsid w:val="007E0922"/>
    <w:rsid w:val="007E0C01"/>
    <w:rsid w:val="007E1090"/>
    <w:rsid w:val="007E1770"/>
    <w:rsid w:val="007E1DC3"/>
    <w:rsid w:val="007E31C1"/>
    <w:rsid w:val="007E4CFF"/>
    <w:rsid w:val="007E4FA7"/>
    <w:rsid w:val="007F1271"/>
    <w:rsid w:val="007F38CA"/>
    <w:rsid w:val="007F7484"/>
    <w:rsid w:val="00800F7E"/>
    <w:rsid w:val="00801995"/>
    <w:rsid w:val="00802661"/>
    <w:rsid w:val="00802EA7"/>
    <w:rsid w:val="00805141"/>
    <w:rsid w:val="00810744"/>
    <w:rsid w:val="00813253"/>
    <w:rsid w:val="00814BE8"/>
    <w:rsid w:val="008223A5"/>
    <w:rsid w:val="00822C30"/>
    <w:rsid w:val="00834C9E"/>
    <w:rsid w:val="0083596E"/>
    <w:rsid w:val="00836754"/>
    <w:rsid w:val="00836792"/>
    <w:rsid w:val="0083689A"/>
    <w:rsid w:val="008436C6"/>
    <w:rsid w:val="0084474C"/>
    <w:rsid w:val="00845017"/>
    <w:rsid w:val="00846B06"/>
    <w:rsid w:val="0085325E"/>
    <w:rsid w:val="00855073"/>
    <w:rsid w:val="00861DE6"/>
    <w:rsid w:val="00862662"/>
    <w:rsid w:val="00863840"/>
    <w:rsid w:val="00867666"/>
    <w:rsid w:val="008703F8"/>
    <w:rsid w:val="00871523"/>
    <w:rsid w:val="00871B78"/>
    <w:rsid w:val="00874269"/>
    <w:rsid w:val="008745CF"/>
    <w:rsid w:val="00875684"/>
    <w:rsid w:val="00875A64"/>
    <w:rsid w:val="00876375"/>
    <w:rsid w:val="00880155"/>
    <w:rsid w:val="00881C39"/>
    <w:rsid w:val="008820E6"/>
    <w:rsid w:val="00884CC6"/>
    <w:rsid w:val="00887C99"/>
    <w:rsid w:val="008916EA"/>
    <w:rsid w:val="00895B7C"/>
    <w:rsid w:val="008A2EDF"/>
    <w:rsid w:val="008A4F4F"/>
    <w:rsid w:val="008A5BFF"/>
    <w:rsid w:val="008A7191"/>
    <w:rsid w:val="008B0264"/>
    <w:rsid w:val="008B27EE"/>
    <w:rsid w:val="008B6908"/>
    <w:rsid w:val="008C171A"/>
    <w:rsid w:val="008C2D54"/>
    <w:rsid w:val="008C34E0"/>
    <w:rsid w:val="008C3E75"/>
    <w:rsid w:val="008C560D"/>
    <w:rsid w:val="008D00B0"/>
    <w:rsid w:val="008D0546"/>
    <w:rsid w:val="008D1A1C"/>
    <w:rsid w:val="008D1FA1"/>
    <w:rsid w:val="008D2724"/>
    <w:rsid w:val="008D29E3"/>
    <w:rsid w:val="008D320D"/>
    <w:rsid w:val="008D543F"/>
    <w:rsid w:val="008D6865"/>
    <w:rsid w:val="008D7DCA"/>
    <w:rsid w:val="008E0B82"/>
    <w:rsid w:val="008E2C2D"/>
    <w:rsid w:val="008E2E13"/>
    <w:rsid w:val="008E4361"/>
    <w:rsid w:val="008F05F0"/>
    <w:rsid w:val="008F0CA3"/>
    <w:rsid w:val="008F11FC"/>
    <w:rsid w:val="008F40C8"/>
    <w:rsid w:val="008F6BBD"/>
    <w:rsid w:val="00900B7E"/>
    <w:rsid w:val="00901C98"/>
    <w:rsid w:val="00902349"/>
    <w:rsid w:val="0090352E"/>
    <w:rsid w:val="00903D4B"/>
    <w:rsid w:val="00906D04"/>
    <w:rsid w:val="009071E4"/>
    <w:rsid w:val="009109D4"/>
    <w:rsid w:val="0091273B"/>
    <w:rsid w:val="009128F7"/>
    <w:rsid w:val="00912E9E"/>
    <w:rsid w:val="00913C6A"/>
    <w:rsid w:val="009165B1"/>
    <w:rsid w:val="00922647"/>
    <w:rsid w:val="00922F9E"/>
    <w:rsid w:val="00923163"/>
    <w:rsid w:val="009254B1"/>
    <w:rsid w:val="009264A6"/>
    <w:rsid w:val="00927F52"/>
    <w:rsid w:val="00931734"/>
    <w:rsid w:val="00934A03"/>
    <w:rsid w:val="00945E60"/>
    <w:rsid w:val="00946FF7"/>
    <w:rsid w:val="009473EB"/>
    <w:rsid w:val="009516D2"/>
    <w:rsid w:val="00953275"/>
    <w:rsid w:val="009534EF"/>
    <w:rsid w:val="009544EA"/>
    <w:rsid w:val="0095591D"/>
    <w:rsid w:val="009570DF"/>
    <w:rsid w:val="009606D5"/>
    <w:rsid w:val="009622BF"/>
    <w:rsid w:val="009641AE"/>
    <w:rsid w:val="0096468C"/>
    <w:rsid w:val="0096525D"/>
    <w:rsid w:val="0096559F"/>
    <w:rsid w:val="009676FC"/>
    <w:rsid w:val="00967D7F"/>
    <w:rsid w:val="00970397"/>
    <w:rsid w:val="00970823"/>
    <w:rsid w:val="009746D2"/>
    <w:rsid w:val="00976170"/>
    <w:rsid w:val="009803F9"/>
    <w:rsid w:val="00981754"/>
    <w:rsid w:val="00984FFB"/>
    <w:rsid w:val="00985ABD"/>
    <w:rsid w:val="009868BE"/>
    <w:rsid w:val="009876D7"/>
    <w:rsid w:val="00990B58"/>
    <w:rsid w:val="00990DCC"/>
    <w:rsid w:val="009910BA"/>
    <w:rsid w:val="0099197E"/>
    <w:rsid w:val="0099395F"/>
    <w:rsid w:val="00993DB8"/>
    <w:rsid w:val="00994D52"/>
    <w:rsid w:val="009960C8"/>
    <w:rsid w:val="009960EE"/>
    <w:rsid w:val="009A040C"/>
    <w:rsid w:val="009A0CA3"/>
    <w:rsid w:val="009A1122"/>
    <w:rsid w:val="009A1BC0"/>
    <w:rsid w:val="009A2A67"/>
    <w:rsid w:val="009A4710"/>
    <w:rsid w:val="009B1B48"/>
    <w:rsid w:val="009B20BC"/>
    <w:rsid w:val="009C0905"/>
    <w:rsid w:val="009C0EF1"/>
    <w:rsid w:val="009C11EA"/>
    <w:rsid w:val="009C134E"/>
    <w:rsid w:val="009C6CEA"/>
    <w:rsid w:val="009C7410"/>
    <w:rsid w:val="009C79CF"/>
    <w:rsid w:val="009D0279"/>
    <w:rsid w:val="009D0E14"/>
    <w:rsid w:val="009D205B"/>
    <w:rsid w:val="009D4F89"/>
    <w:rsid w:val="009D63F1"/>
    <w:rsid w:val="009D6490"/>
    <w:rsid w:val="009D7A4F"/>
    <w:rsid w:val="009E10DD"/>
    <w:rsid w:val="009E2E80"/>
    <w:rsid w:val="009E5E6D"/>
    <w:rsid w:val="009F3953"/>
    <w:rsid w:val="009F4CA9"/>
    <w:rsid w:val="009F4DE6"/>
    <w:rsid w:val="009F5948"/>
    <w:rsid w:val="00A00EE7"/>
    <w:rsid w:val="00A00F5D"/>
    <w:rsid w:val="00A01EBB"/>
    <w:rsid w:val="00A02AC4"/>
    <w:rsid w:val="00A0738C"/>
    <w:rsid w:val="00A14707"/>
    <w:rsid w:val="00A17724"/>
    <w:rsid w:val="00A21A6A"/>
    <w:rsid w:val="00A227A0"/>
    <w:rsid w:val="00A2342A"/>
    <w:rsid w:val="00A23827"/>
    <w:rsid w:val="00A24300"/>
    <w:rsid w:val="00A244C4"/>
    <w:rsid w:val="00A24D87"/>
    <w:rsid w:val="00A31309"/>
    <w:rsid w:val="00A3585B"/>
    <w:rsid w:val="00A35F57"/>
    <w:rsid w:val="00A36229"/>
    <w:rsid w:val="00A42189"/>
    <w:rsid w:val="00A43E63"/>
    <w:rsid w:val="00A475F4"/>
    <w:rsid w:val="00A5067C"/>
    <w:rsid w:val="00A5207A"/>
    <w:rsid w:val="00A520AF"/>
    <w:rsid w:val="00A532D2"/>
    <w:rsid w:val="00A53C0D"/>
    <w:rsid w:val="00A54399"/>
    <w:rsid w:val="00A56C5D"/>
    <w:rsid w:val="00A60A77"/>
    <w:rsid w:val="00A62223"/>
    <w:rsid w:val="00A64A36"/>
    <w:rsid w:val="00A656B6"/>
    <w:rsid w:val="00A6589A"/>
    <w:rsid w:val="00A65E4C"/>
    <w:rsid w:val="00A65F10"/>
    <w:rsid w:val="00A66069"/>
    <w:rsid w:val="00A7009A"/>
    <w:rsid w:val="00A74170"/>
    <w:rsid w:val="00A7548C"/>
    <w:rsid w:val="00A76546"/>
    <w:rsid w:val="00A811F7"/>
    <w:rsid w:val="00A81B7C"/>
    <w:rsid w:val="00A83650"/>
    <w:rsid w:val="00A91003"/>
    <w:rsid w:val="00A9132D"/>
    <w:rsid w:val="00A92FF4"/>
    <w:rsid w:val="00A93AB5"/>
    <w:rsid w:val="00A9477F"/>
    <w:rsid w:val="00AA0FC4"/>
    <w:rsid w:val="00AA26A2"/>
    <w:rsid w:val="00AA2D8A"/>
    <w:rsid w:val="00AA3345"/>
    <w:rsid w:val="00AA416F"/>
    <w:rsid w:val="00AB04E5"/>
    <w:rsid w:val="00AB0C0D"/>
    <w:rsid w:val="00AB2F1B"/>
    <w:rsid w:val="00AB4A3E"/>
    <w:rsid w:val="00AB6B0A"/>
    <w:rsid w:val="00AB7885"/>
    <w:rsid w:val="00AB7DD2"/>
    <w:rsid w:val="00AC261E"/>
    <w:rsid w:val="00AC2AB4"/>
    <w:rsid w:val="00AC4A12"/>
    <w:rsid w:val="00AC7A23"/>
    <w:rsid w:val="00AD0DCE"/>
    <w:rsid w:val="00AD1495"/>
    <w:rsid w:val="00AD362E"/>
    <w:rsid w:val="00AD36C4"/>
    <w:rsid w:val="00AD4A10"/>
    <w:rsid w:val="00AD62B9"/>
    <w:rsid w:val="00AD6C60"/>
    <w:rsid w:val="00AD777B"/>
    <w:rsid w:val="00AD788C"/>
    <w:rsid w:val="00AE3B03"/>
    <w:rsid w:val="00AE5C96"/>
    <w:rsid w:val="00AE6ED5"/>
    <w:rsid w:val="00AE6F5C"/>
    <w:rsid w:val="00AF0243"/>
    <w:rsid w:val="00AF0539"/>
    <w:rsid w:val="00AF3DCC"/>
    <w:rsid w:val="00B039E7"/>
    <w:rsid w:val="00B060B7"/>
    <w:rsid w:val="00B100AF"/>
    <w:rsid w:val="00B119D2"/>
    <w:rsid w:val="00B139D6"/>
    <w:rsid w:val="00B17628"/>
    <w:rsid w:val="00B21D1F"/>
    <w:rsid w:val="00B21FCD"/>
    <w:rsid w:val="00B2284B"/>
    <w:rsid w:val="00B2551F"/>
    <w:rsid w:val="00B32C92"/>
    <w:rsid w:val="00B32F92"/>
    <w:rsid w:val="00B33C3B"/>
    <w:rsid w:val="00B3424A"/>
    <w:rsid w:val="00B3668E"/>
    <w:rsid w:val="00B420E0"/>
    <w:rsid w:val="00B44251"/>
    <w:rsid w:val="00B459BE"/>
    <w:rsid w:val="00B45C48"/>
    <w:rsid w:val="00B474BD"/>
    <w:rsid w:val="00B47FA2"/>
    <w:rsid w:val="00B525D9"/>
    <w:rsid w:val="00B55DFD"/>
    <w:rsid w:val="00B56786"/>
    <w:rsid w:val="00B56913"/>
    <w:rsid w:val="00B615E8"/>
    <w:rsid w:val="00B656C8"/>
    <w:rsid w:val="00B66C2B"/>
    <w:rsid w:val="00B677AD"/>
    <w:rsid w:val="00B72236"/>
    <w:rsid w:val="00B811B8"/>
    <w:rsid w:val="00B81F5E"/>
    <w:rsid w:val="00B84BC1"/>
    <w:rsid w:val="00B84CEA"/>
    <w:rsid w:val="00B855F0"/>
    <w:rsid w:val="00B913A1"/>
    <w:rsid w:val="00B926C6"/>
    <w:rsid w:val="00B95185"/>
    <w:rsid w:val="00BA2693"/>
    <w:rsid w:val="00BA2EEF"/>
    <w:rsid w:val="00BB059C"/>
    <w:rsid w:val="00BB5B61"/>
    <w:rsid w:val="00BB5DA3"/>
    <w:rsid w:val="00BB6871"/>
    <w:rsid w:val="00BC3B05"/>
    <w:rsid w:val="00BC4D52"/>
    <w:rsid w:val="00BC51DB"/>
    <w:rsid w:val="00BC6AD3"/>
    <w:rsid w:val="00BC73F5"/>
    <w:rsid w:val="00BD0D82"/>
    <w:rsid w:val="00BD2076"/>
    <w:rsid w:val="00BD36B3"/>
    <w:rsid w:val="00BD4BE3"/>
    <w:rsid w:val="00BD56AB"/>
    <w:rsid w:val="00BD59DC"/>
    <w:rsid w:val="00BD5B0D"/>
    <w:rsid w:val="00BD6058"/>
    <w:rsid w:val="00BE002E"/>
    <w:rsid w:val="00BE1A88"/>
    <w:rsid w:val="00BE675C"/>
    <w:rsid w:val="00BE77E3"/>
    <w:rsid w:val="00BF2F1C"/>
    <w:rsid w:val="00BF3D4D"/>
    <w:rsid w:val="00BF4F3F"/>
    <w:rsid w:val="00C12ED1"/>
    <w:rsid w:val="00C14918"/>
    <w:rsid w:val="00C205BD"/>
    <w:rsid w:val="00C23149"/>
    <w:rsid w:val="00C23C3E"/>
    <w:rsid w:val="00C247A2"/>
    <w:rsid w:val="00C259A0"/>
    <w:rsid w:val="00C27FAF"/>
    <w:rsid w:val="00C30763"/>
    <w:rsid w:val="00C33667"/>
    <w:rsid w:val="00C34E8E"/>
    <w:rsid w:val="00C356F7"/>
    <w:rsid w:val="00C35FC7"/>
    <w:rsid w:val="00C3677A"/>
    <w:rsid w:val="00C37A18"/>
    <w:rsid w:val="00C41627"/>
    <w:rsid w:val="00C423EA"/>
    <w:rsid w:val="00C45B52"/>
    <w:rsid w:val="00C503A0"/>
    <w:rsid w:val="00C516F6"/>
    <w:rsid w:val="00C51AEF"/>
    <w:rsid w:val="00C51E66"/>
    <w:rsid w:val="00C5280B"/>
    <w:rsid w:val="00C61B0D"/>
    <w:rsid w:val="00C6437B"/>
    <w:rsid w:val="00C70005"/>
    <w:rsid w:val="00C70782"/>
    <w:rsid w:val="00C70FDE"/>
    <w:rsid w:val="00C73833"/>
    <w:rsid w:val="00C7499E"/>
    <w:rsid w:val="00C7527F"/>
    <w:rsid w:val="00C7642A"/>
    <w:rsid w:val="00C77F00"/>
    <w:rsid w:val="00C80B82"/>
    <w:rsid w:val="00C811B6"/>
    <w:rsid w:val="00C81E1E"/>
    <w:rsid w:val="00C8474A"/>
    <w:rsid w:val="00C87B03"/>
    <w:rsid w:val="00C94257"/>
    <w:rsid w:val="00C9798A"/>
    <w:rsid w:val="00C97EEF"/>
    <w:rsid w:val="00CA4450"/>
    <w:rsid w:val="00CA58BE"/>
    <w:rsid w:val="00CA6B25"/>
    <w:rsid w:val="00CA7CA3"/>
    <w:rsid w:val="00CA7D32"/>
    <w:rsid w:val="00CB123C"/>
    <w:rsid w:val="00CB2DD3"/>
    <w:rsid w:val="00CB2E66"/>
    <w:rsid w:val="00CB35BD"/>
    <w:rsid w:val="00CB5E5F"/>
    <w:rsid w:val="00CB5F22"/>
    <w:rsid w:val="00CC2651"/>
    <w:rsid w:val="00CC6C21"/>
    <w:rsid w:val="00CD0E28"/>
    <w:rsid w:val="00CD1B91"/>
    <w:rsid w:val="00CD3BF8"/>
    <w:rsid w:val="00CD69CD"/>
    <w:rsid w:val="00CE0C47"/>
    <w:rsid w:val="00CE3D7D"/>
    <w:rsid w:val="00CE59E0"/>
    <w:rsid w:val="00CE5F4B"/>
    <w:rsid w:val="00CE6C8D"/>
    <w:rsid w:val="00CE7446"/>
    <w:rsid w:val="00CF40A3"/>
    <w:rsid w:val="00CF667B"/>
    <w:rsid w:val="00D0042D"/>
    <w:rsid w:val="00D0190D"/>
    <w:rsid w:val="00D02E66"/>
    <w:rsid w:val="00D06339"/>
    <w:rsid w:val="00D10774"/>
    <w:rsid w:val="00D14388"/>
    <w:rsid w:val="00D15494"/>
    <w:rsid w:val="00D20731"/>
    <w:rsid w:val="00D22349"/>
    <w:rsid w:val="00D2481B"/>
    <w:rsid w:val="00D25039"/>
    <w:rsid w:val="00D305AD"/>
    <w:rsid w:val="00D314AB"/>
    <w:rsid w:val="00D33DDA"/>
    <w:rsid w:val="00D359E1"/>
    <w:rsid w:val="00D37973"/>
    <w:rsid w:val="00D415AC"/>
    <w:rsid w:val="00D41BD5"/>
    <w:rsid w:val="00D43115"/>
    <w:rsid w:val="00D46C4D"/>
    <w:rsid w:val="00D46E70"/>
    <w:rsid w:val="00D507BA"/>
    <w:rsid w:val="00D51215"/>
    <w:rsid w:val="00D5202F"/>
    <w:rsid w:val="00D55798"/>
    <w:rsid w:val="00D57934"/>
    <w:rsid w:val="00D62D1F"/>
    <w:rsid w:val="00D643EB"/>
    <w:rsid w:val="00D64A74"/>
    <w:rsid w:val="00D6511B"/>
    <w:rsid w:val="00D664C6"/>
    <w:rsid w:val="00D66C2E"/>
    <w:rsid w:val="00D707C3"/>
    <w:rsid w:val="00D70CE3"/>
    <w:rsid w:val="00D73A7D"/>
    <w:rsid w:val="00D76FB4"/>
    <w:rsid w:val="00D7754E"/>
    <w:rsid w:val="00D77EF5"/>
    <w:rsid w:val="00D804B5"/>
    <w:rsid w:val="00D825EA"/>
    <w:rsid w:val="00D84ADC"/>
    <w:rsid w:val="00D875D8"/>
    <w:rsid w:val="00D9121C"/>
    <w:rsid w:val="00D9250E"/>
    <w:rsid w:val="00D929EF"/>
    <w:rsid w:val="00D97BD5"/>
    <w:rsid w:val="00D97C12"/>
    <w:rsid w:val="00D97DB0"/>
    <w:rsid w:val="00DA1B8E"/>
    <w:rsid w:val="00DA2E87"/>
    <w:rsid w:val="00DA3522"/>
    <w:rsid w:val="00DA4162"/>
    <w:rsid w:val="00DA5AAE"/>
    <w:rsid w:val="00DA6DDD"/>
    <w:rsid w:val="00DA7663"/>
    <w:rsid w:val="00DB0384"/>
    <w:rsid w:val="00DC20AF"/>
    <w:rsid w:val="00DC3D0F"/>
    <w:rsid w:val="00DC4E83"/>
    <w:rsid w:val="00DC5358"/>
    <w:rsid w:val="00DC64B0"/>
    <w:rsid w:val="00DC750D"/>
    <w:rsid w:val="00DD0034"/>
    <w:rsid w:val="00DD30E7"/>
    <w:rsid w:val="00DD3491"/>
    <w:rsid w:val="00DD5669"/>
    <w:rsid w:val="00DD74BC"/>
    <w:rsid w:val="00DD7A7D"/>
    <w:rsid w:val="00DD7B4D"/>
    <w:rsid w:val="00DE028C"/>
    <w:rsid w:val="00DE04B7"/>
    <w:rsid w:val="00DE052A"/>
    <w:rsid w:val="00DE2580"/>
    <w:rsid w:val="00DE3C39"/>
    <w:rsid w:val="00DE3E13"/>
    <w:rsid w:val="00DE531F"/>
    <w:rsid w:val="00DE6194"/>
    <w:rsid w:val="00DE65E1"/>
    <w:rsid w:val="00DF0199"/>
    <w:rsid w:val="00DF1382"/>
    <w:rsid w:val="00DF15BE"/>
    <w:rsid w:val="00DF5D20"/>
    <w:rsid w:val="00DF6A62"/>
    <w:rsid w:val="00DF6D31"/>
    <w:rsid w:val="00E001D8"/>
    <w:rsid w:val="00E037C5"/>
    <w:rsid w:val="00E03B3A"/>
    <w:rsid w:val="00E05091"/>
    <w:rsid w:val="00E05E9D"/>
    <w:rsid w:val="00E1593B"/>
    <w:rsid w:val="00E167F4"/>
    <w:rsid w:val="00E16D51"/>
    <w:rsid w:val="00E177D9"/>
    <w:rsid w:val="00E20062"/>
    <w:rsid w:val="00E23C33"/>
    <w:rsid w:val="00E24DEC"/>
    <w:rsid w:val="00E30346"/>
    <w:rsid w:val="00E31BF8"/>
    <w:rsid w:val="00E32DD0"/>
    <w:rsid w:val="00E35EA0"/>
    <w:rsid w:val="00E36A45"/>
    <w:rsid w:val="00E374E7"/>
    <w:rsid w:val="00E37B7F"/>
    <w:rsid w:val="00E44CA2"/>
    <w:rsid w:val="00E44EC1"/>
    <w:rsid w:val="00E514DB"/>
    <w:rsid w:val="00E51A06"/>
    <w:rsid w:val="00E51FAB"/>
    <w:rsid w:val="00E524C7"/>
    <w:rsid w:val="00E54E62"/>
    <w:rsid w:val="00E553F6"/>
    <w:rsid w:val="00E56FB9"/>
    <w:rsid w:val="00E570E8"/>
    <w:rsid w:val="00E578B3"/>
    <w:rsid w:val="00E57D86"/>
    <w:rsid w:val="00E603ED"/>
    <w:rsid w:val="00E623CF"/>
    <w:rsid w:val="00E649B9"/>
    <w:rsid w:val="00E70012"/>
    <w:rsid w:val="00E7067E"/>
    <w:rsid w:val="00E728F3"/>
    <w:rsid w:val="00E81AA2"/>
    <w:rsid w:val="00E81CA3"/>
    <w:rsid w:val="00E82BD5"/>
    <w:rsid w:val="00E86206"/>
    <w:rsid w:val="00E86592"/>
    <w:rsid w:val="00E87701"/>
    <w:rsid w:val="00E96ED9"/>
    <w:rsid w:val="00E97642"/>
    <w:rsid w:val="00EA4CD1"/>
    <w:rsid w:val="00EA6547"/>
    <w:rsid w:val="00EB1281"/>
    <w:rsid w:val="00EB192D"/>
    <w:rsid w:val="00EB3712"/>
    <w:rsid w:val="00EB38C4"/>
    <w:rsid w:val="00EB55C1"/>
    <w:rsid w:val="00EC0249"/>
    <w:rsid w:val="00EC3BCD"/>
    <w:rsid w:val="00EC64E3"/>
    <w:rsid w:val="00ED499B"/>
    <w:rsid w:val="00ED72E3"/>
    <w:rsid w:val="00EE235A"/>
    <w:rsid w:val="00EE3FD6"/>
    <w:rsid w:val="00EE633A"/>
    <w:rsid w:val="00EF1F3E"/>
    <w:rsid w:val="00EF2E58"/>
    <w:rsid w:val="00EF57B2"/>
    <w:rsid w:val="00EF710E"/>
    <w:rsid w:val="00EF72EE"/>
    <w:rsid w:val="00F022F8"/>
    <w:rsid w:val="00F0240A"/>
    <w:rsid w:val="00F04753"/>
    <w:rsid w:val="00F04B55"/>
    <w:rsid w:val="00F0576B"/>
    <w:rsid w:val="00F066B1"/>
    <w:rsid w:val="00F10C9F"/>
    <w:rsid w:val="00F10F20"/>
    <w:rsid w:val="00F12E23"/>
    <w:rsid w:val="00F20F74"/>
    <w:rsid w:val="00F26C6B"/>
    <w:rsid w:val="00F26F3E"/>
    <w:rsid w:val="00F27532"/>
    <w:rsid w:val="00F311BA"/>
    <w:rsid w:val="00F312E2"/>
    <w:rsid w:val="00F32A5B"/>
    <w:rsid w:val="00F331AD"/>
    <w:rsid w:val="00F341B8"/>
    <w:rsid w:val="00F3422D"/>
    <w:rsid w:val="00F35874"/>
    <w:rsid w:val="00F364D9"/>
    <w:rsid w:val="00F37DC7"/>
    <w:rsid w:val="00F40C96"/>
    <w:rsid w:val="00F42C9F"/>
    <w:rsid w:val="00F506F9"/>
    <w:rsid w:val="00F51C1B"/>
    <w:rsid w:val="00F55324"/>
    <w:rsid w:val="00F554FA"/>
    <w:rsid w:val="00F55915"/>
    <w:rsid w:val="00F57A8A"/>
    <w:rsid w:val="00F60507"/>
    <w:rsid w:val="00F607D5"/>
    <w:rsid w:val="00F61E9E"/>
    <w:rsid w:val="00F64097"/>
    <w:rsid w:val="00F643A6"/>
    <w:rsid w:val="00F65F08"/>
    <w:rsid w:val="00F6687E"/>
    <w:rsid w:val="00F70545"/>
    <w:rsid w:val="00F70D4E"/>
    <w:rsid w:val="00F71823"/>
    <w:rsid w:val="00F72E4F"/>
    <w:rsid w:val="00F76636"/>
    <w:rsid w:val="00F7788E"/>
    <w:rsid w:val="00F80DB6"/>
    <w:rsid w:val="00F82AEC"/>
    <w:rsid w:val="00F85549"/>
    <w:rsid w:val="00F85883"/>
    <w:rsid w:val="00F919D3"/>
    <w:rsid w:val="00F92FA4"/>
    <w:rsid w:val="00F956B2"/>
    <w:rsid w:val="00F967FB"/>
    <w:rsid w:val="00FA04ED"/>
    <w:rsid w:val="00FA35B7"/>
    <w:rsid w:val="00FA4480"/>
    <w:rsid w:val="00FA518E"/>
    <w:rsid w:val="00FA77B6"/>
    <w:rsid w:val="00FA7FC9"/>
    <w:rsid w:val="00FB1D5D"/>
    <w:rsid w:val="00FB4611"/>
    <w:rsid w:val="00FB5D12"/>
    <w:rsid w:val="00FB6889"/>
    <w:rsid w:val="00FB7390"/>
    <w:rsid w:val="00FC2140"/>
    <w:rsid w:val="00FC250F"/>
    <w:rsid w:val="00FC2645"/>
    <w:rsid w:val="00FC327D"/>
    <w:rsid w:val="00FC61A2"/>
    <w:rsid w:val="00FD0A0C"/>
    <w:rsid w:val="00FD1C68"/>
    <w:rsid w:val="00FD47E7"/>
    <w:rsid w:val="00FD7A9A"/>
    <w:rsid w:val="00FE1108"/>
    <w:rsid w:val="00FE3689"/>
    <w:rsid w:val="00FE3AB0"/>
    <w:rsid w:val="00FE3F20"/>
    <w:rsid w:val="00FF1BE5"/>
    <w:rsid w:val="00FF299A"/>
    <w:rsid w:val="00FF33A8"/>
    <w:rsid w:val="00FF360A"/>
    <w:rsid w:val="00FF420E"/>
    <w:rsid w:val="00FF4267"/>
    <w:rsid w:val="00FF4D76"/>
    <w:rsid w:val="00FF601B"/>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8759"/>
  <w15:docId w15:val="{558903DD-C7B2-4C68-B98D-8582BF7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96"/>
  </w:style>
  <w:style w:type="paragraph" w:styleId="1">
    <w:name w:val="heading 1"/>
    <w:basedOn w:val="a"/>
    <w:link w:val="10"/>
    <w:qFormat/>
    <w:rsid w:val="0086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266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862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862662"/>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Знак Знак Знак Знак Знак"/>
    <w:basedOn w:val="a"/>
    <w:link w:val="a4"/>
    <w:uiPriority w:val="99"/>
    <w:unhideWhenUsed/>
    <w:qFormat/>
    <w:rsid w:val="00BD36B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Знак Знак,Знак Знак Знак Знак1,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Знак2 Знак"/>
    <w:basedOn w:val="a0"/>
    <w:link w:val="a3"/>
    <w:uiPriority w:val="99"/>
    <w:rsid w:val="00BD36B3"/>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uiPriority w:val="99"/>
    <w:unhideWhenUsed/>
    <w:qFormat/>
    <w:rsid w:val="00BD36B3"/>
    <w:rPr>
      <w:vertAlign w:val="superscript"/>
    </w:rPr>
  </w:style>
  <w:style w:type="paragraph" w:styleId="a6">
    <w:name w:val="header"/>
    <w:basedOn w:val="a"/>
    <w:link w:val="a7"/>
    <w:uiPriority w:val="99"/>
    <w:unhideWhenUsed/>
    <w:rsid w:val="000B2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3E7"/>
  </w:style>
  <w:style w:type="paragraph" w:styleId="a8">
    <w:name w:val="footer"/>
    <w:basedOn w:val="a"/>
    <w:link w:val="a9"/>
    <w:uiPriority w:val="99"/>
    <w:unhideWhenUsed/>
    <w:rsid w:val="000B2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3E7"/>
  </w:style>
  <w:style w:type="character" w:customStyle="1" w:styleId="10">
    <w:name w:val="Заголовок 1 Знак"/>
    <w:basedOn w:val="a0"/>
    <w:link w:val="1"/>
    <w:rsid w:val="00862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2662"/>
    <w:rPr>
      <w:rFonts w:ascii="Cambria" w:eastAsia="Times New Roman" w:hAnsi="Cambria" w:cs="Times New Roman"/>
      <w:b/>
      <w:bCs/>
      <w:color w:val="4F81BD"/>
      <w:sz w:val="26"/>
      <w:szCs w:val="26"/>
    </w:rPr>
  </w:style>
  <w:style w:type="character" w:customStyle="1" w:styleId="30">
    <w:name w:val="Заголовок 3 Знак"/>
    <w:basedOn w:val="a0"/>
    <w:link w:val="3"/>
    <w:rsid w:val="0086266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86266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62662"/>
  </w:style>
  <w:style w:type="paragraph" w:styleId="aa">
    <w:name w:val="List Paragraph"/>
    <w:basedOn w:val="a"/>
    <w:uiPriority w:val="99"/>
    <w:qFormat/>
    <w:rsid w:val="00862662"/>
    <w:pPr>
      <w:spacing w:after="0" w:line="240" w:lineRule="auto"/>
      <w:ind w:left="720"/>
      <w:contextualSpacing/>
    </w:pPr>
    <w:rPr>
      <w:rFonts w:ascii="Times New Roman" w:eastAsia="Calibri" w:hAnsi="Times New Roman" w:cs="Times New Roman"/>
      <w:sz w:val="20"/>
    </w:rPr>
  </w:style>
  <w:style w:type="paragraph" w:customStyle="1" w:styleId="rvps698610">
    <w:name w:val="rvps698610"/>
    <w:basedOn w:val="a"/>
    <w:rsid w:val="00862662"/>
    <w:pPr>
      <w:spacing w:after="150" w:line="240" w:lineRule="auto"/>
      <w:ind w:right="300"/>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2662"/>
    <w:pPr>
      <w:spacing w:after="0" w:line="240" w:lineRule="auto"/>
      <w:ind w:firstLine="720"/>
    </w:pPr>
    <w:rPr>
      <w:rFonts w:ascii="Arial" w:eastAsia="Times New Roman" w:hAnsi="Arial" w:cs="Times New Roman"/>
      <w:snapToGrid w:val="0"/>
      <w:sz w:val="20"/>
      <w:szCs w:val="20"/>
      <w:lang w:eastAsia="ru-RU"/>
    </w:rPr>
  </w:style>
  <w:style w:type="paragraph" w:styleId="ab">
    <w:name w:val="Plain Text"/>
    <w:basedOn w:val="a"/>
    <w:link w:val="ac"/>
    <w:rsid w:val="0086266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62662"/>
    <w:rPr>
      <w:rFonts w:ascii="Courier New" w:eastAsia="Times New Roman" w:hAnsi="Courier New" w:cs="Courier New"/>
      <w:sz w:val="20"/>
      <w:szCs w:val="20"/>
      <w:lang w:eastAsia="ru-RU"/>
    </w:rPr>
  </w:style>
  <w:style w:type="paragraph" w:styleId="ad">
    <w:name w:val="Normal Indent"/>
    <w:basedOn w:val="a"/>
    <w:rsid w:val="00862662"/>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Balloon Text"/>
    <w:basedOn w:val="a"/>
    <w:link w:val="af"/>
    <w:uiPriority w:val="99"/>
    <w:unhideWhenUsed/>
    <w:rsid w:val="00862662"/>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rsid w:val="00862662"/>
    <w:rPr>
      <w:rFonts w:ascii="Tahoma" w:eastAsia="Calibri" w:hAnsi="Tahoma" w:cs="Tahoma"/>
      <w:sz w:val="16"/>
      <w:szCs w:val="16"/>
    </w:rPr>
  </w:style>
  <w:style w:type="paragraph" w:styleId="af0">
    <w:name w:val="Body Text Indent"/>
    <w:aliases w:val="Надин стиль,Основной текст 1,Нумерованный список !!,Iniiaiie oaeno 1,Ioia?iaaiiue nienie !!,Iaaei noeeu"/>
    <w:basedOn w:val="a"/>
    <w:link w:val="af1"/>
    <w:rsid w:val="0086266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0"/>
    <w:rsid w:val="00862662"/>
    <w:rPr>
      <w:rFonts w:ascii="Times New Roman" w:eastAsia="Times New Roman" w:hAnsi="Times New Roman" w:cs="Times New Roman"/>
      <w:sz w:val="24"/>
      <w:szCs w:val="24"/>
      <w:lang w:eastAsia="ru-RU"/>
    </w:rPr>
  </w:style>
  <w:style w:type="table" w:styleId="af2">
    <w:name w:val="Table Grid"/>
    <w:basedOn w:val="a1"/>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РАЗДЕЛ*"/>
    <w:next w:val="a"/>
    <w:link w:val="af4"/>
    <w:qFormat/>
    <w:rsid w:val="00862662"/>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4">
    <w:name w:val="*РАЗДЕЛ* Знак"/>
    <w:link w:val="af3"/>
    <w:locked/>
    <w:rsid w:val="00862662"/>
    <w:rPr>
      <w:rFonts w:ascii="Times New Roman" w:eastAsia="Calibri" w:hAnsi="Times New Roman" w:cs="Times New Roman"/>
      <w:b/>
      <w:sz w:val="28"/>
    </w:rPr>
  </w:style>
  <w:style w:type="paragraph" w:customStyle="1" w:styleId="af5">
    <w:name w:val="*ЧАСТЬ*"/>
    <w:next w:val="a"/>
    <w:qFormat/>
    <w:rsid w:val="00862662"/>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862662"/>
    <w:rPr>
      <w:i/>
    </w:rPr>
  </w:style>
  <w:style w:type="paragraph" w:customStyle="1" w:styleId="af7">
    <w:name w:val="*ТЕКСТ С ИНТЕРВ. ПЕРЕД*"/>
    <w:basedOn w:val="af8"/>
    <w:next w:val="af8"/>
    <w:link w:val="af9"/>
    <w:uiPriority w:val="99"/>
    <w:qFormat/>
    <w:rsid w:val="00862662"/>
    <w:pPr>
      <w:spacing w:before="120"/>
    </w:pPr>
  </w:style>
  <w:style w:type="paragraph" w:customStyle="1" w:styleId="af8">
    <w:name w:val="*ТЕКСТ*"/>
    <w:link w:val="afa"/>
    <w:qFormat/>
    <w:rsid w:val="0086266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rsid w:val="00862662"/>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862662"/>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862662"/>
    <w:pPr>
      <w:spacing w:after="120"/>
    </w:pPr>
  </w:style>
  <w:style w:type="character" w:customStyle="1" w:styleId="afc">
    <w:name w:val="*ТЕКСТ С ИНТЕРВ. ПОСЛЕ* Знак"/>
    <w:link w:val="afb"/>
    <w:uiPriority w:val="99"/>
    <w:rsid w:val="00862662"/>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862662"/>
    <w:pPr>
      <w:spacing w:before="120" w:after="120"/>
    </w:pPr>
  </w:style>
  <w:style w:type="character" w:customStyle="1" w:styleId="afe">
    <w:name w:val="*ТЕКСТ С ИНТЕРВ.* Знак"/>
    <w:basedOn w:val="afa"/>
    <w:link w:val="afd"/>
    <w:uiPriority w:val="99"/>
    <w:rsid w:val="00862662"/>
    <w:rPr>
      <w:rFonts w:ascii="Times New Roman" w:eastAsia="Times New Roman" w:hAnsi="Times New Roman" w:cs="Times New Roman"/>
      <w:sz w:val="28"/>
      <w:szCs w:val="28"/>
      <w:lang w:eastAsia="ru-RU"/>
    </w:rPr>
  </w:style>
  <w:style w:type="character" w:customStyle="1" w:styleId="FontStyle22">
    <w:name w:val="Font Style22"/>
    <w:rsid w:val="00862662"/>
    <w:rPr>
      <w:rFonts w:ascii="Times New Roman" w:hAnsi="Times New Roman" w:cs="Times New Roman"/>
      <w:sz w:val="24"/>
      <w:szCs w:val="24"/>
    </w:rPr>
  </w:style>
  <w:style w:type="paragraph" w:customStyle="1" w:styleId="Style3">
    <w:name w:val="Style3"/>
    <w:basedOn w:val="a"/>
    <w:rsid w:val="00862662"/>
    <w:pPr>
      <w:widowControl w:val="0"/>
      <w:autoSpaceDE w:val="0"/>
      <w:autoSpaceDN w:val="0"/>
      <w:adjustRightInd w:val="0"/>
      <w:spacing w:after="0" w:line="326" w:lineRule="exact"/>
      <w:ind w:firstLine="403"/>
      <w:jc w:val="both"/>
    </w:pPr>
    <w:rPr>
      <w:rFonts w:ascii="Times New Roman" w:eastAsia="Times New Roman" w:hAnsi="Times New Roman" w:cs="Times New Roman"/>
      <w:sz w:val="24"/>
      <w:szCs w:val="24"/>
      <w:lang w:eastAsia="ru-RU"/>
    </w:rPr>
  </w:style>
  <w:style w:type="paragraph" w:styleId="aff">
    <w:name w:val="No Spacing"/>
    <w:link w:val="aff0"/>
    <w:uiPriority w:val="1"/>
    <w:qFormat/>
    <w:rsid w:val="00862662"/>
    <w:pPr>
      <w:spacing w:after="0" w:line="240" w:lineRule="auto"/>
    </w:pPr>
    <w:rPr>
      <w:rFonts w:ascii="Calibri" w:eastAsia="Calibri" w:hAnsi="Calibri" w:cs="Times New Roman"/>
    </w:rPr>
  </w:style>
  <w:style w:type="character" w:customStyle="1" w:styleId="aff0">
    <w:name w:val="Без интервала Знак"/>
    <w:link w:val="aff"/>
    <w:uiPriority w:val="1"/>
    <w:rsid w:val="00862662"/>
    <w:rPr>
      <w:rFonts w:ascii="Calibri" w:eastAsia="Calibri" w:hAnsi="Calibri" w:cs="Times New Roman"/>
    </w:rPr>
  </w:style>
  <w:style w:type="paragraph" w:styleId="31">
    <w:name w:val="Body Text Indent 3"/>
    <w:basedOn w:val="a"/>
    <w:link w:val="32"/>
    <w:uiPriority w:val="99"/>
    <w:rsid w:val="008626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62662"/>
    <w:rPr>
      <w:rFonts w:ascii="Times New Roman" w:eastAsia="Times New Roman" w:hAnsi="Times New Roman" w:cs="Times New Roman"/>
      <w:sz w:val="16"/>
      <w:szCs w:val="16"/>
      <w:lang w:eastAsia="ru-RU"/>
    </w:rPr>
  </w:style>
  <w:style w:type="paragraph" w:styleId="aff1">
    <w:name w:val="Subtitle"/>
    <w:basedOn w:val="a"/>
    <w:link w:val="aff2"/>
    <w:qFormat/>
    <w:rsid w:val="00862662"/>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f2">
    <w:name w:val="Подзаголовок Знак"/>
    <w:basedOn w:val="a0"/>
    <w:link w:val="aff1"/>
    <w:rsid w:val="00862662"/>
    <w:rPr>
      <w:rFonts w:ascii="Times New Roman" w:eastAsia="Times New Roman" w:hAnsi="Times New Roman" w:cs="Times New Roman"/>
      <w:b/>
      <w:sz w:val="28"/>
      <w:szCs w:val="24"/>
      <w:lang w:eastAsia="ru-RU"/>
    </w:rPr>
  </w:style>
  <w:style w:type="character" w:styleId="aff3">
    <w:name w:val="page number"/>
    <w:basedOn w:val="a0"/>
    <w:rsid w:val="00862662"/>
  </w:style>
  <w:style w:type="paragraph" w:styleId="aff4">
    <w:name w:val="Title"/>
    <w:basedOn w:val="a"/>
    <w:link w:val="aff5"/>
    <w:qFormat/>
    <w:rsid w:val="00862662"/>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basedOn w:val="a0"/>
    <w:link w:val="aff4"/>
    <w:rsid w:val="00862662"/>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styleId="aff7">
    <w:name w:val="Body Text"/>
    <w:basedOn w:val="a"/>
    <w:link w:val="aff8"/>
    <w:rsid w:val="00862662"/>
    <w:pPr>
      <w:spacing w:after="120" w:line="240" w:lineRule="auto"/>
    </w:pPr>
    <w:rPr>
      <w:rFonts w:ascii="Times New Roman" w:eastAsia="Times New Roman" w:hAnsi="Times New Roman" w:cs="Times New Roman"/>
      <w:sz w:val="24"/>
      <w:szCs w:val="24"/>
      <w:lang w:eastAsia="ru-RU"/>
    </w:rPr>
  </w:style>
  <w:style w:type="character" w:customStyle="1" w:styleId="aff8">
    <w:name w:val="Основной текст Знак"/>
    <w:basedOn w:val="a0"/>
    <w:link w:val="aff7"/>
    <w:rsid w:val="00862662"/>
    <w:rPr>
      <w:rFonts w:ascii="Times New Roman" w:eastAsia="Times New Roman" w:hAnsi="Times New Roman" w:cs="Times New Roman"/>
      <w:sz w:val="24"/>
      <w:szCs w:val="24"/>
      <w:lang w:eastAsia="ru-RU"/>
    </w:rPr>
  </w:style>
  <w:style w:type="paragraph" w:customStyle="1" w:styleId="ConsPlusTitle">
    <w:name w:val="ConsPlusTitle"/>
    <w:rsid w:val="008626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862662"/>
    <w:pPr>
      <w:spacing w:line="240" w:lineRule="exact"/>
    </w:pPr>
    <w:rPr>
      <w:rFonts w:ascii="Verdana" w:eastAsia="Times New Roman" w:hAnsi="Verdana" w:cs="Times New Roman"/>
      <w:sz w:val="24"/>
      <w:szCs w:val="24"/>
      <w:lang w:val="en-US"/>
    </w:rPr>
  </w:style>
  <w:style w:type="paragraph" w:customStyle="1" w:styleId="12">
    <w:name w:val="Знак Знак Знак1 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customStyle="1" w:styleId="13">
    <w:name w:val="1"/>
    <w:rsid w:val="00862662"/>
    <w:pPr>
      <w:spacing w:after="0" w:line="240" w:lineRule="auto"/>
    </w:pPr>
    <w:rPr>
      <w:rFonts w:ascii="Times New Roman" w:eastAsia="Times New Roman" w:hAnsi="Times New Roman" w:cs="Times New Roman"/>
      <w:sz w:val="24"/>
      <w:szCs w:val="20"/>
      <w:lang w:eastAsia="ru-RU"/>
    </w:rPr>
  </w:style>
  <w:style w:type="paragraph" w:customStyle="1" w:styleId="14">
    <w:name w:val="Знак1"/>
    <w:basedOn w:val="a"/>
    <w:rsid w:val="00862662"/>
    <w:pPr>
      <w:spacing w:line="240" w:lineRule="exact"/>
    </w:pPr>
    <w:rPr>
      <w:rFonts w:ascii="Verdana" w:eastAsia="Times New Roman" w:hAnsi="Verdana" w:cs="Times New Roman"/>
      <w:sz w:val="20"/>
      <w:szCs w:val="20"/>
      <w:lang w:val="en-US"/>
    </w:rPr>
  </w:style>
  <w:style w:type="paragraph" w:styleId="affa">
    <w:name w:val="Normal (Web)"/>
    <w:basedOn w:val="a"/>
    <w:uiPriority w:val="99"/>
    <w:rsid w:val="00862662"/>
    <w:pPr>
      <w:spacing w:after="75" w:line="240" w:lineRule="auto"/>
    </w:pPr>
    <w:rPr>
      <w:rFonts w:ascii="Verdana" w:eastAsia="Times New Roman" w:hAnsi="Verdana" w:cs="Times New Roman"/>
      <w:color w:val="000000"/>
      <w:sz w:val="18"/>
      <w:szCs w:val="18"/>
      <w:lang w:eastAsia="ru-RU"/>
    </w:rPr>
  </w:style>
  <w:style w:type="paragraph" w:customStyle="1" w:styleId="ConsPlusNonformat">
    <w:name w:val="ConsPlusNonformat"/>
    <w:rsid w:val="00862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862662"/>
    <w:rPr>
      <w:rFonts w:ascii="Calibri" w:eastAsia="Calibri" w:hAnsi="Calibri" w:cs="Times New Roman"/>
      <w:sz w:val="20"/>
      <w:szCs w:val="20"/>
    </w:rPr>
  </w:style>
  <w:style w:type="paragraph" w:styleId="affc">
    <w:name w:val="endnote text"/>
    <w:basedOn w:val="a"/>
    <w:link w:val="affb"/>
    <w:unhideWhenUsed/>
    <w:rsid w:val="00862662"/>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rsid w:val="00862662"/>
    <w:rPr>
      <w:sz w:val="20"/>
      <w:szCs w:val="20"/>
    </w:rPr>
  </w:style>
  <w:style w:type="paragraph" w:customStyle="1" w:styleId="affd">
    <w:name w:val="ЗАГОЛОВОК"/>
    <w:next w:val="a"/>
    <w:rsid w:val="00862662"/>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862662"/>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862662"/>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862662"/>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862662"/>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862662"/>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8626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62662"/>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8626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Основной текст.Основной текст Знак"/>
    <w:basedOn w:val="a"/>
    <w:rsid w:val="00862662"/>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86266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862662"/>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862662"/>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862662"/>
    <w:pPr>
      <w:spacing w:before="100" w:after="120" w:line="240" w:lineRule="auto"/>
    </w:pPr>
    <w:rPr>
      <w:rFonts w:ascii="Times New Roman" w:eastAsia="Times New Roman" w:hAnsi="Times New Roman" w:cs="Times New Roman"/>
      <w:color w:val="262626"/>
      <w:szCs w:val="20"/>
      <w:lang w:eastAsia="ru-RU"/>
    </w:rPr>
  </w:style>
  <w:style w:type="character" w:customStyle="1" w:styleId="FontStyle15">
    <w:name w:val="Font Style15"/>
    <w:rsid w:val="00862662"/>
    <w:rPr>
      <w:rFonts w:ascii="Times New Roman" w:hAnsi="Times New Roman" w:cs="Times New Roman" w:hint="default"/>
      <w:sz w:val="24"/>
      <w:szCs w:val="24"/>
    </w:rPr>
  </w:style>
  <w:style w:type="paragraph" w:customStyle="1" w:styleId="ConsPlusCell">
    <w:name w:val="ConsPlusCell"/>
    <w:rsid w:val="00862662"/>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uiPriority w:val="99"/>
    <w:rsid w:val="00862662"/>
    <w:rPr>
      <w:rFonts w:ascii="Times New Roman" w:eastAsia="Times New Roman" w:hAnsi="Times New Roman" w:cs="Times New Roman"/>
      <w:sz w:val="20"/>
      <w:szCs w:val="20"/>
      <w:lang w:eastAsia="ru-RU"/>
    </w:rPr>
  </w:style>
  <w:style w:type="paragraph" w:styleId="afff6">
    <w:name w:val="annotation text"/>
    <w:basedOn w:val="a"/>
    <w:link w:val="afff5"/>
    <w:uiPriority w:val="99"/>
    <w:unhideWhenUsed/>
    <w:rsid w:val="00862662"/>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rsid w:val="00862662"/>
    <w:rPr>
      <w:sz w:val="20"/>
      <w:szCs w:val="20"/>
    </w:rPr>
  </w:style>
  <w:style w:type="character" w:customStyle="1" w:styleId="afff7">
    <w:name w:val="Тема примечания Знак"/>
    <w:link w:val="afff8"/>
    <w:rsid w:val="00862662"/>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862662"/>
    <w:rPr>
      <w:b/>
      <w:bCs/>
    </w:rPr>
  </w:style>
  <w:style w:type="character" w:customStyle="1" w:styleId="17">
    <w:name w:val="Тема примечания Знак1"/>
    <w:basedOn w:val="16"/>
    <w:rsid w:val="00862662"/>
    <w:rPr>
      <w:b/>
      <w:bCs/>
      <w:sz w:val="20"/>
      <w:szCs w:val="20"/>
    </w:rPr>
  </w:style>
  <w:style w:type="paragraph" w:customStyle="1" w:styleId="afff9">
    <w:name w:val="Документ"/>
    <w:basedOn w:val="a"/>
    <w:link w:val="afffa"/>
    <w:rsid w:val="0086266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a">
    <w:name w:val="Документ Знак"/>
    <w:link w:val="afff9"/>
    <w:rsid w:val="00862662"/>
    <w:rPr>
      <w:rFonts w:ascii="Times New Roman" w:eastAsia="Times New Roman" w:hAnsi="Times New Roman" w:cs="Times New Roman"/>
      <w:sz w:val="28"/>
      <w:szCs w:val="20"/>
      <w:lang w:eastAsia="ru-RU"/>
    </w:rPr>
  </w:style>
  <w:style w:type="character" w:customStyle="1" w:styleId="9585">
    <w:name w:val="Стиль 95 пт Серый 85%"/>
    <w:rsid w:val="00862662"/>
    <w:rPr>
      <w:color w:val="262626"/>
      <w:sz w:val="22"/>
    </w:rPr>
  </w:style>
  <w:style w:type="paragraph" w:customStyle="1" w:styleId="afffb">
    <w:name w:val="*АБЗАЦ.БЕЗ ОТСТУПОВ"/>
    <w:link w:val="afffc"/>
    <w:qFormat/>
    <w:rsid w:val="00862662"/>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862662"/>
    <w:rPr>
      <w:rFonts w:ascii="Times New Roman" w:eastAsia="Calibri" w:hAnsi="Times New Roman" w:cs="Times New Roman"/>
      <w:sz w:val="28"/>
      <w:lang w:eastAsia="ru-RU"/>
    </w:rPr>
  </w:style>
  <w:style w:type="character" w:customStyle="1" w:styleId="18">
    <w:name w:val="Без интервала Знак1"/>
    <w:locked/>
    <w:rsid w:val="00862662"/>
    <w:rPr>
      <w:rFonts w:cs="Times New Roman"/>
      <w:sz w:val="22"/>
      <w:szCs w:val="22"/>
      <w:lang w:val="ru-RU" w:eastAsia="en-US" w:bidi="ar-SA"/>
    </w:rPr>
  </w:style>
  <w:style w:type="paragraph" w:customStyle="1" w:styleId="19">
    <w:name w:val="Без интервала1"/>
    <w:rsid w:val="00862662"/>
    <w:pPr>
      <w:spacing w:after="0" w:line="240" w:lineRule="auto"/>
    </w:pPr>
    <w:rPr>
      <w:rFonts w:ascii="Calibri" w:eastAsia="Times New Roman" w:hAnsi="Calibri" w:cs="Times New Roman"/>
    </w:rPr>
  </w:style>
  <w:style w:type="character" w:customStyle="1" w:styleId="afffd">
    <w:name w:val="Шапка Знак"/>
    <w:link w:val="afffe"/>
    <w:rsid w:val="00862662"/>
    <w:rPr>
      <w:rFonts w:ascii="Arial" w:eastAsia="Times New Roman" w:hAnsi="Arial" w:cs="Times New Roman"/>
      <w:i/>
      <w:szCs w:val="20"/>
      <w:lang w:eastAsia="ru-RU"/>
    </w:rPr>
  </w:style>
  <w:style w:type="paragraph" w:styleId="afffe">
    <w:name w:val="Message Header"/>
    <w:basedOn w:val="a"/>
    <w:link w:val="afffd"/>
    <w:rsid w:val="00862662"/>
    <w:pPr>
      <w:spacing w:before="40" w:after="40" w:line="204" w:lineRule="auto"/>
      <w:jc w:val="center"/>
    </w:pPr>
    <w:rPr>
      <w:rFonts w:ascii="Arial" w:eastAsia="Times New Roman" w:hAnsi="Arial" w:cs="Times New Roman"/>
      <w:i/>
      <w:szCs w:val="20"/>
      <w:lang w:eastAsia="ru-RU"/>
    </w:rPr>
  </w:style>
  <w:style w:type="character" w:customStyle="1" w:styleId="1a">
    <w:name w:val="Шапка Знак1"/>
    <w:basedOn w:val="a0"/>
    <w:rsid w:val="00862662"/>
    <w:rPr>
      <w:rFonts w:asciiTheme="majorHAnsi" w:eastAsiaTheme="majorEastAsia" w:hAnsiTheme="majorHAnsi" w:cstheme="majorBidi"/>
      <w:sz w:val="24"/>
      <w:szCs w:val="24"/>
      <w:shd w:val="pct20" w:color="auto" w:fill="auto"/>
    </w:rPr>
  </w:style>
  <w:style w:type="character" w:styleId="affff">
    <w:name w:val="Strong"/>
    <w:qFormat/>
    <w:rsid w:val="00862662"/>
    <w:rPr>
      <w:b/>
      <w:bCs/>
    </w:rPr>
  </w:style>
  <w:style w:type="paragraph" w:customStyle="1" w:styleId="NormalANX">
    <w:name w:val="NormalANX"/>
    <w:basedOn w:val="a"/>
    <w:rsid w:val="00862662"/>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MessageHeaderChar">
    <w:name w:val="Message Header Char"/>
    <w:locked/>
    <w:rsid w:val="00862662"/>
    <w:rPr>
      <w:rFonts w:ascii="Arial" w:hAnsi="Arial"/>
      <w:i/>
      <w:sz w:val="20"/>
      <w:lang w:eastAsia="ru-RU"/>
    </w:rPr>
  </w:style>
  <w:style w:type="paragraph" w:customStyle="1" w:styleId="Default">
    <w:name w:val="Default"/>
    <w:rsid w:val="008626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semiHidden/>
    <w:rsid w:val="00862662"/>
    <w:rPr>
      <w:rFonts w:ascii="Tahoma" w:eastAsia="Calibri" w:hAnsi="Tahoma" w:cs="Tahoma"/>
      <w:sz w:val="16"/>
      <w:szCs w:val="16"/>
    </w:rPr>
  </w:style>
  <w:style w:type="paragraph" w:styleId="affff1">
    <w:name w:val="Document Map"/>
    <w:basedOn w:val="a"/>
    <w:link w:val="affff0"/>
    <w:semiHidden/>
    <w:unhideWhenUsed/>
    <w:rsid w:val="00862662"/>
    <w:pPr>
      <w:spacing w:after="0" w:line="240" w:lineRule="auto"/>
    </w:pPr>
    <w:rPr>
      <w:rFonts w:ascii="Tahoma" w:eastAsia="Calibri" w:hAnsi="Tahoma" w:cs="Tahoma"/>
      <w:sz w:val="16"/>
      <w:szCs w:val="16"/>
    </w:rPr>
  </w:style>
  <w:style w:type="character" w:customStyle="1" w:styleId="1b">
    <w:name w:val="Схема документа Знак1"/>
    <w:basedOn w:val="a0"/>
    <w:rsid w:val="00862662"/>
    <w:rPr>
      <w:rFonts w:ascii="Segoe UI" w:hAnsi="Segoe UI" w:cs="Segoe UI"/>
      <w:sz w:val="16"/>
      <w:szCs w:val="16"/>
    </w:rPr>
  </w:style>
  <w:style w:type="character" w:customStyle="1" w:styleId="WW8Num1z0">
    <w:name w:val="WW8Num1z0"/>
    <w:rsid w:val="00862662"/>
    <w:rPr>
      <w:rFonts w:ascii="Symbol" w:hAnsi="Symbol" w:cs="Symbol"/>
    </w:rPr>
  </w:style>
  <w:style w:type="character" w:customStyle="1" w:styleId="WW8Num1z1">
    <w:name w:val="WW8Num1z1"/>
    <w:rsid w:val="00862662"/>
    <w:rPr>
      <w:rFonts w:ascii="Courier New" w:hAnsi="Courier New" w:cs="Courier New"/>
    </w:rPr>
  </w:style>
  <w:style w:type="character" w:customStyle="1" w:styleId="WW8Num1z2">
    <w:name w:val="WW8Num1z2"/>
    <w:rsid w:val="00862662"/>
    <w:rPr>
      <w:rFonts w:ascii="Wingdings" w:hAnsi="Wingdings" w:cs="Wingdings"/>
    </w:rPr>
  </w:style>
  <w:style w:type="character" w:customStyle="1" w:styleId="WW8Num2z0">
    <w:name w:val="WW8Num2z0"/>
    <w:rsid w:val="00862662"/>
    <w:rPr>
      <w:rFonts w:ascii="Symbol" w:hAnsi="Symbol" w:cs="Symbol"/>
    </w:rPr>
  </w:style>
  <w:style w:type="character" w:customStyle="1" w:styleId="WW8Num2z1">
    <w:name w:val="WW8Num2z1"/>
    <w:rsid w:val="00862662"/>
    <w:rPr>
      <w:rFonts w:ascii="Courier New" w:hAnsi="Courier New" w:cs="Courier New"/>
    </w:rPr>
  </w:style>
  <w:style w:type="character" w:customStyle="1" w:styleId="WW8Num2z2">
    <w:name w:val="WW8Num2z2"/>
    <w:rsid w:val="00862662"/>
    <w:rPr>
      <w:rFonts w:ascii="Wingdings" w:hAnsi="Wingdings" w:cs="Wingdings"/>
    </w:rPr>
  </w:style>
  <w:style w:type="character" w:customStyle="1" w:styleId="WW8Num3z0">
    <w:name w:val="WW8Num3z0"/>
    <w:rsid w:val="00862662"/>
    <w:rPr>
      <w:rFonts w:ascii="Times New Roman" w:eastAsia="Times New Roman" w:hAnsi="Times New Roman" w:cs="Times New Roman"/>
    </w:rPr>
  </w:style>
  <w:style w:type="character" w:customStyle="1" w:styleId="WW8Num3z1">
    <w:name w:val="WW8Num3z1"/>
    <w:rsid w:val="00862662"/>
    <w:rPr>
      <w:rFonts w:ascii="Courier New" w:hAnsi="Courier New" w:cs="Courier New"/>
    </w:rPr>
  </w:style>
  <w:style w:type="character" w:customStyle="1" w:styleId="WW8Num3z2">
    <w:name w:val="WW8Num3z2"/>
    <w:rsid w:val="00862662"/>
    <w:rPr>
      <w:rFonts w:ascii="Wingdings" w:hAnsi="Wingdings" w:cs="Wingdings"/>
    </w:rPr>
  </w:style>
  <w:style w:type="character" w:customStyle="1" w:styleId="WW8Num3z3">
    <w:name w:val="WW8Num3z3"/>
    <w:rsid w:val="00862662"/>
    <w:rPr>
      <w:rFonts w:ascii="Symbol" w:hAnsi="Symbol" w:cs="Symbol"/>
    </w:rPr>
  </w:style>
  <w:style w:type="character" w:customStyle="1" w:styleId="WW8Num4z0">
    <w:name w:val="WW8Num4z0"/>
    <w:rsid w:val="00862662"/>
    <w:rPr>
      <w:rFonts w:ascii="Symbol" w:hAnsi="Symbol" w:cs="Symbol"/>
    </w:rPr>
  </w:style>
  <w:style w:type="character" w:customStyle="1" w:styleId="WW8Num5z0">
    <w:name w:val="WW8Num5z0"/>
    <w:rsid w:val="00862662"/>
    <w:rPr>
      <w:rFonts w:ascii="Symbol" w:hAnsi="Symbol" w:cs="Symbol"/>
    </w:rPr>
  </w:style>
  <w:style w:type="character" w:customStyle="1" w:styleId="WW8Num5z1">
    <w:name w:val="WW8Num5z1"/>
    <w:rsid w:val="00862662"/>
    <w:rPr>
      <w:rFonts w:ascii="Courier New" w:hAnsi="Courier New" w:cs="Courier New"/>
    </w:rPr>
  </w:style>
  <w:style w:type="character" w:customStyle="1" w:styleId="WW8Num5z2">
    <w:name w:val="WW8Num5z2"/>
    <w:rsid w:val="00862662"/>
    <w:rPr>
      <w:rFonts w:ascii="Wingdings" w:hAnsi="Wingdings" w:cs="Wingdings"/>
    </w:rPr>
  </w:style>
  <w:style w:type="character" w:customStyle="1" w:styleId="WW8Num6z0">
    <w:name w:val="WW8Num6z0"/>
    <w:rsid w:val="00862662"/>
    <w:rPr>
      <w:rFonts w:ascii="Symbol" w:hAnsi="Symbol" w:cs="Symbol"/>
    </w:rPr>
  </w:style>
  <w:style w:type="character" w:customStyle="1" w:styleId="WW8Num6z1">
    <w:name w:val="WW8Num6z1"/>
    <w:rsid w:val="00862662"/>
    <w:rPr>
      <w:rFonts w:ascii="Courier New" w:hAnsi="Courier New" w:cs="Courier New"/>
    </w:rPr>
  </w:style>
  <w:style w:type="character" w:customStyle="1" w:styleId="WW8Num6z2">
    <w:name w:val="WW8Num6z2"/>
    <w:rsid w:val="00862662"/>
    <w:rPr>
      <w:rFonts w:ascii="Wingdings" w:hAnsi="Wingdings" w:cs="Wingdings"/>
    </w:rPr>
  </w:style>
  <w:style w:type="character" w:customStyle="1" w:styleId="1c">
    <w:name w:val="Основной шрифт абзаца1"/>
    <w:rsid w:val="00862662"/>
  </w:style>
  <w:style w:type="paragraph" w:customStyle="1" w:styleId="affff2">
    <w:name w:val="Заголовок"/>
    <w:basedOn w:val="a"/>
    <w:next w:val="aff7"/>
    <w:rsid w:val="00862662"/>
    <w:pPr>
      <w:keepNext/>
      <w:suppressAutoHyphens/>
      <w:spacing w:before="240" w:after="120" w:line="240" w:lineRule="auto"/>
    </w:pPr>
    <w:rPr>
      <w:rFonts w:ascii="Arial" w:eastAsia="Microsoft YaHei" w:hAnsi="Arial" w:cs="Mangal"/>
      <w:sz w:val="28"/>
      <w:szCs w:val="28"/>
      <w:lang w:eastAsia="ar-SA"/>
    </w:rPr>
  </w:style>
  <w:style w:type="paragraph" w:styleId="affff3">
    <w:name w:val="List"/>
    <w:basedOn w:val="aff7"/>
    <w:rsid w:val="00862662"/>
    <w:pPr>
      <w:suppressAutoHyphens/>
    </w:pPr>
    <w:rPr>
      <w:rFonts w:cs="Mangal"/>
      <w:sz w:val="20"/>
      <w:szCs w:val="20"/>
      <w:lang w:eastAsia="ar-SA"/>
    </w:rPr>
  </w:style>
  <w:style w:type="paragraph" w:customStyle="1" w:styleId="1d">
    <w:name w:val="Название1"/>
    <w:basedOn w:val="a"/>
    <w:rsid w:val="0086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86266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4">
    <w:name w:val="Содержимое таблицы"/>
    <w:basedOn w:val="a"/>
    <w:rsid w:val="0086266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5">
    <w:name w:val="Заголовок таблицы"/>
    <w:basedOn w:val="affff4"/>
    <w:rsid w:val="00862662"/>
    <w:pPr>
      <w:jc w:val="center"/>
    </w:pPr>
    <w:rPr>
      <w:b/>
      <w:bCs/>
    </w:rPr>
  </w:style>
  <w:style w:type="character" w:customStyle="1" w:styleId="25">
    <w:name w:val="Основной текст 2 Знак"/>
    <w:basedOn w:val="a0"/>
    <w:link w:val="26"/>
    <w:semiHidden/>
    <w:rsid w:val="00862662"/>
    <w:rPr>
      <w:rFonts w:ascii="Times New Roman" w:eastAsia="Times New Roman" w:hAnsi="Times New Roman" w:cs="Times New Roman"/>
      <w:sz w:val="20"/>
      <w:szCs w:val="20"/>
      <w:lang w:eastAsia="ar-SA"/>
    </w:rPr>
  </w:style>
  <w:style w:type="paragraph" w:styleId="26">
    <w:name w:val="Body Text 2"/>
    <w:basedOn w:val="a"/>
    <w:link w:val="25"/>
    <w:semiHidden/>
    <w:unhideWhenUsed/>
    <w:rsid w:val="00862662"/>
    <w:pPr>
      <w:suppressAutoHyphens/>
      <w:spacing w:after="120" w:line="480" w:lineRule="auto"/>
    </w:pPr>
    <w:rPr>
      <w:rFonts w:ascii="Times New Roman" w:eastAsia="Times New Roman" w:hAnsi="Times New Roman" w:cs="Times New Roman"/>
      <w:sz w:val="20"/>
      <w:szCs w:val="20"/>
      <w:lang w:eastAsia="ar-SA"/>
    </w:rPr>
  </w:style>
  <w:style w:type="character" w:customStyle="1" w:styleId="210">
    <w:name w:val="Основной текст 2 Знак1"/>
    <w:basedOn w:val="a0"/>
    <w:rsid w:val="00862662"/>
  </w:style>
  <w:style w:type="paragraph" w:customStyle="1" w:styleId="Style1">
    <w:name w:val="Style1"/>
    <w:basedOn w:val="a"/>
    <w:rsid w:val="00862662"/>
    <w:pPr>
      <w:widowControl w:val="0"/>
      <w:autoSpaceDE w:val="0"/>
      <w:autoSpaceDN w:val="0"/>
      <w:adjustRightInd w:val="0"/>
      <w:spacing w:after="0" w:line="325" w:lineRule="exact"/>
      <w:ind w:firstLine="722"/>
      <w:jc w:val="both"/>
    </w:pPr>
    <w:rPr>
      <w:rFonts w:ascii="Times New Roman" w:eastAsia="Times New Roman" w:hAnsi="Times New Roman" w:cs="Times New Roman"/>
      <w:sz w:val="24"/>
      <w:szCs w:val="24"/>
      <w:lang w:eastAsia="ru-RU"/>
    </w:rPr>
  </w:style>
  <w:style w:type="character" w:customStyle="1" w:styleId="FontStyle13">
    <w:name w:val="Font Style13"/>
    <w:rsid w:val="00862662"/>
    <w:rPr>
      <w:rFonts w:ascii="Times New Roman" w:hAnsi="Times New Roman" w:cs="Times New Roman"/>
      <w:sz w:val="26"/>
      <w:szCs w:val="26"/>
    </w:rPr>
  </w:style>
  <w:style w:type="paragraph" w:customStyle="1" w:styleId="-">
    <w:name w:val="Наименование док-та"/>
    <w:basedOn w:val="a"/>
    <w:rsid w:val="00862662"/>
    <w:pPr>
      <w:spacing w:after="0" w:line="240" w:lineRule="auto"/>
    </w:pPr>
    <w:rPr>
      <w:rFonts w:ascii="Times New Roman" w:eastAsia="Times New Roman" w:hAnsi="Times New Roman" w:cs="Times New Roman"/>
      <w:sz w:val="28"/>
      <w:szCs w:val="20"/>
      <w:lang w:eastAsia="ru-RU"/>
    </w:rPr>
  </w:style>
  <w:style w:type="paragraph" w:customStyle="1" w:styleId="ConsPlusDocList">
    <w:name w:val="ConsPlusDocList"/>
    <w:rsid w:val="0086266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862662"/>
    <w:rPr>
      <w:vertAlign w:val="superscript"/>
    </w:rPr>
  </w:style>
  <w:style w:type="table" w:customStyle="1" w:styleId="1f">
    <w:name w:val="Сетка таблицы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862662"/>
    <w:pPr>
      <w:autoSpaceDE w:val="0"/>
      <w:autoSpaceDN w:val="0"/>
      <w:adjustRightInd w:val="0"/>
      <w:spacing w:after="0" w:line="240" w:lineRule="auto"/>
    </w:pPr>
    <w:rPr>
      <w:rFonts w:ascii="Tahoma" w:hAnsi="Tahoma" w:cs="Tahoma"/>
      <w:sz w:val="26"/>
      <w:szCs w:val="26"/>
    </w:rPr>
  </w:style>
  <w:style w:type="character" w:styleId="affff7">
    <w:name w:val="annotation reference"/>
    <w:basedOn w:val="a0"/>
    <w:uiPriority w:val="99"/>
    <w:semiHidden/>
    <w:unhideWhenUsed/>
    <w:rsid w:val="00862662"/>
    <w:rPr>
      <w:sz w:val="16"/>
      <w:szCs w:val="16"/>
    </w:rPr>
  </w:style>
  <w:style w:type="numbering" w:customStyle="1" w:styleId="110">
    <w:name w:val="Нет списка11"/>
    <w:next w:val="a2"/>
    <w:uiPriority w:val="99"/>
    <w:semiHidden/>
    <w:unhideWhenUsed/>
    <w:rsid w:val="00862662"/>
  </w:style>
  <w:style w:type="table" w:customStyle="1" w:styleId="27">
    <w:name w:val="Сетка таблицы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862662"/>
    <w:rPr>
      <w:color w:val="0000FF"/>
      <w:u w:val="single"/>
    </w:rPr>
  </w:style>
  <w:style w:type="paragraph" w:customStyle="1" w:styleId="paragraph">
    <w:name w:val="paragraph"/>
    <w:basedOn w:val="a"/>
    <w:rsid w:val="0086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2662"/>
  </w:style>
  <w:style w:type="character" w:customStyle="1" w:styleId="eop">
    <w:name w:val="eop"/>
    <w:rsid w:val="00862662"/>
  </w:style>
  <w:style w:type="table" w:customStyle="1" w:styleId="33">
    <w:name w:val="Сетка таблицы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862662"/>
    <w:rPr>
      <w:color w:val="808080"/>
    </w:rPr>
  </w:style>
  <w:style w:type="numbering" w:customStyle="1" w:styleId="28">
    <w:name w:val="Нет списка2"/>
    <w:next w:val="a2"/>
    <w:uiPriority w:val="99"/>
    <w:semiHidden/>
    <w:unhideWhenUsed/>
    <w:rsid w:val="00862662"/>
  </w:style>
  <w:style w:type="character" w:customStyle="1" w:styleId="WW8Num1z3">
    <w:name w:val="WW8Num1z3"/>
    <w:rsid w:val="00862662"/>
  </w:style>
  <w:style w:type="character" w:customStyle="1" w:styleId="WW8Num1z4">
    <w:name w:val="WW8Num1z4"/>
    <w:rsid w:val="00862662"/>
  </w:style>
  <w:style w:type="character" w:customStyle="1" w:styleId="WW8Num1z5">
    <w:name w:val="WW8Num1z5"/>
    <w:rsid w:val="00862662"/>
  </w:style>
  <w:style w:type="character" w:customStyle="1" w:styleId="WW8Num1z6">
    <w:name w:val="WW8Num1z6"/>
    <w:rsid w:val="00862662"/>
  </w:style>
  <w:style w:type="character" w:customStyle="1" w:styleId="WW8Num1z7">
    <w:name w:val="WW8Num1z7"/>
    <w:rsid w:val="00862662"/>
  </w:style>
  <w:style w:type="character" w:customStyle="1" w:styleId="WW8Num1z8">
    <w:name w:val="WW8Num1z8"/>
    <w:rsid w:val="00862662"/>
  </w:style>
  <w:style w:type="character" w:customStyle="1" w:styleId="WW8Num4z1">
    <w:name w:val="WW8Num4z1"/>
    <w:rsid w:val="00862662"/>
  </w:style>
  <w:style w:type="character" w:customStyle="1" w:styleId="WW8Num4z2">
    <w:name w:val="WW8Num4z2"/>
    <w:rsid w:val="00862662"/>
  </w:style>
  <w:style w:type="character" w:customStyle="1" w:styleId="WW8Num4z3">
    <w:name w:val="WW8Num4z3"/>
    <w:rsid w:val="00862662"/>
  </w:style>
  <w:style w:type="character" w:customStyle="1" w:styleId="WW8Num4z4">
    <w:name w:val="WW8Num4z4"/>
    <w:rsid w:val="00862662"/>
  </w:style>
  <w:style w:type="character" w:customStyle="1" w:styleId="WW8Num4z5">
    <w:name w:val="WW8Num4z5"/>
    <w:rsid w:val="00862662"/>
  </w:style>
  <w:style w:type="character" w:customStyle="1" w:styleId="WW8Num4z6">
    <w:name w:val="WW8Num4z6"/>
    <w:rsid w:val="00862662"/>
  </w:style>
  <w:style w:type="character" w:customStyle="1" w:styleId="WW8Num4z7">
    <w:name w:val="WW8Num4z7"/>
    <w:rsid w:val="00862662"/>
  </w:style>
  <w:style w:type="character" w:customStyle="1" w:styleId="WW8Num4z8">
    <w:name w:val="WW8Num4z8"/>
    <w:rsid w:val="00862662"/>
  </w:style>
  <w:style w:type="character" w:customStyle="1" w:styleId="WW8Num5z3">
    <w:name w:val="WW8Num5z3"/>
    <w:rsid w:val="00862662"/>
  </w:style>
  <w:style w:type="character" w:customStyle="1" w:styleId="WW8Num5z4">
    <w:name w:val="WW8Num5z4"/>
    <w:rsid w:val="00862662"/>
  </w:style>
  <w:style w:type="character" w:customStyle="1" w:styleId="WW8Num5z5">
    <w:name w:val="WW8Num5z5"/>
    <w:rsid w:val="00862662"/>
  </w:style>
  <w:style w:type="character" w:customStyle="1" w:styleId="WW8Num5z6">
    <w:name w:val="WW8Num5z6"/>
    <w:rsid w:val="00862662"/>
  </w:style>
  <w:style w:type="character" w:customStyle="1" w:styleId="WW8Num5z7">
    <w:name w:val="WW8Num5z7"/>
    <w:rsid w:val="00862662"/>
  </w:style>
  <w:style w:type="character" w:customStyle="1" w:styleId="WW8Num5z8">
    <w:name w:val="WW8Num5z8"/>
    <w:rsid w:val="00862662"/>
  </w:style>
  <w:style w:type="character" w:customStyle="1" w:styleId="WW8Num7z0">
    <w:name w:val="WW8Num7z0"/>
    <w:rsid w:val="00862662"/>
    <w:rPr>
      <w:rFonts w:ascii="Symbol" w:hAnsi="Symbol" w:cs="Symbol" w:hint="default"/>
    </w:rPr>
  </w:style>
  <w:style w:type="character" w:customStyle="1" w:styleId="WW8Num7z1">
    <w:name w:val="WW8Num7z1"/>
    <w:rsid w:val="00862662"/>
    <w:rPr>
      <w:rFonts w:ascii="Courier New" w:hAnsi="Courier New" w:cs="Courier New" w:hint="default"/>
    </w:rPr>
  </w:style>
  <w:style w:type="character" w:customStyle="1" w:styleId="WW8Num7z2">
    <w:name w:val="WW8Num7z2"/>
    <w:rsid w:val="00862662"/>
    <w:rPr>
      <w:rFonts w:ascii="Wingdings" w:hAnsi="Wingdings" w:cs="Wingdings" w:hint="default"/>
    </w:rPr>
  </w:style>
  <w:style w:type="character" w:customStyle="1" w:styleId="WW8Num8z0">
    <w:name w:val="WW8Num8z0"/>
    <w:rsid w:val="00862662"/>
    <w:rPr>
      <w:rFonts w:ascii="Symbol" w:hAnsi="Symbol" w:cs="Symbol" w:hint="default"/>
    </w:rPr>
  </w:style>
  <w:style w:type="character" w:customStyle="1" w:styleId="WW8Num8z1">
    <w:name w:val="WW8Num8z1"/>
    <w:rsid w:val="00862662"/>
    <w:rPr>
      <w:rFonts w:ascii="Courier New" w:hAnsi="Courier New" w:cs="Courier New" w:hint="default"/>
    </w:rPr>
  </w:style>
  <w:style w:type="character" w:customStyle="1" w:styleId="WW8Num8z2">
    <w:name w:val="WW8Num8z2"/>
    <w:rsid w:val="00862662"/>
    <w:rPr>
      <w:rFonts w:ascii="Wingdings" w:hAnsi="Wingdings" w:cs="Wingdings" w:hint="default"/>
    </w:rPr>
  </w:style>
  <w:style w:type="character" w:customStyle="1" w:styleId="WW8Num9z0">
    <w:name w:val="WW8Num9z0"/>
    <w:rsid w:val="00862662"/>
    <w:rPr>
      <w:rFonts w:hint="default"/>
    </w:rPr>
  </w:style>
  <w:style w:type="character" w:customStyle="1" w:styleId="WW8Num9z1">
    <w:name w:val="WW8Num9z1"/>
    <w:rsid w:val="00862662"/>
  </w:style>
  <w:style w:type="character" w:customStyle="1" w:styleId="WW8Num9z2">
    <w:name w:val="WW8Num9z2"/>
    <w:rsid w:val="00862662"/>
  </w:style>
  <w:style w:type="character" w:customStyle="1" w:styleId="WW8Num9z3">
    <w:name w:val="WW8Num9z3"/>
    <w:rsid w:val="00862662"/>
  </w:style>
  <w:style w:type="character" w:customStyle="1" w:styleId="WW8Num9z4">
    <w:name w:val="WW8Num9z4"/>
    <w:rsid w:val="00862662"/>
  </w:style>
  <w:style w:type="character" w:customStyle="1" w:styleId="WW8Num9z5">
    <w:name w:val="WW8Num9z5"/>
    <w:rsid w:val="00862662"/>
  </w:style>
  <w:style w:type="character" w:customStyle="1" w:styleId="WW8Num9z6">
    <w:name w:val="WW8Num9z6"/>
    <w:rsid w:val="00862662"/>
  </w:style>
  <w:style w:type="character" w:customStyle="1" w:styleId="WW8Num9z7">
    <w:name w:val="WW8Num9z7"/>
    <w:rsid w:val="00862662"/>
  </w:style>
  <w:style w:type="character" w:customStyle="1" w:styleId="WW8Num9z8">
    <w:name w:val="WW8Num9z8"/>
    <w:rsid w:val="00862662"/>
  </w:style>
  <w:style w:type="character" w:customStyle="1" w:styleId="WW8Num10z0">
    <w:name w:val="WW8Num10z0"/>
    <w:rsid w:val="00862662"/>
    <w:rPr>
      <w:rFonts w:ascii="Symbol" w:hAnsi="Symbol" w:cs="Symbol" w:hint="default"/>
    </w:rPr>
  </w:style>
  <w:style w:type="character" w:customStyle="1" w:styleId="WW8Num10z1">
    <w:name w:val="WW8Num10z1"/>
    <w:rsid w:val="00862662"/>
    <w:rPr>
      <w:rFonts w:ascii="Courier New" w:hAnsi="Courier New" w:cs="Courier New" w:hint="default"/>
    </w:rPr>
  </w:style>
  <w:style w:type="character" w:customStyle="1" w:styleId="WW8Num10z2">
    <w:name w:val="WW8Num10z2"/>
    <w:rsid w:val="00862662"/>
    <w:rPr>
      <w:rFonts w:ascii="Wingdings" w:hAnsi="Wingdings" w:cs="Wingdings" w:hint="default"/>
    </w:rPr>
  </w:style>
  <w:style w:type="character" w:customStyle="1" w:styleId="WW8Num11z0">
    <w:name w:val="WW8Num11z0"/>
    <w:rsid w:val="00862662"/>
    <w:rPr>
      <w:rFonts w:ascii="Symbol" w:hAnsi="Symbol" w:cs="Symbol" w:hint="default"/>
    </w:rPr>
  </w:style>
  <w:style w:type="character" w:customStyle="1" w:styleId="WW8Num11z1">
    <w:name w:val="WW8Num11z1"/>
    <w:rsid w:val="00862662"/>
    <w:rPr>
      <w:rFonts w:ascii="Courier New" w:hAnsi="Courier New" w:cs="Courier New" w:hint="default"/>
    </w:rPr>
  </w:style>
  <w:style w:type="character" w:customStyle="1" w:styleId="WW8Num11z2">
    <w:name w:val="WW8Num11z2"/>
    <w:rsid w:val="00862662"/>
    <w:rPr>
      <w:rFonts w:ascii="Wingdings" w:hAnsi="Wingdings" w:cs="Wingdings" w:hint="default"/>
    </w:rPr>
  </w:style>
  <w:style w:type="character" w:customStyle="1" w:styleId="WW8Num12z0">
    <w:name w:val="WW8Num12z0"/>
    <w:rsid w:val="00862662"/>
    <w:rPr>
      <w:rFonts w:hint="default"/>
    </w:rPr>
  </w:style>
  <w:style w:type="character" w:customStyle="1" w:styleId="WW8Num12z1">
    <w:name w:val="WW8Num12z1"/>
    <w:rsid w:val="00862662"/>
  </w:style>
  <w:style w:type="character" w:customStyle="1" w:styleId="WW8Num12z2">
    <w:name w:val="WW8Num12z2"/>
    <w:rsid w:val="00862662"/>
  </w:style>
  <w:style w:type="character" w:customStyle="1" w:styleId="WW8Num12z3">
    <w:name w:val="WW8Num12z3"/>
    <w:rsid w:val="00862662"/>
  </w:style>
  <w:style w:type="character" w:customStyle="1" w:styleId="WW8Num12z4">
    <w:name w:val="WW8Num12z4"/>
    <w:rsid w:val="00862662"/>
  </w:style>
  <w:style w:type="character" w:customStyle="1" w:styleId="WW8Num12z5">
    <w:name w:val="WW8Num12z5"/>
    <w:rsid w:val="00862662"/>
  </w:style>
  <w:style w:type="character" w:customStyle="1" w:styleId="WW8Num12z6">
    <w:name w:val="WW8Num12z6"/>
    <w:rsid w:val="00862662"/>
  </w:style>
  <w:style w:type="character" w:customStyle="1" w:styleId="WW8Num12z7">
    <w:name w:val="WW8Num12z7"/>
    <w:rsid w:val="00862662"/>
  </w:style>
  <w:style w:type="character" w:customStyle="1" w:styleId="WW8Num12z8">
    <w:name w:val="WW8Num12z8"/>
    <w:rsid w:val="00862662"/>
  </w:style>
  <w:style w:type="character" w:customStyle="1" w:styleId="WW8Num13z0">
    <w:name w:val="WW8Num13z0"/>
    <w:rsid w:val="00862662"/>
    <w:rPr>
      <w:rFonts w:ascii="Wingdings" w:hAnsi="Wingdings" w:cs="Wingdings" w:hint="default"/>
    </w:rPr>
  </w:style>
  <w:style w:type="character" w:customStyle="1" w:styleId="WW8Num13z1">
    <w:name w:val="WW8Num13z1"/>
    <w:rsid w:val="00862662"/>
    <w:rPr>
      <w:rFonts w:ascii="Courier New" w:hAnsi="Courier New" w:cs="Courier New" w:hint="default"/>
    </w:rPr>
  </w:style>
  <w:style w:type="character" w:customStyle="1" w:styleId="WW8Num13z3">
    <w:name w:val="WW8Num13z3"/>
    <w:rsid w:val="00862662"/>
    <w:rPr>
      <w:rFonts w:ascii="Symbol" w:hAnsi="Symbol" w:cs="Symbol" w:hint="default"/>
    </w:rPr>
  </w:style>
  <w:style w:type="character" w:customStyle="1" w:styleId="WW8Num14z0">
    <w:name w:val="WW8Num14z0"/>
    <w:rsid w:val="00862662"/>
    <w:rPr>
      <w:rFonts w:ascii="Wingdings" w:hAnsi="Wingdings" w:cs="Wingdings" w:hint="default"/>
    </w:rPr>
  </w:style>
  <w:style w:type="character" w:customStyle="1" w:styleId="WW8Num14z1">
    <w:name w:val="WW8Num14z1"/>
    <w:rsid w:val="00862662"/>
    <w:rPr>
      <w:rFonts w:ascii="Courier New" w:hAnsi="Courier New" w:cs="Courier New" w:hint="default"/>
    </w:rPr>
  </w:style>
  <w:style w:type="character" w:customStyle="1" w:styleId="WW8Num14z3">
    <w:name w:val="WW8Num14z3"/>
    <w:rsid w:val="00862662"/>
    <w:rPr>
      <w:rFonts w:ascii="Symbol" w:hAnsi="Symbol" w:cs="Symbol" w:hint="default"/>
    </w:rPr>
  </w:style>
  <w:style w:type="character" w:customStyle="1" w:styleId="WW8Num15z0">
    <w:name w:val="WW8Num15z0"/>
    <w:rsid w:val="00862662"/>
    <w:rPr>
      <w:rFonts w:ascii="Wingdings" w:hAnsi="Wingdings" w:cs="Wingdings" w:hint="default"/>
    </w:rPr>
  </w:style>
  <w:style w:type="character" w:customStyle="1" w:styleId="WW8Num15z1">
    <w:name w:val="WW8Num15z1"/>
    <w:rsid w:val="00862662"/>
    <w:rPr>
      <w:rFonts w:ascii="Courier New" w:hAnsi="Courier New" w:cs="Courier New" w:hint="default"/>
    </w:rPr>
  </w:style>
  <w:style w:type="character" w:customStyle="1" w:styleId="WW8Num15z3">
    <w:name w:val="WW8Num15z3"/>
    <w:rsid w:val="00862662"/>
    <w:rPr>
      <w:rFonts w:ascii="Symbol" w:hAnsi="Symbol" w:cs="Symbol" w:hint="default"/>
    </w:rPr>
  </w:style>
  <w:style w:type="character" w:customStyle="1" w:styleId="WW8Num16z0">
    <w:name w:val="WW8Num16z0"/>
    <w:rsid w:val="00862662"/>
    <w:rPr>
      <w:rFonts w:hint="default"/>
    </w:rPr>
  </w:style>
  <w:style w:type="character" w:customStyle="1" w:styleId="WW8Num16z1">
    <w:name w:val="WW8Num16z1"/>
    <w:rsid w:val="00862662"/>
  </w:style>
  <w:style w:type="character" w:customStyle="1" w:styleId="WW8Num16z2">
    <w:name w:val="WW8Num16z2"/>
    <w:rsid w:val="00862662"/>
  </w:style>
  <w:style w:type="character" w:customStyle="1" w:styleId="WW8Num16z3">
    <w:name w:val="WW8Num16z3"/>
    <w:rsid w:val="00862662"/>
  </w:style>
  <w:style w:type="character" w:customStyle="1" w:styleId="WW8Num16z4">
    <w:name w:val="WW8Num16z4"/>
    <w:rsid w:val="00862662"/>
  </w:style>
  <w:style w:type="character" w:customStyle="1" w:styleId="WW8Num16z5">
    <w:name w:val="WW8Num16z5"/>
    <w:rsid w:val="00862662"/>
  </w:style>
  <w:style w:type="character" w:customStyle="1" w:styleId="WW8Num16z6">
    <w:name w:val="WW8Num16z6"/>
    <w:rsid w:val="00862662"/>
  </w:style>
  <w:style w:type="character" w:customStyle="1" w:styleId="WW8Num16z7">
    <w:name w:val="WW8Num16z7"/>
    <w:rsid w:val="00862662"/>
  </w:style>
  <w:style w:type="character" w:customStyle="1" w:styleId="WW8Num16z8">
    <w:name w:val="WW8Num16z8"/>
    <w:rsid w:val="00862662"/>
  </w:style>
  <w:style w:type="character" w:customStyle="1" w:styleId="WW8Num17z0">
    <w:name w:val="WW8Num17z0"/>
    <w:rsid w:val="00862662"/>
    <w:rPr>
      <w:rFonts w:hint="default"/>
    </w:rPr>
  </w:style>
  <w:style w:type="character" w:customStyle="1" w:styleId="WW8Num17z1">
    <w:name w:val="WW8Num17z1"/>
    <w:rsid w:val="00862662"/>
  </w:style>
  <w:style w:type="character" w:customStyle="1" w:styleId="WW8Num17z2">
    <w:name w:val="WW8Num17z2"/>
    <w:rsid w:val="00862662"/>
  </w:style>
  <w:style w:type="character" w:customStyle="1" w:styleId="WW8Num17z3">
    <w:name w:val="WW8Num17z3"/>
    <w:rsid w:val="00862662"/>
  </w:style>
  <w:style w:type="character" w:customStyle="1" w:styleId="WW8Num17z4">
    <w:name w:val="WW8Num17z4"/>
    <w:rsid w:val="00862662"/>
  </w:style>
  <w:style w:type="character" w:customStyle="1" w:styleId="WW8Num17z5">
    <w:name w:val="WW8Num17z5"/>
    <w:rsid w:val="00862662"/>
  </w:style>
  <w:style w:type="character" w:customStyle="1" w:styleId="WW8Num17z6">
    <w:name w:val="WW8Num17z6"/>
    <w:rsid w:val="00862662"/>
  </w:style>
  <w:style w:type="character" w:customStyle="1" w:styleId="WW8Num17z7">
    <w:name w:val="WW8Num17z7"/>
    <w:rsid w:val="00862662"/>
  </w:style>
  <w:style w:type="character" w:customStyle="1" w:styleId="WW8Num17z8">
    <w:name w:val="WW8Num17z8"/>
    <w:rsid w:val="00862662"/>
  </w:style>
  <w:style w:type="character" w:customStyle="1" w:styleId="WW8Num18z0">
    <w:name w:val="WW8Num18z0"/>
    <w:rsid w:val="00862662"/>
    <w:rPr>
      <w:rFonts w:ascii="Wingdings" w:hAnsi="Wingdings" w:cs="Wingdings" w:hint="default"/>
    </w:rPr>
  </w:style>
  <w:style w:type="character" w:customStyle="1" w:styleId="WW8Num18z1">
    <w:name w:val="WW8Num18z1"/>
    <w:rsid w:val="00862662"/>
    <w:rPr>
      <w:rFonts w:ascii="Courier New" w:hAnsi="Courier New" w:cs="Courier New" w:hint="default"/>
    </w:rPr>
  </w:style>
  <w:style w:type="character" w:customStyle="1" w:styleId="WW8Num18z3">
    <w:name w:val="WW8Num18z3"/>
    <w:rsid w:val="00862662"/>
    <w:rPr>
      <w:rFonts w:ascii="Symbol" w:hAnsi="Symbol" w:cs="Symbol" w:hint="default"/>
    </w:rPr>
  </w:style>
  <w:style w:type="character" w:customStyle="1" w:styleId="WW8Num19z0">
    <w:name w:val="WW8Num19z0"/>
    <w:rsid w:val="00862662"/>
    <w:rPr>
      <w:rFonts w:ascii="Symbol" w:hAnsi="Symbol" w:cs="Symbol" w:hint="default"/>
    </w:rPr>
  </w:style>
  <w:style w:type="character" w:customStyle="1" w:styleId="WW8Num19z1">
    <w:name w:val="WW8Num19z1"/>
    <w:rsid w:val="00862662"/>
    <w:rPr>
      <w:rFonts w:cs="Times New Roman"/>
    </w:rPr>
  </w:style>
  <w:style w:type="character" w:customStyle="1" w:styleId="WW8Num20z0">
    <w:name w:val="WW8Num20z0"/>
    <w:rsid w:val="00862662"/>
    <w:rPr>
      <w:rFonts w:ascii="Wingdings" w:hAnsi="Wingdings" w:cs="Wingdings" w:hint="default"/>
    </w:rPr>
  </w:style>
  <w:style w:type="character" w:customStyle="1" w:styleId="WW8Num20z1">
    <w:name w:val="WW8Num20z1"/>
    <w:rsid w:val="00862662"/>
    <w:rPr>
      <w:rFonts w:ascii="Courier New" w:hAnsi="Courier New" w:cs="Courier New" w:hint="default"/>
    </w:rPr>
  </w:style>
  <w:style w:type="character" w:customStyle="1" w:styleId="WW8Num20z3">
    <w:name w:val="WW8Num20z3"/>
    <w:rsid w:val="00862662"/>
    <w:rPr>
      <w:rFonts w:ascii="Symbol" w:hAnsi="Symbol" w:cs="Symbol" w:hint="default"/>
    </w:rPr>
  </w:style>
  <w:style w:type="character" w:customStyle="1" w:styleId="WW8Num21z0">
    <w:name w:val="WW8Num21z0"/>
    <w:rsid w:val="00862662"/>
    <w:rPr>
      <w:rFonts w:hint="default"/>
      <w:sz w:val="28"/>
    </w:rPr>
  </w:style>
  <w:style w:type="character" w:customStyle="1" w:styleId="WW8Num21z1">
    <w:name w:val="WW8Num21z1"/>
    <w:rsid w:val="00862662"/>
  </w:style>
  <w:style w:type="character" w:customStyle="1" w:styleId="WW8Num21z2">
    <w:name w:val="WW8Num21z2"/>
    <w:rsid w:val="00862662"/>
  </w:style>
  <w:style w:type="character" w:customStyle="1" w:styleId="WW8Num21z3">
    <w:name w:val="WW8Num21z3"/>
    <w:rsid w:val="00862662"/>
  </w:style>
  <w:style w:type="character" w:customStyle="1" w:styleId="WW8Num21z4">
    <w:name w:val="WW8Num21z4"/>
    <w:rsid w:val="00862662"/>
  </w:style>
  <w:style w:type="character" w:customStyle="1" w:styleId="WW8Num21z5">
    <w:name w:val="WW8Num21z5"/>
    <w:rsid w:val="00862662"/>
  </w:style>
  <w:style w:type="character" w:customStyle="1" w:styleId="WW8Num21z6">
    <w:name w:val="WW8Num21z6"/>
    <w:rsid w:val="00862662"/>
  </w:style>
  <w:style w:type="character" w:customStyle="1" w:styleId="WW8Num21z7">
    <w:name w:val="WW8Num21z7"/>
    <w:rsid w:val="00862662"/>
  </w:style>
  <w:style w:type="character" w:customStyle="1" w:styleId="WW8Num21z8">
    <w:name w:val="WW8Num21z8"/>
    <w:rsid w:val="00862662"/>
  </w:style>
  <w:style w:type="character" w:customStyle="1" w:styleId="WW8Num22z0">
    <w:name w:val="WW8Num22z0"/>
    <w:rsid w:val="00862662"/>
    <w:rPr>
      <w:rFonts w:hint="default"/>
    </w:rPr>
  </w:style>
  <w:style w:type="character" w:customStyle="1" w:styleId="WW8Num22z1">
    <w:name w:val="WW8Num22z1"/>
    <w:rsid w:val="00862662"/>
  </w:style>
  <w:style w:type="character" w:customStyle="1" w:styleId="WW8Num22z2">
    <w:name w:val="WW8Num22z2"/>
    <w:rsid w:val="00862662"/>
  </w:style>
  <w:style w:type="character" w:customStyle="1" w:styleId="WW8Num22z3">
    <w:name w:val="WW8Num22z3"/>
    <w:rsid w:val="00862662"/>
  </w:style>
  <w:style w:type="character" w:customStyle="1" w:styleId="WW8Num22z4">
    <w:name w:val="WW8Num22z4"/>
    <w:rsid w:val="00862662"/>
  </w:style>
  <w:style w:type="character" w:customStyle="1" w:styleId="WW8Num22z5">
    <w:name w:val="WW8Num22z5"/>
    <w:rsid w:val="00862662"/>
  </w:style>
  <w:style w:type="character" w:customStyle="1" w:styleId="WW8Num22z6">
    <w:name w:val="WW8Num22z6"/>
    <w:rsid w:val="00862662"/>
  </w:style>
  <w:style w:type="character" w:customStyle="1" w:styleId="WW8Num22z7">
    <w:name w:val="WW8Num22z7"/>
    <w:rsid w:val="00862662"/>
  </w:style>
  <w:style w:type="character" w:customStyle="1" w:styleId="WW8Num22z8">
    <w:name w:val="WW8Num22z8"/>
    <w:rsid w:val="00862662"/>
  </w:style>
  <w:style w:type="character" w:customStyle="1" w:styleId="WW8Num23z0">
    <w:name w:val="WW8Num23z0"/>
    <w:rsid w:val="00862662"/>
    <w:rPr>
      <w:rFonts w:hint="default"/>
    </w:rPr>
  </w:style>
  <w:style w:type="character" w:customStyle="1" w:styleId="WW8Num24z0">
    <w:name w:val="WW8Num24z0"/>
    <w:rsid w:val="00862662"/>
    <w:rPr>
      <w:rFonts w:ascii="Symbol" w:hAnsi="Symbol" w:cs="Symbol" w:hint="default"/>
    </w:rPr>
  </w:style>
  <w:style w:type="character" w:customStyle="1" w:styleId="WW8Num24z1">
    <w:name w:val="WW8Num24z1"/>
    <w:rsid w:val="00862662"/>
    <w:rPr>
      <w:rFonts w:ascii="Courier New" w:hAnsi="Courier New" w:cs="Courier New" w:hint="default"/>
    </w:rPr>
  </w:style>
  <w:style w:type="character" w:customStyle="1" w:styleId="WW8Num24z2">
    <w:name w:val="WW8Num24z2"/>
    <w:rsid w:val="00862662"/>
    <w:rPr>
      <w:rFonts w:ascii="Wingdings" w:hAnsi="Wingdings" w:cs="Wingdings" w:hint="default"/>
    </w:rPr>
  </w:style>
  <w:style w:type="character" w:customStyle="1" w:styleId="WW8Num25z0">
    <w:name w:val="WW8Num25z0"/>
    <w:rsid w:val="00862662"/>
    <w:rPr>
      <w:rFonts w:ascii="Symbol" w:hAnsi="Symbol" w:cs="Symbol" w:hint="default"/>
    </w:rPr>
  </w:style>
  <w:style w:type="character" w:customStyle="1" w:styleId="WW8Num25z1">
    <w:name w:val="WW8Num25z1"/>
    <w:rsid w:val="00862662"/>
    <w:rPr>
      <w:rFonts w:ascii="Courier New" w:hAnsi="Courier New" w:cs="Courier New" w:hint="default"/>
    </w:rPr>
  </w:style>
  <w:style w:type="character" w:customStyle="1" w:styleId="WW8Num25z2">
    <w:name w:val="WW8Num25z2"/>
    <w:rsid w:val="00862662"/>
    <w:rPr>
      <w:rFonts w:ascii="Wingdings" w:hAnsi="Wingdings" w:cs="Wingdings" w:hint="default"/>
    </w:rPr>
  </w:style>
  <w:style w:type="character" w:customStyle="1" w:styleId="WW8Num26z0">
    <w:name w:val="WW8Num26z0"/>
    <w:rsid w:val="00862662"/>
    <w:rPr>
      <w:rFonts w:ascii="Wingdings" w:hAnsi="Wingdings" w:cs="Wingdings" w:hint="default"/>
    </w:rPr>
  </w:style>
  <w:style w:type="character" w:customStyle="1" w:styleId="WW8Num26z1">
    <w:name w:val="WW8Num26z1"/>
    <w:rsid w:val="00862662"/>
    <w:rPr>
      <w:rFonts w:ascii="Courier New" w:hAnsi="Courier New" w:cs="Courier New" w:hint="default"/>
    </w:rPr>
  </w:style>
  <w:style w:type="character" w:customStyle="1" w:styleId="WW8Num26z3">
    <w:name w:val="WW8Num26z3"/>
    <w:rsid w:val="00862662"/>
    <w:rPr>
      <w:rFonts w:ascii="Symbol" w:hAnsi="Symbol" w:cs="Symbol" w:hint="default"/>
    </w:rPr>
  </w:style>
  <w:style w:type="character" w:customStyle="1" w:styleId="WW8Num27z0">
    <w:name w:val="WW8Num27z0"/>
    <w:rsid w:val="00862662"/>
    <w:rPr>
      <w:rFonts w:ascii="Symbol" w:hAnsi="Symbol" w:cs="Symbol" w:hint="default"/>
    </w:rPr>
  </w:style>
  <w:style w:type="character" w:customStyle="1" w:styleId="WW8Num27z1">
    <w:name w:val="WW8Num27z1"/>
    <w:rsid w:val="00862662"/>
    <w:rPr>
      <w:rFonts w:ascii="Courier New" w:hAnsi="Courier New" w:cs="Courier New" w:hint="default"/>
    </w:rPr>
  </w:style>
  <w:style w:type="character" w:customStyle="1" w:styleId="WW8Num27z2">
    <w:name w:val="WW8Num27z2"/>
    <w:rsid w:val="00862662"/>
    <w:rPr>
      <w:rFonts w:ascii="Wingdings" w:hAnsi="Wingdings" w:cs="Wingdings" w:hint="default"/>
    </w:rPr>
  </w:style>
  <w:style w:type="character" w:customStyle="1" w:styleId="WW8Num28z0">
    <w:name w:val="WW8Num28z0"/>
    <w:rsid w:val="00862662"/>
    <w:rPr>
      <w:rFonts w:ascii="Wingdings" w:hAnsi="Wingdings" w:cs="Wingdings" w:hint="default"/>
    </w:rPr>
  </w:style>
  <w:style w:type="character" w:customStyle="1" w:styleId="WW8Num28z1">
    <w:name w:val="WW8Num28z1"/>
    <w:rsid w:val="00862662"/>
    <w:rPr>
      <w:rFonts w:ascii="Courier New" w:hAnsi="Courier New" w:cs="Courier New" w:hint="default"/>
    </w:rPr>
  </w:style>
  <w:style w:type="character" w:customStyle="1" w:styleId="WW8Num28z3">
    <w:name w:val="WW8Num28z3"/>
    <w:rsid w:val="00862662"/>
    <w:rPr>
      <w:rFonts w:ascii="Symbol" w:hAnsi="Symbol" w:cs="Symbol" w:hint="default"/>
    </w:rPr>
  </w:style>
  <w:style w:type="character" w:customStyle="1" w:styleId="WW8Num29z0">
    <w:name w:val="WW8Num29z0"/>
    <w:rsid w:val="00862662"/>
    <w:rPr>
      <w:rFonts w:ascii="Times New Roman" w:eastAsia="Times New Roman" w:hAnsi="Times New Roman" w:cs="Times New Roman" w:hint="default"/>
    </w:rPr>
  </w:style>
  <w:style w:type="character" w:customStyle="1" w:styleId="WW8Num29z1">
    <w:name w:val="WW8Num29z1"/>
    <w:rsid w:val="00862662"/>
    <w:rPr>
      <w:rFonts w:ascii="Courier New" w:hAnsi="Courier New" w:cs="Courier New" w:hint="default"/>
    </w:rPr>
  </w:style>
  <w:style w:type="character" w:customStyle="1" w:styleId="WW8Num29z2">
    <w:name w:val="WW8Num29z2"/>
    <w:rsid w:val="00862662"/>
    <w:rPr>
      <w:rFonts w:ascii="Wingdings" w:hAnsi="Wingdings" w:cs="Wingdings" w:hint="default"/>
    </w:rPr>
  </w:style>
  <w:style w:type="character" w:customStyle="1" w:styleId="WW8Num29z3">
    <w:name w:val="WW8Num29z3"/>
    <w:rsid w:val="00862662"/>
    <w:rPr>
      <w:rFonts w:ascii="Symbol" w:hAnsi="Symbol" w:cs="Symbol" w:hint="default"/>
    </w:rPr>
  </w:style>
  <w:style w:type="character" w:customStyle="1" w:styleId="WW8Num30z0">
    <w:name w:val="WW8Num30z0"/>
    <w:rsid w:val="00862662"/>
    <w:rPr>
      <w:rFonts w:cs="Times New Roman" w:hint="default"/>
    </w:rPr>
  </w:style>
  <w:style w:type="character" w:customStyle="1" w:styleId="WW8Num30z1">
    <w:name w:val="WW8Num30z1"/>
    <w:rsid w:val="00862662"/>
    <w:rPr>
      <w:rFonts w:cs="Times New Roman"/>
    </w:rPr>
  </w:style>
  <w:style w:type="character" w:customStyle="1" w:styleId="29">
    <w:name w:val="Основной шрифт абзаца2"/>
    <w:rsid w:val="00862662"/>
  </w:style>
  <w:style w:type="character" w:customStyle="1" w:styleId="affffa">
    <w:name w:val="Символ сноски"/>
    <w:rsid w:val="00862662"/>
    <w:rPr>
      <w:vertAlign w:val="superscript"/>
    </w:rPr>
  </w:style>
  <w:style w:type="character" w:customStyle="1" w:styleId="affffb">
    <w:name w:val="Символы концевой сноски"/>
    <w:rsid w:val="00862662"/>
    <w:rPr>
      <w:vertAlign w:val="superscript"/>
    </w:rPr>
  </w:style>
  <w:style w:type="character" w:customStyle="1" w:styleId="1f0">
    <w:name w:val="Знак примечания1"/>
    <w:rsid w:val="00862662"/>
    <w:rPr>
      <w:sz w:val="16"/>
      <w:szCs w:val="16"/>
    </w:rPr>
  </w:style>
  <w:style w:type="paragraph" w:customStyle="1" w:styleId="2a">
    <w:name w:val="Название2"/>
    <w:basedOn w:val="a"/>
    <w:rsid w:val="0086266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b">
    <w:name w:val="Указатель2"/>
    <w:basedOn w:val="a"/>
    <w:rsid w:val="00862662"/>
    <w:pPr>
      <w:suppressLineNumbers/>
      <w:suppressAutoHyphens/>
      <w:spacing w:after="0" w:line="240" w:lineRule="auto"/>
    </w:pPr>
    <w:rPr>
      <w:rFonts w:ascii="Times New Roman" w:eastAsia="Calibri" w:hAnsi="Times New Roman" w:cs="Mangal"/>
      <w:sz w:val="20"/>
      <w:lang w:eastAsia="ar-SA"/>
    </w:rPr>
  </w:style>
  <w:style w:type="paragraph" w:customStyle="1" w:styleId="1f1">
    <w:name w:val="Текст1"/>
    <w:basedOn w:val="a"/>
    <w:rsid w:val="00862662"/>
    <w:pPr>
      <w:suppressAutoHyphens/>
      <w:spacing w:after="0" w:line="240" w:lineRule="auto"/>
    </w:pPr>
    <w:rPr>
      <w:rFonts w:ascii="Courier New" w:eastAsia="Times New Roman" w:hAnsi="Courier New" w:cs="Courier New"/>
      <w:sz w:val="20"/>
      <w:szCs w:val="20"/>
      <w:lang w:eastAsia="ar-SA"/>
    </w:rPr>
  </w:style>
  <w:style w:type="paragraph" w:customStyle="1" w:styleId="1f2">
    <w:name w:val="Обычный отступ1"/>
    <w:basedOn w:val="a"/>
    <w:rsid w:val="0086266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86266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86266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862662"/>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Шапка1"/>
    <w:basedOn w:val="a"/>
    <w:rsid w:val="00862662"/>
    <w:pPr>
      <w:suppressAutoHyphens/>
      <w:spacing w:before="40" w:after="40" w:line="204" w:lineRule="auto"/>
      <w:jc w:val="center"/>
    </w:pPr>
    <w:rPr>
      <w:rFonts w:ascii="Arial" w:eastAsia="Times New Roman" w:hAnsi="Arial" w:cs="Arial"/>
      <w:i/>
      <w:szCs w:val="20"/>
      <w:lang w:eastAsia="ar-SA"/>
    </w:rPr>
  </w:style>
  <w:style w:type="paragraph" w:customStyle="1" w:styleId="1f5">
    <w:name w:val="Схема документа1"/>
    <w:basedOn w:val="a"/>
    <w:rsid w:val="00862662"/>
    <w:pPr>
      <w:suppressAutoHyphens/>
      <w:spacing w:after="0" w:line="240" w:lineRule="auto"/>
    </w:pPr>
    <w:rPr>
      <w:rFonts w:ascii="Tahoma" w:eastAsia="Calibri" w:hAnsi="Tahoma" w:cs="Tahoma"/>
      <w:sz w:val="16"/>
      <w:szCs w:val="16"/>
      <w:lang w:eastAsia="ar-SA"/>
    </w:rPr>
  </w:style>
  <w:style w:type="paragraph" w:customStyle="1" w:styleId="212">
    <w:name w:val="Основной текст 21"/>
    <w:basedOn w:val="a"/>
    <w:rsid w:val="00862662"/>
    <w:pPr>
      <w:suppressAutoHyphens/>
      <w:spacing w:after="120" w:line="480" w:lineRule="auto"/>
    </w:pPr>
    <w:rPr>
      <w:rFonts w:ascii="Times New Roman" w:eastAsia="Times New Roman" w:hAnsi="Times New Roman" w:cs="Times New Roman"/>
      <w:sz w:val="20"/>
      <w:szCs w:val="20"/>
      <w:lang w:eastAsia="ar-SA"/>
    </w:rPr>
  </w:style>
  <w:style w:type="numbering" w:customStyle="1" w:styleId="34">
    <w:name w:val="Нет списка3"/>
    <w:next w:val="a2"/>
    <w:uiPriority w:val="99"/>
    <w:semiHidden/>
    <w:unhideWhenUsed/>
    <w:rsid w:val="00862662"/>
  </w:style>
  <w:style w:type="table" w:customStyle="1" w:styleId="4">
    <w:name w:val="Сетка таблицы4"/>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862662"/>
  </w:style>
  <w:style w:type="table" w:customStyle="1" w:styleId="5">
    <w:name w:val="Сетка таблицы5"/>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62662"/>
  </w:style>
  <w:style w:type="table" w:customStyle="1" w:styleId="213">
    <w:name w:val="Сетка таблицы21"/>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862662"/>
  </w:style>
  <w:style w:type="numbering" w:customStyle="1" w:styleId="312">
    <w:name w:val="Нет списка31"/>
    <w:next w:val="a2"/>
    <w:uiPriority w:val="99"/>
    <w:semiHidden/>
    <w:unhideWhenUsed/>
    <w:rsid w:val="00862662"/>
  </w:style>
  <w:style w:type="table" w:customStyle="1" w:styleId="41">
    <w:name w:val="Сетка таблицы41"/>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62662"/>
  </w:style>
  <w:style w:type="table" w:customStyle="1" w:styleId="7">
    <w:name w:val="Сетка таблицы7"/>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62662"/>
  </w:style>
  <w:style w:type="table" w:customStyle="1" w:styleId="220">
    <w:name w:val="Сетка таблицы2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62662"/>
  </w:style>
  <w:style w:type="numbering" w:customStyle="1" w:styleId="321">
    <w:name w:val="Нет списка32"/>
    <w:next w:val="a2"/>
    <w:uiPriority w:val="99"/>
    <w:semiHidden/>
    <w:unhideWhenUsed/>
    <w:rsid w:val="00862662"/>
  </w:style>
  <w:style w:type="table" w:customStyle="1" w:styleId="42">
    <w:name w:val="Сетка таблицы42"/>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862662"/>
  </w:style>
  <w:style w:type="table" w:customStyle="1" w:styleId="8">
    <w:name w:val="Сетка таблицы8"/>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62662"/>
  </w:style>
  <w:style w:type="table" w:customStyle="1" w:styleId="230">
    <w:name w:val="Сетка таблицы23"/>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862662"/>
  </w:style>
  <w:style w:type="numbering" w:customStyle="1" w:styleId="331">
    <w:name w:val="Нет списка33"/>
    <w:next w:val="a2"/>
    <w:uiPriority w:val="99"/>
    <w:semiHidden/>
    <w:unhideWhenUsed/>
    <w:rsid w:val="00862662"/>
  </w:style>
  <w:style w:type="table" w:customStyle="1" w:styleId="43">
    <w:name w:val="Сетка таблицы43"/>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адрес"/>
    <w:basedOn w:val="a"/>
    <w:rsid w:val="00862662"/>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customStyle="1" w:styleId="9">
    <w:name w:val="Сетка таблицы9"/>
    <w:basedOn w:val="a1"/>
    <w:next w:val="af2"/>
    <w:uiPriority w:val="59"/>
    <w:rsid w:val="00E37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39"/>
    <w:rsid w:val="00A43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036FD"/>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5">
      <w:bodyDiv w:val="1"/>
      <w:marLeft w:val="0"/>
      <w:marRight w:val="0"/>
      <w:marTop w:val="0"/>
      <w:marBottom w:val="0"/>
      <w:divBdr>
        <w:top w:val="none" w:sz="0" w:space="0" w:color="auto"/>
        <w:left w:val="none" w:sz="0" w:space="0" w:color="auto"/>
        <w:bottom w:val="none" w:sz="0" w:space="0" w:color="auto"/>
        <w:right w:val="none" w:sz="0" w:space="0" w:color="auto"/>
      </w:divBdr>
    </w:div>
    <w:div w:id="143477387">
      <w:bodyDiv w:val="1"/>
      <w:marLeft w:val="0"/>
      <w:marRight w:val="0"/>
      <w:marTop w:val="0"/>
      <w:marBottom w:val="0"/>
      <w:divBdr>
        <w:top w:val="none" w:sz="0" w:space="0" w:color="auto"/>
        <w:left w:val="none" w:sz="0" w:space="0" w:color="auto"/>
        <w:bottom w:val="none" w:sz="0" w:space="0" w:color="auto"/>
        <w:right w:val="none" w:sz="0" w:space="0" w:color="auto"/>
      </w:divBdr>
    </w:div>
    <w:div w:id="442575133">
      <w:bodyDiv w:val="1"/>
      <w:marLeft w:val="0"/>
      <w:marRight w:val="0"/>
      <w:marTop w:val="0"/>
      <w:marBottom w:val="0"/>
      <w:divBdr>
        <w:top w:val="none" w:sz="0" w:space="0" w:color="auto"/>
        <w:left w:val="none" w:sz="0" w:space="0" w:color="auto"/>
        <w:bottom w:val="none" w:sz="0" w:space="0" w:color="auto"/>
        <w:right w:val="none" w:sz="0" w:space="0" w:color="auto"/>
      </w:divBdr>
    </w:div>
    <w:div w:id="1138062272">
      <w:bodyDiv w:val="1"/>
      <w:marLeft w:val="0"/>
      <w:marRight w:val="0"/>
      <w:marTop w:val="0"/>
      <w:marBottom w:val="0"/>
      <w:divBdr>
        <w:top w:val="none" w:sz="0" w:space="0" w:color="auto"/>
        <w:left w:val="none" w:sz="0" w:space="0" w:color="auto"/>
        <w:bottom w:val="none" w:sz="0" w:space="0" w:color="auto"/>
        <w:right w:val="none" w:sz="0" w:space="0" w:color="auto"/>
      </w:divBdr>
    </w:div>
    <w:div w:id="1328090006">
      <w:bodyDiv w:val="1"/>
      <w:marLeft w:val="0"/>
      <w:marRight w:val="0"/>
      <w:marTop w:val="0"/>
      <w:marBottom w:val="0"/>
      <w:divBdr>
        <w:top w:val="none" w:sz="0" w:space="0" w:color="auto"/>
        <w:left w:val="none" w:sz="0" w:space="0" w:color="auto"/>
        <w:bottom w:val="none" w:sz="0" w:space="0" w:color="auto"/>
        <w:right w:val="none" w:sz="0" w:space="0" w:color="auto"/>
      </w:divBdr>
    </w:div>
    <w:div w:id="1345552035">
      <w:bodyDiv w:val="1"/>
      <w:marLeft w:val="0"/>
      <w:marRight w:val="0"/>
      <w:marTop w:val="0"/>
      <w:marBottom w:val="0"/>
      <w:divBdr>
        <w:top w:val="none" w:sz="0" w:space="0" w:color="auto"/>
        <w:left w:val="none" w:sz="0" w:space="0" w:color="auto"/>
        <w:bottom w:val="none" w:sz="0" w:space="0" w:color="auto"/>
        <w:right w:val="none" w:sz="0" w:space="0" w:color="auto"/>
      </w:divBdr>
    </w:div>
    <w:div w:id="2027487777">
      <w:bodyDiv w:val="1"/>
      <w:marLeft w:val="0"/>
      <w:marRight w:val="0"/>
      <w:marTop w:val="0"/>
      <w:marBottom w:val="0"/>
      <w:divBdr>
        <w:top w:val="none" w:sz="0" w:space="0" w:color="auto"/>
        <w:left w:val="none" w:sz="0" w:space="0" w:color="auto"/>
        <w:bottom w:val="none" w:sz="0" w:space="0" w:color="auto"/>
        <w:right w:val="none" w:sz="0" w:space="0" w:color="auto"/>
      </w:divBdr>
    </w:div>
    <w:div w:id="2057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RLAW067&amp;n=111171&amp;date=16.09.2021&amp;dst=103376&amp;field=134" TargetMode="External"/><Relationship Id="rId1" Type="http://schemas.openxmlformats.org/officeDocument/2006/relationships/hyperlink" Target="https://login.consultant.ru/link/?req=doc&amp;base=RLAW067&amp;n=111171&amp;date=16.09.2021&amp;dst=103376&amp;field=134"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sideWall>
    <c:back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backWall>
    <c:plotArea>
      <c:layout>
        <c:manualLayout>
          <c:layoutTarget val="inner"/>
          <c:xMode val="edge"/>
          <c:yMode val="edge"/>
          <c:x val="0.17530732228754678"/>
          <c:y val="1.0631213141015292E-2"/>
          <c:w val="0.79903794762159275"/>
          <c:h val="0.90758043575151959"/>
        </c:manualLayout>
      </c:layout>
      <c:bar3DChart>
        <c:barDir val="col"/>
        <c:grouping val="stacked"/>
        <c:varyColors val="0"/>
        <c:ser>
          <c:idx val="0"/>
          <c:order val="0"/>
          <c:tx>
            <c:strRef>
              <c:f>Лист1!$B$1</c:f>
              <c:strCache>
                <c:ptCount val="1"/>
                <c:pt idx="0">
                  <c:v>Безвозмедные поступления</c:v>
                </c:pt>
              </c:strCache>
            </c:strRef>
          </c:tx>
          <c:spPr>
            <a:solidFill>
              <a:srgbClr val="ED7D31">
                <a:lumMod val="40000"/>
                <a:lumOff val="60000"/>
              </a:srgbClr>
            </a:solidFill>
            <a:ln>
              <a:noFill/>
            </a:ln>
            <a:effectLst/>
            <a:scene3d>
              <a:camera prst="orthographicFront"/>
              <a:lightRig rig="threePt" dir="t"/>
            </a:scene3d>
            <a:sp3d>
              <a:bevelT w="0" h="0"/>
              <a:bevelB/>
            </a:sp3d>
          </c:spPr>
          <c:invertIfNegative val="0"/>
          <c:dLbls>
            <c:dLbl>
              <c:idx val="0"/>
              <c:layout>
                <c:manualLayout>
                  <c:x val="-1.7938952179347438E-3"/>
                  <c:y val="-2.1252696354132204E-2"/>
                </c:manualLayout>
              </c:layout>
              <c:showLegendKey val="0"/>
              <c:showVal val="1"/>
              <c:showCatName val="0"/>
              <c:showSerName val="0"/>
              <c:showPercent val="0"/>
              <c:showBubbleSize val="0"/>
              <c:extLst>
                <c:ext xmlns:c15="http://schemas.microsoft.com/office/drawing/2012/chart" uri="{CE6537A1-D6FC-4f65-9D91-7224C49458BB}">
                  <c15:layout>
                    <c:manualLayout>
                      <c:w val="7.2688401924104751E-2"/>
                      <c:h val="5.1092436974789913E-2"/>
                    </c:manualLayout>
                  </c15:layout>
                </c:ext>
              </c:extLst>
            </c:dLbl>
            <c:dLbl>
              <c:idx val="1"/>
              <c:layout>
                <c:manualLayout>
                  <c:x val="3.450342357659595E-3"/>
                  <c:y val="1.1290941573479786E-3"/>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4420034512260546E-2"/>
                    </c:manualLayout>
                  </c15:layout>
                </c:ext>
              </c:extLst>
            </c:dLbl>
            <c:dLbl>
              <c:idx val="2"/>
              <c:layout>
                <c:manualLayout>
                  <c:x val="3.8631074375991615E-3"/>
                  <c:y val="-1.4094620525375504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4.7053552007656499E-2"/>
                    </c:manualLayout>
                  </c15:layout>
                </c:ext>
              </c:extLst>
            </c:dLbl>
            <c:dLbl>
              <c:idx val="3"/>
              <c:layout>
                <c:manualLayout>
                  <c:x val="5.5884048700218479E-3"/>
                  <c:y val="-1.3555224690432974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8103275764562576E-2"/>
                    </c:manualLayout>
                  </c15:layout>
                </c:ext>
              </c:extLst>
            </c:dLbl>
            <c:dLbl>
              <c:idx val="4"/>
              <c:layout>
                <c:manualLayout>
                  <c:x val="2.137894174238375E-3"/>
                  <c:y val="-8.203445447087776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136825227151259E-3"/>
                  <c:y val="-4.1016343545292131E-3"/>
                </c:manualLayout>
              </c:layout>
              <c:showLegendKey val="0"/>
              <c:showVal val="1"/>
              <c:showCatName val="0"/>
              <c:showSerName val="0"/>
              <c:showPercent val="0"/>
              <c:showBubbleSize val="0"/>
              <c:extLst>
                <c:ext xmlns:c15="http://schemas.microsoft.com/office/drawing/2012/chart" uri="{CE6537A1-D6FC-4f65-9D91-7224C49458BB}"/>
              </c:extLst>
            </c:dLbl>
            <c:spPr>
              <a:noFill/>
              <a:ln w="28575">
                <a:noFill/>
              </a:ln>
              <a:effectLst/>
            </c:spPr>
            <c:txPr>
              <a:bodyPr rot="0" spcFirstLastPara="1" vertOverflow="ellipsis" vert="horz" wrap="square" anchor="ctr" anchorCtr="1"/>
              <a:lstStyle/>
              <a:p>
                <a:pPr>
                  <a:defRPr sz="8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c:v>
                </c:pt>
                <c:pt idx="1">
                  <c:v>2020 год</c:v>
                </c:pt>
                <c:pt idx="2">
                  <c:v>2021 год (оценка)</c:v>
                </c:pt>
                <c:pt idx="3">
                  <c:v>2022 год</c:v>
                </c:pt>
                <c:pt idx="4">
                  <c:v>2023 год</c:v>
                </c:pt>
                <c:pt idx="5">
                  <c:v>2024 год</c:v>
                </c:pt>
              </c:strCache>
            </c:strRef>
          </c:cat>
          <c:val>
            <c:numRef>
              <c:f>Лист1!$B$2:$B$7</c:f>
              <c:numCache>
                <c:formatCode>#\ ##0.0</c:formatCode>
                <c:ptCount val="6"/>
                <c:pt idx="0">
                  <c:v>17022.3</c:v>
                </c:pt>
                <c:pt idx="1">
                  <c:v>29371.200000000001</c:v>
                </c:pt>
                <c:pt idx="2">
                  <c:v>31547.9</c:v>
                </c:pt>
                <c:pt idx="3">
                  <c:v>14346.7</c:v>
                </c:pt>
                <c:pt idx="4">
                  <c:v>12861.2</c:v>
                </c:pt>
                <c:pt idx="5">
                  <c:v>12100.1</c:v>
                </c:pt>
              </c:numCache>
            </c:numRef>
          </c:val>
        </c:ser>
        <c:ser>
          <c:idx val="1"/>
          <c:order val="1"/>
          <c:tx>
            <c:strRef>
              <c:f>Лист1!$C$1</c:f>
              <c:strCache>
                <c:ptCount val="1"/>
                <c:pt idx="0">
                  <c:v>Неналоговые доходы</c:v>
                </c:pt>
              </c:strCache>
            </c:strRef>
          </c:tx>
          <c:spPr>
            <a:solidFill>
              <a:srgbClr val="FFFF00"/>
            </a:solidFill>
            <a:ln w="3175">
              <a:solidFill>
                <a:srgbClr val="000000"/>
              </a:solidFill>
            </a:ln>
            <a:effectLst>
              <a:outerShdw blurRad="50800" dist="254000" dir="1500000" sx="1000" sy="1000" algn="ctr" rotWithShape="0">
                <a:srgbClr val="000000">
                  <a:alpha val="43137"/>
                </a:srgbClr>
              </a:outerShdw>
            </a:effectLst>
            <a:sp3d contourW="3175">
              <a:contourClr>
                <a:srgbClr val="000000"/>
              </a:contourClr>
            </a:sp3d>
          </c:spPr>
          <c:invertIfNegative val="0"/>
          <c:dLbls>
            <c:dLbl>
              <c:idx val="0"/>
              <c:layout>
                <c:manualLayout>
                  <c:x val="-4.3389993140221447E-3"/>
                  <c:y val="-2.3051430280075749E-2"/>
                </c:manualLayout>
              </c:layout>
              <c:showLegendKey val="0"/>
              <c:showVal val="1"/>
              <c:showCatName val="0"/>
              <c:showSerName val="0"/>
              <c:showPercent val="0"/>
              <c:showBubbleSize val="0"/>
              <c:extLst>
                <c:ext xmlns:c15="http://schemas.microsoft.com/office/drawing/2012/chart" uri="{CE6537A1-D6FC-4f65-9D91-7224C49458BB}">
                  <c15:layout>
                    <c:manualLayout>
                      <c:w val="7.2688401924104751E-2"/>
                      <c:h val="4.6007840792052883E-2"/>
                    </c:manualLayout>
                  </c15:layout>
                </c:ext>
              </c:extLst>
            </c:dLbl>
            <c:dLbl>
              <c:idx val="1"/>
              <c:layout>
                <c:manualLayout>
                  <c:x val="6.0065567699281166E-3"/>
                  <c:y val="-2.6380278414565344E-2"/>
                </c:manualLayout>
              </c:layout>
              <c:showLegendKey val="0"/>
              <c:showVal val="1"/>
              <c:showCatName val="0"/>
              <c:showSerName val="0"/>
              <c:showPercent val="0"/>
              <c:showBubbleSize val="0"/>
              <c:extLst>
                <c:ext xmlns:c15="http://schemas.microsoft.com/office/drawing/2012/chart" uri="{CE6537A1-D6FC-4f65-9D91-7224C49458BB}">
                  <c15:layout>
                    <c:manualLayout>
                      <c:w val="6.4136825227151251E-2"/>
                      <c:h val="4.1252302025782686E-2"/>
                    </c:manualLayout>
                  </c15:layout>
                </c:ext>
              </c:extLst>
            </c:dLbl>
            <c:dLbl>
              <c:idx val="2"/>
              <c:layout>
                <c:manualLayout>
                  <c:x val="2.4972960688838821E-3"/>
                  <c:y val="-3.1342237283630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455017949052466E-3"/>
                  <c:y val="-2.30954516761354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37894174238375E-3"/>
                  <c:y val="-2.83717067012193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677709500843434E-16"/>
                  <c:y val="-2.73487491278780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5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2019 год</c:v>
                </c:pt>
                <c:pt idx="1">
                  <c:v>2020 год</c:v>
                </c:pt>
                <c:pt idx="2">
                  <c:v>2021 год (оценка)</c:v>
                </c:pt>
                <c:pt idx="3">
                  <c:v>2022 год</c:v>
                </c:pt>
                <c:pt idx="4">
                  <c:v>2023 год</c:v>
                </c:pt>
                <c:pt idx="5">
                  <c:v>2024 год</c:v>
                </c:pt>
              </c:strCache>
            </c:strRef>
          </c:cat>
          <c:val>
            <c:numRef>
              <c:f>Лист1!$C$2:$C$7</c:f>
              <c:numCache>
                <c:formatCode>#\ ##0.0</c:formatCode>
                <c:ptCount val="6"/>
                <c:pt idx="0">
                  <c:v>916.7</c:v>
                </c:pt>
                <c:pt idx="1">
                  <c:v>1548.8</c:v>
                </c:pt>
                <c:pt idx="2">
                  <c:v>2371.9</c:v>
                </c:pt>
                <c:pt idx="3">
                  <c:v>1363.2</c:v>
                </c:pt>
                <c:pt idx="4">
                  <c:v>1301.7</c:v>
                </c:pt>
                <c:pt idx="5">
                  <c:v>1317.9</c:v>
                </c:pt>
              </c:numCache>
            </c:numRef>
          </c:val>
        </c:ser>
        <c:ser>
          <c:idx val="2"/>
          <c:order val="2"/>
          <c:tx>
            <c:strRef>
              <c:f>Лист1!$D$1</c:f>
              <c:strCache>
                <c:ptCount val="1"/>
                <c:pt idx="0">
                  <c:v>Налоговые доходы</c:v>
                </c:pt>
              </c:strCache>
            </c:strRef>
          </c:tx>
          <c:spPr>
            <a:solidFill>
              <a:srgbClr val="F09252"/>
            </a:solidFill>
            <a:ln>
              <a:noFill/>
            </a:ln>
            <a:effectLst/>
            <a:scene3d>
              <a:camera prst="orthographicFront"/>
              <a:lightRig rig="threePt" dir="t"/>
            </a:scene3d>
            <a:sp3d prstMaterial="matte">
              <a:bevelT/>
              <a:bevelB/>
            </a:sp3d>
          </c:spPr>
          <c:invertIfNegative val="0"/>
          <c:dLbls>
            <c:dLbl>
              <c:idx val="0"/>
              <c:layout>
                <c:manualLayout>
                  <c:x val="6.9639798499265626E-3"/>
                  <c:y val="-0.10266038738828533"/>
                </c:manualLayout>
              </c:layout>
              <c:showLegendKey val="0"/>
              <c:showVal val="1"/>
              <c:showCatName val="0"/>
              <c:showSerName val="0"/>
              <c:showPercent val="0"/>
              <c:showBubbleSize val="0"/>
              <c:extLst>
                <c:ext xmlns:c15="http://schemas.microsoft.com/office/drawing/2012/chart" uri="{CE6537A1-D6FC-4f65-9D91-7224C49458BB}">
                  <c15:layout>
                    <c:manualLayout>
                      <c:w val="8.0171031533939077E-2"/>
                      <c:h val="4.1495930655726848E-2"/>
                    </c:manualLayout>
                  </c15:layout>
                </c:ext>
              </c:extLst>
            </c:dLbl>
            <c:dLbl>
              <c:idx val="1"/>
              <c:layout>
                <c:manualLayout>
                  <c:x val="8.6204269896514134E-3"/>
                  <c:y val="-2.19807122140905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448322300172126E-3"/>
                  <c:y val="-6.4691918637323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069380557788376E-3"/>
                  <c:y val="-0.225473958905259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515766969535001E-3"/>
                  <c:y val="-0.2494646992655330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27365045430252E-2"/>
                  <c:y val="-0.25430680885972107"/>
                </c:manualLayout>
              </c:layout>
              <c:showLegendKey val="0"/>
              <c:showVal val="1"/>
              <c:showCatName val="0"/>
              <c:showSerName val="0"/>
              <c:showPercent val="0"/>
              <c:showBubbleSize val="0"/>
              <c:extLst>
                <c:ext xmlns:c15="http://schemas.microsoft.com/office/drawing/2012/chart" uri="{CE6537A1-D6FC-4f65-9D91-7224C49458BB}"/>
              </c:extLst>
            </c:dLbl>
            <c:spPr>
              <a:noFill/>
              <a:ln w="38100">
                <a:noFill/>
              </a:ln>
              <a:effectLst/>
            </c:spPr>
            <c:txPr>
              <a:bodyPr rot="0" spcFirstLastPara="1" vertOverflow="ellipsis" vert="horz" wrap="square" anchor="ctr" anchorCtr="1"/>
              <a:lstStyle/>
              <a:p>
                <a:pPr>
                  <a:defRPr sz="9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c:v>
                </c:pt>
                <c:pt idx="1">
                  <c:v>2020 год</c:v>
                </c:pt>
                <c:pt idx="2">
                  <c:v>2021 год (оценка)</c:v>
                </c:pt>
                <c:pt idx="3">
                  <c:v>2022 год</c:v>
                </c:pt>
                <c:pt idx="4">
                  <c:v>2023 год</c:v>
                </c:pt>
                <c:pt idx="5">
                  <c:v>2024 год</c:v>
                </c:pt>
              </c:strCache>
            </c:strRef>
          </c:cat>
          <c:val>
            <c:numRef>
              <c:f>Лист1!$D$2:$D$7</c:f>
              <c:numCache>
                <c:formatCode>#\ ##0.0</c:formatCode>
                <c:ptCount val="6"/>
                <c:pt idx="0">
                  <c:v>64375.4</c:v>
                </c:pt>
                <c:pt idx="1">
                  <c:v>63440.1</c:v>
                </c:pt>
                <c:pt idx="2">
                  <c:v>72970.899999999994</c:v>
                </c:pt>
                <c:pt idx="3">
                  <c:v>78174.100000000006</c:v>
                </c:pt>
                <c:pt idx="4">
                  <c:v>83200.600000000006</c:v>
                </c:pt>
                <c:pt idx="5">
                  <c:v>88465.4</c:v>
                </c:pt>
              </c:numCache>
            </c:numRef>
          </c:val>
        </c:ser>
        <c:dLbls>
          <c:showLegendKey val="0"/>
          <c:showVal val="0"/>
          <c:showCatName val="0"/>
          <c:showSerName val="0"/>
          <c:showPercent val="0"/>
          <c:showBubbleSize val="0"/>
        </c:dLbls>
        <c:gapWidth val="98"/>
        <c:gapDepth val="64"/>
        <c:shape val="cylinder"/>
        <c:axId val="548530128"/>
        <c:axId val="548531304"/>
        <c:axId val="0"/>
      </c:bar3DChart>
      <c:catAx>
        <c:axId val="54853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548531304"/>
        <c:crosses val="autoZero"/>
        <c:auto val="1"/>
        <c:lblAlgn val="ctr"/>
        <c:lblOffset val="100"/>
        <c:noMultiLvlLbl val="0"/>
      </c:catAx>
      <c:valAx>
        <c:axId val="548531304"/>
        <c:scaling>
          <c:orientation val="minMax"/>
          <c:max val="100000"/>
        </c:scaling>
        <c:delete val="1"/>
        <c:axPos val="l"/>
        <c:numFmt formatCode="#\ ##0.0" sourceLinked="1"/>
        <c:majorTickMark val="none"/>
        <c:minorTickMark val="none"/>
        <c:tickLblPos val="nextTo"/>
        <c:crossAx val="548530128"/>
        <c:crosses val="autoZero"/>
        <c:crossBetween val="between"/>
      </c:valAx>
      <c:spPr>
        <a:noFill/>
        <a:ln w="25400">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effectLst/>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12668048428701"/>
          <c:y val="1.1905662329843178E-2"/>
          <c:w val="0.76809380209596378"/>
          <c:h val="0.69738605254988295"/>
        </c:manualLayout>
      </c:layout>
      <c:barChart>
        <c:barDir val="col"/>
        <c:grouping val="stacked"/>
        <c:varyColors val="0"/>
        <c:ser>
          <c:idx val="0"/>
          <c:order val="0"/>
          <c:tx>
            <c:strRef>
              <c:f>Лист1!$B$1</c:f>
              <c:strCache>
                <c:ptCount val="1"/>
                <c:pt idx="0">
                  <c:v>Размер дефицита бюджета области (в млн. рублей)</c:v>
                </c:pt>
              </c:strCache>
            </c:strRef>
          </c:tx>
          <c:spPr>
            <a:gradFill flip="none" rotWithShape="1">
              <a:gsLst>
                <a:gs pos="50000">
                  <a:schemeClr val="accent2">
                    <a:lumMod val="20000"/>
                    <a:lumOff val="80000"/>
                  </a:schemeClr>
                </a:gs>
                <a:gs pos="0">
                  <a:srgbClr val="FF9999"/>
                </a:gs>
                <a:gs pos="100000">
                  <a:schemeClr val="accent1">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8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
(Законопроект)</c:v>
                </c:pt>
                <c:pt idx="2">
                  <c:v>2023 год
(Законопроект)</c:v>
                </c:pt>
                <c:pt idx="3">
                  <c:v>2024 год
(Законопроект)</c:v>
                </c:pt>
              </c:strCache>
            </c:strRef>
          </c:cat>
          <c:val>
            <c:numRef>
              <c:f>Лист1!$B$2:$B$5</c:f>
              <c:numCache>
                <c:formatCode>#\ ##0.0</c:formatCode>
                <c:ptCount val="4"/>
                <c:pt idx="0">
                  <c:v>644.70000000000005</c:v>
                </c:pt>
                <c:pt idx="1">
                  <c:v>3460.4</c:v>
                </c:pt>
                <c:pt idx="2">
                  <c:v>344.5</c:v>
                </c:pt>
                <c:pt idx="3">
                  <c:v>240.7</c:v>
                </c:pt>
              </c:numCache>
            </c:numRef>
          </c:val>
        </c:ser>
        <c:dLbls>
          <c:showLegendKey val="0"/>
          <c:showVal val="0"/>
          <c:showCatName val="0"/>
          <c:showSerName val="0"/>
          <c:showPercent val="0"/>
          <c:showBubbleSize val="0"/>
        </c:dLbls>
        <c:gapWidth val="48"/>
        <c:overlap val="100"/>
        <c:axId val="540219872"/>
        <c:axId val="535038256"/>
      </c:barChart>
      <c:lineChart>
        <c:grouping val="standard"/>
        <c:varyColors val="0"/>
        <c:ser>
          <c:idx val="1"/>
          <c:order val="1"/>
          <c:tx>
            <c:strRef>
              <c:f>Лист1!$C$1</c:f>
              <c:strCache>
                <c:ptCount val="1"/>
                <c:pt idx="0">
                  <c:v>Ограничение размера дефицита бюджета, установленное БК РФ (в %)</c:v>
                </c:pt>
              </c:strCache>
            </c:strRef>
          </c:tx>
          <c:spPr>
            <a:ln w="28575" cap="rnd">
              <a:solidFill>
                <a:srgbClr val="C00000"/>
              </a:solidFill>
              <a:prstDash val="dash"/>
              <a:round/>
            </a:ln>
            <a:effectLst/>
          </c:spPr>
          <c:marker>
            <c:symbol val="circle"/>
            <c:size val="5"/>
            <c:spPr>
              <a:solidFill>
                <a:srgbClr val="C00000"/>
              </a:solidFill>
              <a:ln w="9525">
                <a:solidFill>
                  <a:srgbClr val="C0000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(оценка)</c:v>
                </c:pt>
                <c:pt idx="1">
                  <c:v>2022 год
(Законопроект)</c:v>
                </c:pt>
                <c:pt idx="2">
                  <c:v>2023 год
(Законопроект)</c:v>
                </c:pt>
                <c:pt idx="3">
                  <c:v>2024 год
(Законопроект)</c:v>
                </c:pt>
              </c:strCache>
            </c:strRef>
          </c:cat>
          <c:val>
            <c:numRef>
              <c:f>Лист1!$C$2:$C$5</c:f>
              <c:numCache>
                <c:formatCode>0%</c:formatCode>
                <c:ptCount val="4"/>
                <c:pt idx="0">
                  <c:v>0.15</c:v>
                </c:pt>
                <c:pt idx="1">
                  <c:v>0.15</c:v>
                </c:pt>
                <c:pt idx="2">
                  <c:v>0.15</c:v>
                </c:pt>
                <c:pt idx="3">
                  <c:v>0.15</c:v>
                </c:pt>
              </c:numCache>
            </c:numRef>
          </c:val>
          <c:smooth val="0"/>
        </c:ser>
        <c:ser>
          <c:idx val="2"/>
          <c:order val="2"/>
          <c:tx>
            <c:strRef>
              <c:f>Лист1!$D$1</c:f>
              <c:strCache>
                <c:ptCount val="1"/>
                <c:pt idx="0">
                  <c:v>Ограничение размера дефицита бюджета области, установленное соглашением с Минфином России (в %)</c:v>
                </c:pt>
              </c:strCache>
            </c:strRef>
          </c:tx>
          <c:spPr>
            <a:ln w="28575" cap="rnd">
              <a:solidFill>
                <a:srgbClr val="7030A0"/>
              </a:solidFill>
              <a:prstDash val="dash"/>
              <a:round/>
            </a:ln>
            <a:effectLst/>
          </c:spPr>
          <c:marker>
            <c:symbol val="circle"/>
            <c:size val="5"/>
            <c:spPr>
              <a:solidFill>
                <a:srgbClr val="7030A0"/>
              </a:solidFill>
              <a:ln w="9525">
                <a:solidFill>
                  <a:srgbClr val="7030A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(оценка)</c:v>
                </c:pt>
                <c:pt idx="1">
                  <c:v>2022 год
(Законопроект)</c:v>
                </c:pt>
                <c:pt idx="2">
                  <c:v>2023 год
(Законопроект)</c:v>
                </c:pt>
                <c:pt idx="3">
                  <c:v>2024 год
(Законопроект)</c:v>
                </c:pt>
              </c:strCache>
            </c:strRef>
          </c:cat>
          <c:val>
            <c:numRef>
              <c:f>Лист1!$D$2:$D$5</c:f>
              <c:numCache>
                <c:formatCode>0%</c:formatCode>
                <c:ptCount val="4"/>
                <c:pt idx="0">
                  <c:v>0.1</c:v>
                </c:pt>
                <c:pt idx="1">
                  <c:v>0.1</c:v>
                </c:pt>
                <c:pt idx="2">
                  <c:v>0.1</c:v>
                </c:pt>
                <c:pt idx="3">
                  <c:v>0.1</c:v>
                </c:pt>
              </c:numCache>
            </c:numRef>
          </c:val>
          <c:smooth val="0"/>
        </c:ser>
        <c:ser>
          <c:idx val="3"/>
          <c:order val="3"/>
          <c:tx>
            <c:strRef>
              <c:f>Лист1!$E$1</c:f>
              <c:strCache>
                <c:ptCount val="1"/>
                <c:pt idx="0">
                  <c:v>Значение целевого показателя размера дефицита бюджета области, установленного госпрограммой "Управление государственными финансами Тульской области" (в %)</c:v>
                </c:pt>
              </c:strCache>
            </c:strRef>
          </c:tx>
          <c:spPr>
            <a:ln w="28575" cap="rnd">
              <a:solidFill>
                <a:srgbClr val="0070C0"/>
              </a:solidFill>
              <a:prstDash val="dash"/>
              <a:round/>
            </a:ln>
            <a:effectLst/>
          </c:spPr>
          <c:marker>
            <c:symbol val="circle"/>
            <c:size val="5"/>
            <c:spPr>
              <a:solidFill>
                <a:srgbClr val="0070C0"/>
              </a:solidFill>
              <a:ln w="9525">
                <a:solidFill>
                  <a:srgbClr val="0070C0"/>
                </a:solidFill>
              </a:ln>
              <a:effectLst/>
            </c:spPr>
          </c:marker>
          <c:dLbls>
            <c:dLbl>
              <c:idx val="1"/>
              <c:layout>
                <c:manualLayout>
                  <c:x val="-2.0742653439379203E-2"/>
                  <c:y val="2.3894862604540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8657353151168653E-3"/>
                  <c:y val="-9.557945041816009E-3"/>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8657353151169434E-3"/>
                  <c:y val="1.433691756272399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(оценка)</c:v>
                </c:pt>
                <c:pt idx="1">
                  <c:v>2022 год
(Законопроект)</c:v>
                </c:pt>
                <c:pt idx="2">
                  <c:v>2023 год
(Законопроект)</c:v>
                </c:pt>
                <c:pt idx="3">
                  <c:v>2024 год
(Законопроект)</c:v>
                </c:pt>
              </c:strCache>
            </c:strRef>
          </c:cat>
          <c:val>
            <c:numRef>
              <c:f>Лист1!$E$2:$E$5</c:f>
              <c:numCache>
                <c:formatCode>0.00%</c:formatCode>
                <c:ptCount val="4"/>
                <c:pt idx="0">
                  <c:v>5.6000000000000001E-2</c:v>
                </c:pt>
                <c:pt idx="1">
                  <c:v>3.3000000000000002E-2</c:v>
                </c:pt>
                <c:pt idx="2">
                  <c:v>3.8399999999999997E-2</c:v>
                </c:pt>
                <c:pt idx="3">
                  <c:v>0</c:v>
                </c:pt>
              </c:numCache>
            </c:numRef>
          </c:val>
          <c:smooth val="0"/>
        </c:ser>
        <c:ser>
          <c:idx val="4"/>
          <c:order val="4"/>
          <c:tx>
            <c:strRef>
              <c:f>Лист1!$F$1</c:f>
              <c:strCache>
                <c:ptCount val="1"/>
                <c:pt idx="0">
                  <c:v>Размер дефицита бюджета области (в %)</c:v>
                </c:pt>
              </c:strCache>
            </c:strRef>
          </c:tx>
          <c:spPr>
            <a:ln w="28575" cap="rnd">
              <a:solidFill>
                <a:srgbClr val="800000"/>
              </a:solidFill>
              <a:round/>
            </a:ln>
            <a:effectLst/>
          </c:spPr>
          <c:marker>
            <c:symbol val="circle"/>
            <c:size val="5"/>
            <c:spPr>
              <a:solidFill>
                <a:srgbClr val="800000"/>
              </a:solidFill>
              <a:ln w="9525">
                <a:solidFill>
                  <a:srgbClr val="800000"/>
                </a:solidFill>
              </a:ln>
              <a:effectLst/>
            </c:spPr>
          </c:marker>
          <c:dLbls>
            <c:dLbl>
              <c:idx val="1"/>
              <c:layout>
                <c:manualLayout>
                  <c:x val="-1.6096147655327824E-3"/>
                  <c:y val="-5.3763440860215058E-3"/>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386522159029938E-2"/>
                  <c:y val="-2.6881720430107548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solidFill>
                  <a:srgbClr val="8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8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2021 год
(оценка)</c:v>
                </c:pt>
                <c:pt idx="1">
                  <c:v>2022 год
(Законопроект)</c:v>
                </c:pt>
                <c:pt idx="2">
                  <c:v>2023 год
(Законопроект)</c:v>
                </c:pt>
                <c:pt idx="3">
                  <c:v>2024 год
(Законопроект)</c:v>
                </c:pt>
              </c:strCache>
            </c:strRef>
          </c:cat>
          <c:val>
            <c:numRef>
              <c:f>Лист1!$F$2:$F$5</c:f>
              <c:numCache>
                <c:formatCode>0.0%</c:formatCode>
                <c:ptCount val="4"/>
                <c:pt idx="0">
                  <c:v>8.9999999999999993E-3</c:v>
                </c:pt>
                <c:pt idx="1">
                  <c:v>4.3999999999999997E-2</c:v>
                </c:pt>
                <c:pt idx="2">
                  <c:v>4.0000000000000001E-3</c:v>
                </c:pt>
                <c:pt idx="3">
                  <c:v>3.0000000000000001E-3</c:v>
                </c:pt>
              </c:numCache>
            </c:numRef>
          </c:val>
          <c:smooth val="0"/>
        </c:ser>
        <c:dLbls>
          <c:showLegendKey val="0"/>
          <c:showVal val="0"/>
          <c:showCatName val="0"/>
          <c:showSerName val="0"/>
          <c:showPercent val="0"/>
          <c:showBubbleSize val="0"/>
        </c:dLbls>
        <c:marker val="1"/>
        <c:smooth val="0"/>
        <c:axId val="552157648"/>
        <c:axId val="552157256"/>
      </c:lineChart>
      <c:catAx>
        <c:axId val="5402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5038256"/>
        <c:crosses val="autoZero"/>
        <c:auto val="1"/>
        <c:lblAlgn val="ctr"/>
        <c:lblOffset val="300"/>
        <c:noMultiLvlLbl val="0"/>
      </c:catAx>
      <c:valAx>
        <c:axId val="535038256"/>
        <c:scaling>
          <c:orientation val="minMax"/>
          <c:max val="5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рублей</a:t>
                </a:r>
              </a:p>
            </c:rich>
          </c:tx>
          <c:layout>
            <c:manualLayout>
              <c:xMode val="edge"/>
              <c:yMode val="edge"/>
              <c:x val="2.4680759738169338E-2"/>
              <c:y val="2.0708221163802023E-2"/>
            </c:manualLayout>
          </c:layout>
          <c:overlay val="0"/>
          <c:spPr>
            <a:noFill/>
            <a:ln>
              <a:noFill/>
            </a:ln>
            <a:effectLst/>
          </c:spPr>
        </c:title>
        <c:numFmt formatCode="#\ ##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0219872"/>
        <c:crosses val="autoZero"/>
        <c:crossBetween val="between"/>
      </c:valAx>
      <c:valAx>
        <c:axId val="552157256"/>
        <c:scaling>
          <c:orientation val="minMax"/>
          <c:max val="0.30000000000000004"/>
          <c:min val="-1"/>
        </c:scaling>
        <c:delete val="0"/>
        <c:axPos val="r"/>
        <c:numFmt formatCode="0%" sourceLinked="1"/>
        <c:majorTickMark val="out"/>
        <c:minorTickMark val="out"/>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157648"/>
        <c:crosses val="max"/>
        <c:crossBetween val="between"/>
        <c:majorUnit val="0.1"/>
        <c:minorUnit val="5.0000000000000024E-2"/>
      </c:valAx>
      <c:catAx>
        <c:axId val="552157648"/>
        <c:scaling>
          <c:orientation val="minMax"/>
        </c:scaling>
        <c:delete val="1"/>
        <c:axPos val="b"/>
        <c:numFmt formatCode="General" sourceLinked="1"/>
        <c:majorTickMark val="out"/>
        <c:minorTickMark val="none"/>
        <c:tickLblPos val="nextTo"/>
        <c:crossAx val="552157256"/>
        <c:crosses val="autoZero"/>
        <c:auto val="1"/>
        <c:lblAlgn val="ctr"/>
        <c:lblOffset val="100"/>
        <c:noMultiLvlLbl val="0"/>
      </c:catAx>
      <c:spPr>
        <a:noFill/>
        <a:ln w="25400">
          <a:noFill/>
        </a:ln>
        <a:effectLst/>
      </c:spPr>
    </c:plotArea>
    <c:legend>
      <c:legendPos val="b"/>
      <c:layout>
        <c:manualLayout>
          <c:xMode val="edge"/>
          <c:yMode val="edge"/>
          <c:x val="2.012010007494637E-2"/>
          <c:y val="0.77939246841456666"/>
          <c:w val="0.9769288550273636"/>
          <c:h val="0.220607531585433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43644604552706"/>
          <c:y val="9.4569270022114189E-3"/>
          <c:w val="0.80706820109024835"/>
          <c:h val="0.68627472110309695"/>
        </c:manualLayout>
      </c:layout>
      <c:barChart>
        <c:barDir val="col"/>
        <c:grouping val="stacked"/>
        <c:varyColors val="0"/>
        <c:ser>
          <c:idx val="0"/>
          <c:order val="0"/>
          <c:tx>
            <c:strRef>
              <c:f>Лист1!$B$1</c:f>
              <c:strCache>
                <c:ptCount val="1"/>
                <c:pt idx="0">
                  <c:v>Объем (верхний предел) государственного долга области по коммерческим кредитам</c:v>
                </c:pt>
              </c:strCache>
            </c:strRef>
          </c:tx>
          <c:spPr>
            <a:gradFill flip="none" rotWithShape="1">
              <a:gsLst>
                <a:gs pos="0">
                  <a:srgbClr val="CC99FF"/>
                </a:gs>
                <a:gs pos="100000">
                  <a:schemeClr val="accent2">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Лист1!$B$2:$B$7</c:f>
              <c:numCache>
                <c:formatCode>#\ ##0.0</c:formatCode>
                <c:ptCount val="6"/>
                <c:pt idx="0">
                  <c:v>7200000</c:v>
                </c:pt>
                <c:pt idx="1">
                  <c:v>5000000</c:v>
                </c:pt>
                <c:pt idx="2">
                  <c:v>11115865.4</c:v>
                </c:pt>
                <c:pt idx="3">
                  <c:v>13664489.199999999</c:v>
                </c:pt>
                <c:pt idx="4">
                  <c:v>14453212.800000001</c:v>
                </c:pt>
                <c:pt idx="5">
                  <c:v>15154033.199999999</c:v>
                </c:pt>
              </c:numCache>
            </c:numRef>
          </c:val>
        </c:ser>
        <c:ser>
          <c:idx val="1"/>
          <c:order val="1"/>
          <c:tx>
            <c:strRef>
              <c:f>Лист1!$C$1</c:f>
              <c:strCache>
                <c:ptCount val="1"/>
                <c:pt idx="0">
                  <c:v>Объем (верхний предел) государственного долга области по бюджетным кредитам</c:v>
                </c:pt>
              </c:strCache>
            </c:strRef>
          </c:tx>
          <c:spPr>
            <a:gradFill>
              <a:gsLst>
                <a:gs pos="0">
                  <a:schemeClr val="accent4"/>
                </a:gs>
                <a:gs pos="100000">
                  <a:schemeClr val="accent2">
                    <a:lumMod val="20000"/>
                    <a:lumOff val="80000"/>
                  </a:schemeClr>
                </a:gs>
              </a:gsLst>
              <a:lin ang="5400000" scaled="1"/>
            </a:gradFill>
            <a:ln>
              <a:noFill/>
            </a:ln>
            <a:effectLst/>
          </c:spPr>
          <c:invertIfNegative val="0"/>
          <c:dLbls>
            <c:dLbl>
              <c:idx val="2"/>
              <c:dLblPos val="ctr"/>
              <c:showLegendKey val="0"/>
              <c:showVal val="1"/>
              <c:showCatName val="0"/>
              <c:showSerName val="0"/>
              <c:showPercent val="0"/>
              <c:showBubbleSize val="0"/>
              <c:extLst>
                <c:ext xmlns:c15="http://schemas.microsoft.com/office/drawing/2012/chart" uri="{CE6537A1-D6FC-4f65-9D91-7224C49458BB}"/>
              </c:extLst>
            </c:dLbl>
            <c:dLbl>
              <c:idx val="3"/>
              <c:dLblPos val="ctr"/>
              <c:showLegendKey val="0"/>
              <c:showVal val="1"/>
              <c:showCatName val="0"/>
              <c:showSerName val="0"/>
              <c:showPercent val="0"/>
              <c:showBubbleSize val="0"/>
              <c:extLst>
                <c:ext xmlns:c15="http://schemas.microsoft.com/office/drawing/2012/chart" uri="{CE6537A1-D6FC-4f65-9D91-7224C49458BB}"/>
              </c:extLst>
            </c:dLbl>
            <c:dLbl>
              <c:idx val="4"/>
              <c:dLblPos val="ctr"/>
              <c:showLegendKey val="0"/>
              <c:showVal val="1"/>
              <c:showCatName val="0"/>
              <c:showSerName val="0"/>
              <c:showPercent val="0"/>
              <c:showBubbleSize val="0"/>
              <c:extLst>
                <c:ext xmlns:c15="http://schemas.microsoft.com/office/drawing/2012/chart" uri="{CE6537A1-D6FC-4f65-9D91-7224C49458BB}"/>
              </c:extLst>
            </c:dLbl>
            <c:dLbl>
              <c:idx val="5"/>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lumMod val="50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Лист1!$C$2:$C$7</c:f>
              <c:numCache>
                <c:formatCode>#\ ##0.0</c:formatCode>
                <c:ptCount val="6"/>
                <c:pt idx="0">
                  <c:v>8753756.4000000004</c:v>
                </c:pt>
                <c:pt idx="1">
                  <c:v>11513337.4</c:v>
                </c:pt>
                <c:pt idx="2">
                  <c:v>10889038.6</c:v>
                </c:pt>
                <c:pt idx="3">
                  <c:v>10264739.699999999</c:v>
                </c:pt>
                <c:pt idx="4">
                  <c:v>9640440.8000000007</c:v>
                </c:pt>
                <c:pt idx="5">
                  <c:v>9016142</c:v>
                </c:pt>
              </c:numCache>
            </c:numRef>
          </c:val>
        </c:ser>
        <c:ser>
          <c:idx val="2"/>
          <c:order val="2"/>
          <c:tx>
            <c:strRef>
              <c:f>Лист1!$D$1</c:f>
              <c:strCache>
                <c:ptCount val="1"/>
                <c:pt idx="0">
                  <c:v>Объем (верхний предел) государственного долга области по государственным гарантиям</c:v>
                </c:pt>
              </c:strCache>
            </c:strRef>
          </c:tx>
          <c:spPr>
            <a:gradFill>
              <a:gsLst>
                <a:gs pos="0">
                  <a:schemeClr val="accent6"/>
                </a:gs>
                <a:gs pos="100000">
                  <a:schemeClr val="accent2">
                    <a:lumMod val="20000"/>
                    <a:lumOff val="80000"/>
                  </a:schemeClr>
                </a:gs>
              </a:gsLst>
              <a:lin ang="5400000" scaled="1"/>
            </a:gradFill>
            <a:ln w="28575" cap="rnd">
              <a:noFill/>
              <a:prstDash val="dash"/>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Лист1!$D$2:$D$7</c:f>
              <c:numCache>
                <c:formatCode>General</c:formatCode>
                <c:ptCount val="6"/>
                <c:pt idx="2" formatCode="#\ ##0.0">
                  <c:v>4000000</c:v>
                </c:pt>
                <c:pt idx="3" formatCode="#\ ##0.0">
                  <c:v>4000000</c:v>
                </c:pt>
                <c:pt idx="4" formatCode="#\ ##0.0">
                  <c:v>4000000</c:v>
                </c:pt>
                <c:pt idx="5" formatCode="#\ ##0.0">
                  <c:v>4000000</c:v>
                </c:pt>
              </c:numCache>
            </c:numRef>
          </c:val>
        </c:ser>
        <c:dLbls>
          <c:showLegendKey val="0"/>
          <c:showVal val="0"/>
          <c:showCatName val="0"/>
          <c:showSerName val="0"/>
          <c:showPercent val="0"/>
          <c:showBubbleSize val="0"/>
        </c:dLbls>
        <c:gapWidth val="50"/>
        <c:overlap val="100"/>
        <c:axId val="552158432"/>
        <c:axId val="552158824"/>
      </c:barChart>
      <c:lineChart>
        <c:grouping val="standard"/>
        <c:varyColors val="0"/>
        <c:ser>
          <c:idx val="3"/>
          <c:order val="3"/>
          <c:tx>
            <c:strRef>
              <c:f>Лист1!$E$1</c:f>
              <c:strCache>
                <c:ptCount val="1"/>
                <c:pt idx="0">
                  <c:v>Предельная* долговая нагрузка</c:v>
                </c:pt>
              </c:strCache>
            </c:strRef>
          </c:tx>
          <c:spPr>
            <a:ln w="28575" cap="rnd">
              <a:solidFill>
                <a:srgbClr val="C00000"/>
              </a:solidFill>
              <a:prstDash val="dash"/>
              <a:round/>
            </a:ln>
            <a:effectLst/>
          </c:spPr>
          <c:marker>
            <c:symbol val="circle"/>
            <c:size val="5"/>
            <c:spPr>
              <a:solidFill>
                <a:srgbClr val="C00000"/>
              </a:solidFill>
              <a:ln w="9525">
                <a:solidFill>
                  <a:srgbClr val="C00000"/>
                </a:solidFill>
              </a:ln>
              <a:effectLst/>
            </c:spPr>
          </c:marker>
          <c:dLbls>
            <c:dLbl>
              <c:idx val="2"/>
              <c:layout>
                <c:manualLayout>
                  <c:x val="-2.7107107107107106E-2"/>
                  <c:y val="-1.70683680092088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9109109109109035E-2"/>
                  <c:y val="-1.39579481025214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1111111111111259E-2"/>
                  <c:y val="-1.24416796267496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solidFill>
                      <a:srgbClr val="C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Лист1!$E$2:$E$7</c:f>
              <c:numCache>
                <c:formatCode>0.0%</c:formatCode>
                <c:ptCount val="6"/>
                <c:pt idx="0">
                  <c:v>0.36</c:v>
                </c:pt>
                <c:pt idx="1">
                  <c:v>0.36</c:v>
                </c:pt>
                <c:pt idx="2">
                  <c:v>0.33</c:v>
                </c:pt>
                <c:pt idx="3">
                  <c:v>0.31</c:v>
                </c:pt>
                <c:pt idx="4">
                  <c:v>0.28999999999999998</c:v>
                </c:pt>
                <c:pt idx="5">
                  <c:v>0.27</c:v>
                </c:pt>
              </c:numCache>
            </c:numRef>
          </c:val>
          <c:smooth val="0"/>
        </c:ser>
        <c:ser>
          <c:idx val="4"/>
          <c:order val="4"/>
          <c:tx>
            <c:strRef>
              <c:f>Лист1!$F$1</c:f>
              <c:strCache>
                <c:ptCount val="1"/>
                <c:pt idx="0">
                  <c:v>Долговая нагрузка**</c:v>
                </c:pt>
              </c:strCache>
            </c:strRef>
          </c:tx>
          <c:spPr>
            <a:ln w="28575" cap="rnd">
              <a:solidFill>
                <a:srgbClr val="C00000"/>
              </a:solidFill>
              <a:prstDash val="solid"/>
              <a:round/>
            </a:ln>
            <a:effectLst/>
          </c:spPr>
          <c:marker>
            <c:symbol val="circle"/>
            <c:size val="5"/>
            <c:spPr>
              <a:solidFill>
                <a:srgbClr val="C00000"/>
              </a:solidFill>
              <a:ln w="9525">
                <a:solidFill>
                  <a:srgbClr val="C00000"/>
                </a:solidFill>
              </a:ln>
              <a:effectLst/>
            </c:spPr>
          </c:marker>
          <c:dLbls>
            <c:dLbl>
              <c:idx val="2"/>
              <c:layout>
                <c:manualLayout>
                  <c:x val="-5.6707100801589722E-3"/>
                  <c:y val="3.732503888024883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6667060761549684E-3"/>
                  <c:y val="5.2877138413685281E-3"/>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6667060761548951E-3"/>
                  <c:y val="6.8429237947122863E-3"/>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696736106184925E-2"/>
                  <c:y val="1.7729393468118197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solidFill>
                  <a:srgbClr val="C00000"/>
                </a:solidFill>
              </a:ln>
              <a:effectLst/>
            </c:spPr>
            <c:txPr>
              <a:bodyPr wrap="square" lIns="38100" tIns="19050" rIns="38100" bIns="19050" anchor="ctr">
                <a:spAutoFit/>
              </a:bodyPr>
              <a:lstStyle/>
              <a:p>
                <a:pPr>
                  <a:defRPr sz="800">
                    <a:solidFill>
                      <a:srgbClr val="C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Лист1!$F$2:$F$7</c:f>
              <c:numCache>
                <c:formatCode>0.0%</c:formatCode>
                <c:ptCount val="6"/>
                <c:pt idx="0">
                  <c:v>0.24399999999999999</c:v>
                </c:pt>
                <c:pt idx="1">
                  <c:v>0.254</c:v>
                </c:pt>
                <c:pt idx="2">
                  <c:v>0.29206364761066067</c:v>
                </c:pt>
                <c:pt idx="3">
                  <c:v>0.30085547736518575</c:v>
                </c:pt>
                <c:pt idx="4">
                  <c:v>0.28512417544051383</c:v>
                </c:pt>
                <c:pt idx="5">
                  <c:v>0.26920585431145216</c:v>
                </c:pt>
              </c:numCache>
            </c:numRef>
          </c:val>
          <c:smooth val="0"/>
        </c:ser>
        <c:ser>
          <c:idx val="5"/>
          <c:order val="5"/>
          <c:tx>
            <c:strRef>
              <c:f>Лист1!$G$1</c:f>
              <c:strCache>
                <c:ptCount val="1"/>
                <c:pt idx="0">
                  <c:v>Предельное* отношение долга по государственным ценным бумагам и коммерческим кредитам к объему налоговых и неналоговых доходов</c:v>
                </c:pt>
              </c:strCache>
            </c:strRef>
          </c:tx>
          <c:spPr>
            <a:ln w="28575" cap="rnd">
              <a:solidFill>
                <a:srgbClr val="7030A0"/>
              </a:solidFill>
              <a:prstDash val="dash"/>
              <a:round/>
            </a:ln>
            <a:effectLst/>
          </c:spPr>
          <c:marker>
            <c:symbol val="circle"/>
            <c:size val="5"/>
            <c:spPr>
              <a:solidFill>
                <a:srgbClr val="7030A0"/>
              </a:solidFill>
              <a:ln w="9525">
                <a:solidFill>
                  <a:srgbClr val="7030A0"/>
                </a:solidFill>
              </a:ln>
              <a:effectLst/>
            </c:spPr>
          </c:marker>
          <c:dLbls>
            <c:dLbl>
              <c:idx val="5"/>
              <c:layout>
                <c:manualLayout>
                  <c:x val="-3.0830830830830833E-3"/>
                  <c:y val="-6.181898335802949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a:solidFill>
                      <a:srgbClr val="7030A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Лист1!$G$2:$G$7</c:f>
              <c:numCache>
                <c:formatCode>0.0%</c:formatCode>
                <c:ptCount val="6"/>
                <c:pt idx="0">
                  <c:v>0.21</c:v>
                </c:pt>
                <c:pt idx="1">
                  <c:v>0.23</c:v>
                </c:pt>
                <c:pt idx="2">
                  <c:v>0.24</c:v>
                </c:pt>
                <c:pt idx="3">
                  <c:v>0.25</c:v>
                </c:pt>
                <c:pt idx="4">
                  <c:v>0.26</c:v>
                </c:pt>
                <c:pt idx="5">
                  <c:v>0.27</c:v>
                </c:pt>
              </c:numCache>
            </c:numRef>
          </c:val>
          <c:smooth val="0"/>
        </c:ser>
        <c:ser>
          <c:idx val="6"/>
          <c:order val="6"/>
          <c:tx>
            <c:strRef>
              <c:f>Лист1!$H$1</c:f>
              <c:strCache>
                <c:ptCount val="1"/>
                <c:pt idx="0">
                  <c:v>Отношение долга по государственным ценным бумагам и коммерческим кредитам к объему налоговых и неналоговых доходов</c:v>
                </c:pt>
              </c:strCache>
            </c:strRef>
          </c:tx>
          <c:spPr>
            <a:ln w="28575">
              <a:solidFill>
                <a:srgbClr val="7030A0"/>
              </a:solidFill>
            </a:ln>
          </c:spPr>
          <c:marker>
            <c:symbol val="circle"/>
            <c:size val="5"/>
            <c:spPr>
              <a:solidFill>
                <a:srgbClr val="7030A0"/>
              </a:solidFill>
              <a:ln>
                <a:solidFill>
                  <a:srgbClr val="7030A0"/>
                </a:solidFill>
              </a:ln>
            </c:spPr>
          </c:marker>
          <c:dLbls>
            <c:spPr>
              <a:solidFill>
                <a:srgbClr val="CCCCFF"/>
              </a:solidFill>
              <a:ln>
                <a:solidFill>
                  <a:srgbClr val="7030A0"/>
                </a:solidFill>
              </a:ln>
              <a:effectLst/>
            </c:spPr>
            <c:txPr>
              <a:bodyPr wrap="square" lIns="38100" tIns="19050" rIns="38100" bIns="19050" anchor="ctr">
                <a:spAutoFit/>
              </a:bodyPr>
              <a:lstStyle/>
              <a:p>
                <a:pPr>
                  <a:defRPr sz="800">
                    <a:solidFill>
                      <a:srgbClr val="7030A0"/>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На 01.01.2020
(факт)</c:v>
                </c:pt>
                <c:pt idx="1">
                  <c:v>На 01.01.2021
(факт)</c:v>
                </c:pt>
                <c:pt idx="2">
                  <c:v>На 01.01.2022
(оценка)</c:v>
                </c:pt>
                <c:pt idx="3">
                  <c:v>На 01.01.2023
(Законопроект)</c:v>
                </c:pt>
                <c:pt idx="4">
                  <c:v>На 01.01.2024
(Законопроект)</c:v>
                </c:pt>
                <c:pt idx="5">
                  <c:v>На 01.01.2025
(Законопроект)</c:v>
                </c:pt>
              </c:strCache>
            </c:strRef>
          </c:cat>
          <c:val>
            <c:numRef>
              <c:f>Лист1!$H$2:$H$7</c:f>
              <c:numCache>
                <c:formatCode>0.0%</c:formatCode>
                <c:ptCount val="6"/>
                <c:pt idx="0">
                  <c:v>0.11</c:v>
                </c:pt>
                <c:pt idx="1">
                  <c:v>7.6999999999999999E-2</c:v>
                </c:pt>
                <c:pt idx="2">
                  <c:v>0.1475371215013315</c:v>
                </c:pt>
                <c:pt idx="3">
                  <c:v>0.17179978671261845</c:v>
                </c:pt>
                <c:pt idx="4">
                  <c:v>0.17103924753306324</c:v>
                </c:pt>
                <c:pt idx="5">
                  <c:v>0.16878464554407158</c:v>
                </c:pt>
              </c:numCache>
            </c:numRef>
          </c:val>
          <c:smooth val="0"/>
        </c:ser>
        <c:dLbls>
          <c:showLegendKey val="0"/>
          <c:showVal val="0"/>
          <c:showCatName val="0"/>
          <c:showSerName val="0"/>
          <c:showPercent val="0"/>
          <c:showBubbleSize val="0"/>
        </c:dLbls>
        <c:marker val="1"/>
        <c:smooth val="0"/>
        <c:axId val="552159608"/>
        <c:axId val="552159216"/>
      </c:lineChart>
      <c:catAx>
        <c:axId val="55215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158824"/>
        <c:crosses val="autoZero"/>
        <c:auto val="1"/>
        <c:lblAlgn val="ctr"/>
        <c:lblOffset val="100"/>
        <c:noMultiLvlLbl val="0"/>
      </c:catAx>
      <c:valAx>
        <c:axId val="552158824"/>
        <c:scaling>
          <c:orientation val="minMax"/>
          <c:max val="30000000"/>
          <c:min val="0"/>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158432"/>
        <c:crosses val="autoZero"/>
        <c:crossBetween val="between"/>
        <c:dispUnits>
          <c:builtInUnit val="thousands"/>
          <c:dispUnitsLbl>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800"/>
                    <a:t>млн. рублей</a:t>
                  </a:r>
                </a:p>
              </c:rich>
            </c:tx>
            <c:spPr>
              <a:noFill/>
              <a:ln>
                <a:noFill/>
              </a:ln>
              <a:effectLst/>
            </c:spPr>
          </c:dispUnitsLbl>
        </c:dispUnits>
      </c:valAx>
      <c:valAx>
        <c:axId val="552159216"/>
        <c:scaling>
          <c:orientation val="minMax"/>
          <c:max val="1.2"/>
          <c:min val="-0.30000000000000004"/>
        </c:scaling>
        <c:delete val="0"/>
        <c:axPos val="r"/>
        <c:numFmt formatCode="0.0%" sourceLinked="1"/>
        <c:majorTickMark val="out"/>
        <c:minorTickMark val="out"/>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2159608"/>
        <c:crosses val="max"/>
        <c:crossBetween val="between"/>
        <c:majorUnit val="0.1"/>
        <c:minorUnit val="5.0000000000000024E-2"/>
      </c:valAx>
      <c:catAx>
        <c:axId val="552159608"/>
        <c:scaling>
          <c:orientation val="minMax"/>
        </c:scaling>
        <c:delete val="1"/>
        <c:axPos val="b"/>
        <c:numFmt formatCode="General" sourceLinked="1"/>
        <c:majorTickMark val="out"/>
        <c:minorTickMark val="none"/>
        <c:tickLblPos val="nextTo"/>
        <c:crossAx val="552159216"/>
        <c:crosses val="autoZero"/>
        <c:auto val="1"/>
        <c:lblAlgn val="ctr"/>
        <c:lblOffset val="100"/>
        <c:noMultiLvlLbl val="0"/>
      </c:catAx>
      <c:spPr>
        <a:noFill/>
        <a:ln>
          <a:noFill/>
        </a:ln>
        <a:effectLst/>
      </c:spPr>
    </c:plotArea>
    <c:legend>
      <c:legendPos val="b"/>
      <c:layout>
        <c:manualLayout>
          <c:xMode val="edge"/>
          <c:yMode val="edge"/>
          <c:x val="2.226625309565675E-2"/>
          <c:y val="0.75389010666046219"/>
          <c:w val="0.95310759578476112"/>
          <c:h val="0.241444263479506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15885967754832364"/>
          <c:y val="2.7673548680430741E-3"/>
          <c:w val="0.81762348653505468"/>
          <c:h val="0.94696459792919585"/>
        </c:manualLayout>
      </c:layout>
      <c:bar3DChart>
        <c:barDir val="col"/>
        <c:grouping val="stacked"/>
        <c:varyColors val="0"/>
        <c:ser>
          <c:idx val="0"/>
          <c:order val="0"/>
          <c:tx>
            <c:strRef>
              <c:f>Лист1!$B$1</c:f>
              <c:strCache>
                <c:ptCount val="1"/>
                <c:pt idx="0">
                  <c:v>Другие налоговые поступления</c:v>
                </c:pt>
              </c:strCache>
            </c:strRef>
          </c:tx>
          <c:spPr>
            <a:solidFill>
              <a:srgbClr val="F8D680"/>
            </a:solidFill>
            <a:ln>
              <a:noFill/>
            </a:ln>
            <a:effectLst/>
            <a:scene3d>
              <a:camera prst="orthographicFront"/>
              <a:lightRig rig="threePt" dir="t"/>
            </a:scene3d>
            <a:sp3d>
              <a:bevelT w="0" h="0"/>
              <a:bevelB/>
            </a:sp3d>
          </c:spPr>
          <c:invertIfNegative val="0"/>
          <c:dLbls>
            <c:dLbl>
              <c:idx val="0"/>
              <c:layout>
                <c:manualLayout>
                  <c:x val="-3.6000286174810776E-2"/>
                  <c:y val="4.303425887553531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613083238993841E-2"/>
                  <c:y val="2.7876778560574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062423984815981E-2"/>
                  <c:y val="-3.804738223511696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658660786055032E-2"/>
                  <c:y val="-4.7820831606575492E-3"/>
                </c:manualLayout>
              </c:layout>
              <c:spPr>
                <a:noFill/>
                <a:ln w="28575">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7037711948219187E-2"/>
                      <c:h val="5.2907169498549525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Лист1!$B$2:$B$5</c:f>
              <c:numCache>
                <c:formatCode>#\ ##0.0</c:formatCode>
                <c:ptCount val="4"/>
                <c:pt idx="0">
                  <c:v>2072</c:v>
                </c:pt>
                <c:pt idx="1">
                  <c:v>2169.5</c:v>
                </c:pt>
                <c:pt idx="2">
                  <c:v>2224.3000000000002</c:v>
                </c:pt>
                <c:pt idx="3">
                  <c:v>2295.4</c:v>
                </c:pt>
              </c:numCache>
            </c:numRef>
          </c:val>
        </c:ser>
        <c:ser>
          <c:idx val="1"/>
          <c:order val="1"/>
          <c:tx>
            <c:strRef>
              <c:f>Лист1!$C$1</c:f>
              <c:strCache>
                <c:ptCount val="1"/>
                <c:pt idx="0">
                  <c:v>Налог на имущество организаций</c:v>
                </c:pt>
              </c:strCache>
            </c:strRef>
          </c:tx>
          <c:spPr>
            <a:solidFill>
              <a:srgbClr val="E6B18A"/>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3.1862567343555741E-2"/>
                  <c:y val="-9.050507200113609E-3"/>
                </c:manualLayout>
              </c:layout>
              <c:spPr>
                <a:noFill/>
                <a:ln>
                  <a:noFill/>
                </a:ln>
                <a:effectLst/>
              </c:spPr>
              <c:txPr>
                <a:bodyPr rot="0" spcFirstLastPara="1" vertOverflow="ellipsis" vert="horz" wrap="square" lIns="38100" tIns="19050" rIns="38100" bIns="19050" anchor="ctr" anchorCtr="1">
                  <a:noAutofit/>
                </a:bodyPr>
                <a:lstStyle/>
                <a:p>
                  <a:pPr>
                    <a:defRPr sz="8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694605608509456E-2"/>
                      <c:h val="4.7021824974580871E-2"/>
                    </c:manualLayout>
                  </c15:layout>
                </c:ext>
              </c:extLst>
            </c:dLbl>
            <c:dLbl>
              <c:idx val="1"/>
              <c:layout>
                <c:manualLayout>
                  <c:x val="-3.2829300933855755E-2"/>
                  <c:y val="-7.277248238707169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23575943607972E-2"/>
                  <c:y val="-2.745093050767686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795857952270611E-2"/>
                  <c:y val="-2.33752687214582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Лист1!$C$2:$C$5</c:f>
              <c:numCache>
                <c:formatCode>#\ ##0.0</c:formatCode>
                <c:ptCount val="4"/>
                <c:pt idx="0">
                  <c:v>4331.1000000000004</c:v>
                </c:pt>
                <c:pt idx="1">
                  <c:v>4480.8</c:v>
                </c:pt>
                <c:pt idx="2">
                  <c:v>4681.2</c:v>
                </c:pt>
                <c:pt idx="3">
                  <c:v>4892.8</c:v>
                </c:pt>
              </c:numCache>
            </c:numRef>
          </c:val>
        </c:ser>
        <c:ser>
          <c:idx val="2"/>
          <c:order val="2"/>
          <c:tx>
            <c:strRef>
              <c:f>Лист1!$D$1</c:f>
              <c:strCache>
                <c:ptCount val="1"/>
                <c:pt idx="0">
                  <c:v>Налоги на совокупный доход</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4.3727511078752793E-2"/>
                  <c:y val="-4.385964912280864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511848899699942E-2"/>
                  <c:y val="-1.1645988770569789E-3"/>
                </c:manualLayout>
              </c:layout>
              <c:spPr>
                <a:noFill/>
                <a:ln>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17770929635336E-2"/>
                      <c:h val="2.8745372902700565E-2"/>
                    </c:manualLayout>
                  </c15:layout>
                </c:ext>
              </c:extLst>
            </c:dLbl>
            <c:dLbl>
              <c:idx val="2"/>
              <c:layout>
                <c:manualLayout>
                  <c:x val="-2.376715470694437E-2"/>
                  <c:y val="-1.998204171847021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738225800342577E-2"/>
                  <c:y val="-8.46007735875129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Лист1!$D$2:$D$5</c:f>
              <c:numCache>
                <c:formatCode>#\ ##0.0</c:formatCode>
                <c:ptCount val="4"/>
                <c:pt idx="0">
                  <c:v>2612.9</c:v>
                </c:pt>
                <c:pt idx="1">
                  <c:v>2629.4</c:v>
                </c:pt>
                <c:pt idx="2">
                  <c:v>2920.2</c:v>
                </c:pt>
                <c:pt idx="3">
                  <c:v>3305.9</c:v>
                </c:pt>
              </c:numCache>
            </c:numRef>
          </c:val>
        </c:ser>
        <c:ser>
          <c:idx val="3"/>
          <c:order val="3"/>
          <c:tx>
            <c:strRef>
              <c:f>Лист1!$E$1</c:f>
              <c:strCache>
                <c:ptCount val="1"/>
                <c:pt idx="0">
                  <c:v>Акцизы </c:v>
                </c:pt>
              </c:strCache>
            </c:strRef>
          </c:tx>
          <c:spPr>
            <a:solidFill>
              <a:srgbClr val="F1D1B9"/>
            </a:solidFill>
            <a:ln>
              <a:noFill/>
            </a:ln>
            <a:effectLst/>
            <a:scene3d>
              <a:camera prst="orthographicFront"/>
              <a:lightRig rig="threePt" dir="t"/>
            </a:scene3d>
            <a:sp3d>
              <a:bevelT/>
              <a:bevelB/>
            </a:sp3d>
          </c:spPr>
          <c:invertIfNegative val="0"/>
          <c:dLbls>
            <c:dLbl>
              <c:idx val="0"/>
              <c:layout>
                <c:manualLayout>
                  <c:x val="-3.7751507678322679E-3"/>
                  <c:y val="-2.00480364482741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687787489952318E-3"/>
                  <c:y val="-2.070791858564849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8343132014965265E-2"/>
                      <c:h val="6.1675580646758779E-2"/>
                    </c:manualLayout>
                  </c15:layout>
                </c:ext>
              </c:extLst>
            </c:dLbl>
            <c:dLbl>
              <c:idx val="2"/>
              <c:layout>
                <c:manualLayout>
                  <c:x val="-7.838854750421717E-17"/>
                  <c:y val="-2.451195958995703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0171031533939077E-2"/>
                      <c:h val="3.5676224434209876E-2"/>
                    </c:manualLayout>
                  </c15:layout>
                </c:ext>
              </c:extLst>
            </c:dLbl>
            <c:dLbl>
              <c:idx val="3"/>
              <c:layout>
                <c:manualLayout>
                  <c:x val="6.163363732392884E-3"/>
                  <c:y val="-1.49222502847521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Лист1!$E$2:$E$5</c:f>
              <c:numCache>
                <c:formatCode>#\ ##0.0</c:formatCode>
                <c:ptCount val="4"/>
                <c:pt idx="0">
                  <c:v>13808.2</c:v>
                </c:pt>
                <c:pt idx="1">
                  <c:v>15615.8</c:v>
                </c:pt>
                <c:pt idx="2">
                  <c:v>16290.9</c:v>
                </c:pt>
                <c:pt idx="3">
                  <c:v>17024.5</c:v>
                </c:pt>
              </c:numCache>
            </c:numRef>
          </c:val>
        </c:ser>
        <c:ser>
          <c:idx val="4"/>
          <c:order val="4"/>
          <c:tx>
            <c:strRef>
              <c:f>Лист1!$F$1</c:f>
              <c:strCache>
                <c:ptCount val="1"/>
                <c:pt idx="0">
                  <c:v>Налог на доходы физических лиц</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6.1633281972265034E-3"/>
                  <c:y val="-5.81583198707592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88854648176684E-3"/>
                  <c:y val="-3.8772213247172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328696651458966E-17"/>
                  <c:y val="-2.58481421647819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93861066235864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Лист1!$F$2:$F$5</c:f>
              <c:numCache>
                <c:formatCode>#\ ##0.0</c:formatCode>
                <c:ptCount val="4"/>
                <c:pt idx="0">
                  <c:v>22172.2</c:v>
                </c:pt>
                <c:pt idx="1">
                  <c:v>23401.8</c:v>
                </c:pt>
                <c:pt idx="2">
                  <c:v>24906.400000000001</c:v>
                </c:pt>
                <c:pt idx="3">
                  <c:v>26536.400000000001</c:v>
                </c:pt>
              </c:numCache>
            </c:numRef>
          </c:val>
        </c:ser>
        <c:ser>
          <c:idx val="5"/>
          <c:order val="5"/>
          <c:tx>
            <c:strRef>
              <c:f>Лист1!$G$1</c:f>
              <c:strCache>
                <c:ptCount val="1"/>
                <c:pt idx="0">
                  <c:v>Налог на прибыль организаций</c:v>
                </c:pt>
              </c:strCache>
            </c:strRef>
          </c:tx>
          <c:spPr>
            <a:solidFill>
              <a:srgbClr val="ED7D31"/>
            </a:solidFill>
            <a:ln>
              <a:noFill/>
            </a:ln>
            <a:effectLst/>
            <a:scene3d>
              <a:camera prst="orthographicFront"/>
              <a:lightRig rig="threePt" dir="t"/>
            </a:scene3d>
            <a:sp3d prstMaterial="matte">
              <a:bevelT/>
              <a:bevelB/>
            </a:sp3d>
          </c:spPr>
          <c:invertIfNegative val="0"/>
          <c:dLbls>
            <c:dLbl>
              <c:idx val="0"/>
              <c:layout>
                <c:manualLayout>
                  <c:x val="-2.1717239120148512E-3"/>
                  <c:y val="-7.9970318734390838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0691635425386943E-3"/>
                  <c:y val="-9.9199708275560863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4.09416465468781E-3"/>
                  <c:y val="-8.8219505679722227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4720810129707924E-5"/>
                  <c:y val="-8.2858051467314564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w="38100">
                <a:noFill/>
              </a:ln>
              <a:effectLst/>
            </c:spPr>
            <c:txPr>
              <a:bodyPr rot="0" spcFirstLastPara="1" vertOverflow="ellipsis" vert="horz" wrap="square" lIns="38100" tIns="19050" rIns="38100" bIns="19050" anchor="ctr" anchorCtr="1">
                <a:spAutoFit/>
              </a:bodyPr>
              <a:lstStyle/>
              <a:p>
                <a:pPr>
                  <a:defRPr sz="9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Лист1!$G$2:$G$5</c:f>
              <c:numCache>
                <c:formatCode>#\ ##0.0</c:formatCode>
                <c:ptCount val="4"/>
                <c:pt idx="0">
                  <c:v>27974.5</c:v>
                </c:pt>
                <c:pt idx="1">
                  <c:v>29876.799999999999</c:v>
                </c:pt>
                <c:pt idx="2">
                  <c:v>32177.599999999999</c:v>
                </c:pt>
                <c:pt idx="3">
                  <c:v>34410.400000000001</c:v>
                </c:pt>
              </c:numCache>
            </c:numRef>
          </c:val>
        </c:ser>
        <c:dLbls>
          <c:showLegendKey val="0"/>
          <c:showVal val="0"/>
          <c:showCatName val="0"/>
          <c:showSerName val="0"/>
          <c:showPercent val="0"/>
          <c:showBubbleSize val="0"/>
        </c:dLbls>
        <c:gapWidth val="25"/>
        <c:gapDepth val="0"/>
        <c:shape val="cylinder"/>
        <c:axId val="548532088"/>
        <c:axId val="548532480"/>
        <c:axId val="0"/>
      </c:bar3DChart>
      <c:catAx>
        <c:axId val="54853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8532480"/>
        <c:crosses val="autoZero"/>
        <c:auto val="1"/>
        <c:lblAlgn val="ctr"/>
        <c:lblOffset val="100"/>
        <c:noMultiLvlLbl val="0"/>
      </c:catAx>
      <c:valAx>
        <c:axId val="548532480"/>
        <c:scaling>
          <c:orientation val="minMax"/>
        </c:scaling>
        <c:delete val="1"/>
        <c:axPos val="l"/>
        <c:numFmt formatCode="#\ ##0.0" sourceLinked="1"/>
        <c:majorTickMark val="out"/>
        <c:minorTickMark val="none"/>
        <c:tickLblPos val="nextTo"/>
        <c:crossAx val="548532088"/>
        <c:crosses val="autoZero"/>
        <c:crossBetween val="between"/>
      </c:valAx>
      <c:spPr>
        <a:solidFill>
          <a:sysClr val="window" lastClr="FFFFFF">
            <a:lumMod val="95000"/>
          </a:sysClr>
        </a:solid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25848773987809942"/>
          <c:y val="0.1090788316339814"/>
          <c:w val="0.70705945939359549"/>
          <c:h val="0.8098140212366215"/>
        </c:manualLayout>
      </c:layout>
      <c:bar3DChart>
        <c:barDir val="col"/>
        <c:grouping val="stacked"/>
        <c:varyColors val="0"/>
        <c:ser>
          <c:idx val="0"/>
          <c:order val="0"/>
          <c:tx>
            <c:strRef>
              <c:f>Лист1!$B$1</c:f>
              <c:strCache>
                <c:ptCount val="1"/>
                <c:pt idx="0">
                  <c:v>Другие неналоговые поступления</c:v>
                </c:pt>
              </c:strCache>
            </c:strRef>
          </c:tx>
          <c:spPr>
            <a:solidFill>
              <a:srgbClr val="00B0F0"/>
            </a:solidFill>
            <a:ln>
              <a:noFill/>
            </a:ln>
            <a:effectLst/>
            <a:scene3d>
              <a:camera prst="orthographicFront"/>
              <a:lightRig rig="threePt" dir="t"/>
            </a:scene3d>
            <a:sp3d>
              <a:bevelT w="0" h="0"/>
              <a:bevelB/>
            </a:sp3d>
          </c:spPr>
          <c:invertIfNegative val="0"/>
          <c:dLbls>
            <c:dLbl>
              <c:idx val="0"/>
              <c:layout>
                <c:manualLayout>
                  <c:x val="-4.4988507087658627E-2"/>
                  <c:y val="-9.5051121290803801E-4"/>
                </c:manualLayout>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4655559156120982E-2"/>
                  <c:y val="-2.3752255391118089E-4"/>
                </c:manualLayout>
              </c:layout>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3491417087841438E-2"/>
                  <c:y val="1.8821641932826791E-3"/>
                </c:manualLayout>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0072343308770153E-2"/>
                  <c:y val="-1.6134363360858286E-3"/>
                </c:manualLayout>
              </c:layout>
              <c:tx>
                <c:rich>
                  <a:bodyPr rot="0" spcFirstLastPara="1" vertOverflow="ellipsis" vert="horz" wrap="square" lIns="38100" tIns="19050" rIns="38100" bIns="19050" anchor="ctr" anchorCtr="1">
                    <a:noAutofit/>
                  </a:bodyPr>
                  <a:lstStyle/>
                  <a:p>
                    <a:pPr>
                      <a:defRPr sz="7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2,2</a:t>
                    </a:r>
                  </a:p>
                </c:rich>
              </c:tx>
              <c:spPr>
                <a:noFill/>
                <a:ln w="28575">
                  <a:noFill/>
                </a:ln>
                <a:effectLst/>
              </c:spPr>
              <c:showLegendKey val="0"/>
              <c:showVal val="1"/>
              <c:showCatName val="0"/>
              <c:showSerName val="0"/>
              <c:showPercent val="0"/>
              <c:showBubbleSize val="0"/>
              <c:extLst>
                <c:ext xmlns:c15="http://schemas.microsoft.com/office/drawing/2012/chart" uri="{CE6537A1-D6FC-4f65-9D91-7224C49458BB}">
                  <c15:layout>
                    <c:manualLayout>
                      <c:w val="8.7037711948219187E-2"/>
                      <c:h val="2.6591439015650951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7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Лист1!$B$2:$B$5</c:f>
              <c:numCache>
                <c:formatCode>#\ ##0.0</c:formatCode>
                <c:ptCount val="4"/>
                <c:pt idx="0">
                  <c:v>30</c:v>
                </c:pt>
                <c:pt idx="1">
                  <c:v>30</c:v>
                </c:pt>
                <c:pt idx="2">
                  <c:v>30</c:v>
                </c:pt>
                <c:pt idx="3">
                  <c:v>30</c:v>
                </c:pt>
              </c:numCache>
            </c:numRef>
          </c:val>
        </c:ser>
        <c:ser>
          <c:idx val="1"/>
          <c:order val="1"/>
          <c:tx>
            <c:strRef>
              <c:f>Лист1!$C$1</c:f>
              <c:strCache>
                <c:ptCount val="1"/>
                <c:pt idx="0">
                  <c:v>Штрафы, санкции, возмещение ущерба</c:v>
                </c:pt>
              </c:strCache>
            </c:strRef>
          </c:tx>
          <c:spPr>
            <a:solidFill>
              <a:srgbClr val="E77F0D"/>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3.1388326592794676E-3"/>
                  <c:y val="9.743570257471154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366766687569434E-3"/>
                  <c:y val="-1.36685595265739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7961719910612454E-3"/>
                  <c:y val="-8.187262306497468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20920641199914E-3"/>
                  <c:y val="-1.32218727350770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Лист1!$C$2:$C$5</c:f>
              <c:numCache>
                <c:formatCode>#\ ##0.0</c:formatCode>
                <c:ptCount val="4"/>
                <c:pt idx="0">
                  <c:v>1829.2</c:v>
                </c:pt>
                <c:pt idx="1">
                  <c:v>1132.7</c:v>
                </c:pt>
                <c:pt idx="2">
                  <c:v>1103</c:v>
                </c:pt>
                <c:pt idx="3">
                  <c:v>1122.5</c:v>
                </c:pt>
              </c:numCache>
            </c:numRef>
          </c:val>
        </c:ser>
        <c:ser>
          <c:idx val="2"/>
          <c:order val="2"/>
          <c:tx>
            <c:strRef>
              <c:f>Лист1!$D$1</c:f>
              <c:strCache>
                <c:ptCount val="1"/>
                <c:pt idx="0">
                  <c:v>Платежи при пользовании природными ресурсами</c:v>
                </c:pt>
              </c:strCache>
            </c:strRef>
          </c:tx>
          <c:spPr>
            <a:solidFill>
              <a:srgbClr val="FFC000"/>
            </a:solidFill>
            <a:ln>
              <a:noFill/>
            </a:ln>
            <a:effectLst/>
            <a:scene3d>
              <a:camera prst="orthographicFront"/>
              <a:lightRig rig="threePt" dir="t"/>
            </a:scene3d>
            <a:sp3d>
              <a:bevelT/>
              <a:bevelB/>
            </a:sp3d>
          </c:spPr>
          <c:invertIfNegative val="0"/>
          <c:dLbls>
            <c:dLbl>
              <c:idx val="0"/>
              <c:layout>
                <c:manualLayout>
                  <c:x val="-3.3441883366930859E-2"/>
                  <c:y val="-2.0766053162126646E-3"/>
                </c:manualLayout>
              </c:layout>
              <c:spPr>
                <a:noFill/>
                <a:ln>
                  <a:noFill/>
                </a:ln>
                <a:effectLst/>
              </c:spPr>
              <c:txPr>
                <a:bodyPr rot="0" spcFirstLastPara="1" vertOverflow="ellipsis" vert="horz" wrap="square" lIns="38100" tIns="19050" rIns="38100" bIns="19050" anchor="ctr" anchorCtr="1">
                  <a:no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1889250814332247E-2"/>
                      <c:h val="5.0466277467295477E-2"/>
                    </c:manualLayout>
                  </c15:layout>
                </c:ext>
              </c:extLst>
            </c:dLbl>
            <c:dLbl>
              <c:idx val="1"/>
              <c:layout>
                <c:manualLayout>
                  <c:x val="-3.3191648745670557E-2"/>
                  <c:y val="-5.0067178818711628E-3"/>
                </c:manualLayout>
              </c:layout>
              <c:spPr>
                <a:noFill/>
                <a:ln>
                  <a:noFill/>
                </a:ln>
                <a:effectLst/>
              </c:spPr>
              <c:txPr>
                <a:bodyPr rot="0" spcFirstLastPara="1" vertOverflow="ellipsis" vert="horz" wrap="square" lIns="38100" tIns="19050" rIns="38100" bIns="19050" anchor="ctr" anchorCtr="1">
                  <a:no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177708242495762E-2"/>
                      <c:h val="4.2817471035117967E-2"/>
                    </c:manualLayout>
                  </c15:layout>
                </c:ext>
              </c:extLst>
            </c:dLbl>
            <c:dLbl>
              <c:idx val="2"/>
              <c:layout>
                <c:manualLayout>
                  <c:x val="-2.6410013080612488E-2"/>
                  <c:y val="-3.734233220847396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04174785474102E-2"/>
                  <c:y val="-3.043436579331817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Лист1!$D$2:$D$5</c:f>
              <c:numCache>
                <c:formatCode>#\ ##0.0</c:formatCode>
                <c:ptCount val="4"/>
                <c:pt idx="0">
                  <c:v>66.900000000000006</c:v>
                </c:pt>
                <c:pt idx="1">
                  <c:v>62.2</c:v>
                </c:pt>
                <c:pt idx="2">
                  <c:v>62.2</c:v>
                </c:pt>
                <c:pt idx="3">
                  <c:v>62.2</c:v>
                </c:pt>
              </c:numCache>
            </c:numRef>
          </c:val>
        </c:ser>
        <c:ser>
          <c:idx val="3"/>
          <c:order val="3"/>
          <c:tx>
            <c:strRef>
              <c:f>Лист1!$E$1</c:f>
              <c:strCache>
                <c:ptCount val="1"/>
                <c:pt idx="0">
                  <c:v>Доходы от оказания платных услуг и компенсации затрат государства</c:v>
                </c:pt>
              </c:strCache>
            </c:strRef>
          </c:tx>
          <c:spPr>
            <a:solidFill>
              <a:srgbClr val="CC9164"/>
            </a:solidFill>
            <a:ln>
              <a:noFill/>
            </a:ln>
            <a:effectLst/>
            <a:scene3d>
              <a:camera prst="orthographicFront"/>
              <a:lightRig rig="threePt" dir="t"/>
            </a:scene3d>
            <a:sp3d>
              <a:bevelT/>
              <a:bevelB/>
            </a:sp3d>
          </c:spPr>
          <c:invertIfNegative val="0"/>
          <c:dLbls>
            <c:dLbl>
              <c:idx val="0"/>
              <c:layout>
                <c:manualLayout>
                  <c:x val="-2.7628647396274179E-2"/>
                  <c:y val="-8.831822588051253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573289902280145E-2"/>
                  <c:y val="-2.83328514821176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15526601520173E-2"/>
                  <c:y val="-5.473829810150624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723802440004446E-2"/>
                  <c:y val="-6.41553715072873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Лист1!$E$2:$E$5</c:f>
              <c:numCache>
                <c:formatCode>#\ ##0.0</c:formatCode>
                <c:ptCount val="4"/>
                <c:pt idx="0">
                  <c:v>134.80000000000001</c:v>
                </c:pt>
                <c:pt idx="1">
                  <c:v>91.3</c:v>
                </c:pt>
                <c:pt idx="2">
                  <c:v>91.2</c:v>
                </c:pt>
                <c:pt idx="3">
                  <c:v>92.2</c:v>
                </c:pt>
              </c:numCache>
            </c:numRef>
          </c:val>
        </c:ser>
        <c:ser>
          <c:idx val="4"/>
          <c:order val="4"/>
          <c:tx>
            <c:strRef>
              <c:f>Лист1!$F$1</c:f>
              <c:strCache>
                <c:ptCount val="1"/>
                <c:pt idx="0">
                  <c:v>Доходы от использования государственного имущества</c:v>
                </c:pt>
              </c:strCache>
            </c:strRef>
          </c:tx>
          <c:spPr>
            <a:solidFill>
              <a:srgbClr val="E7E6E6">
                <a:lumMod val="90000"/>
              </a:srgbClr>
            </a:solidFill>
            <a:ln>
              <a:noFill/>
            </a:ln>
            <a:effectLst/>
            <a:scene3d>
              <a:camera prst="orthographicFront"/>
              <a:lightRig rig="threePt" dir="t"/>
            </a:scene3d>
            <a:sp3d>
              <a:bevelT/>
              <a:bevelB/>
            </a:sp3d>
          </c:spPr>
          <c:invertIfNegative val="0"/>
          <c:dPt>
            <c:idx val="0"/>
            <c:invertIfNegative val="0"/>
            <c:bubble3D val="0"/>
          </c:dPt>
          <c:dLbls>
            <c:dLbl>
              <c:idx val="0"/>
              <c:layout>
                <c:manualLayout>
                  <c:x val="-2.7826291889890033E-2"/>
                  <c:y val="-4.4702455088556289E-3"/>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123,0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0.10179372687981079"/>
                  <c:y val="-4.69806421650377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737313068424587E-2"/>
                  <c:y val="-5.3619302949061726E-2"/>
                </c:manualLayout>
              </c:layout>
              <c:spPr>
                <a:solidFill>
                  <a:sysClr val="window" lastClr="FFFFFF">
                    <a:lumMod val="95000"/>
                  </a:sysClr>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1309460181721007E-2"/>
                      <c:h val="5.4852687649968687E-2"/>
                    </c:manualLayout>
                  </c15:layout>
                </c:ext>
              </c:extLst>
            </c:dLbl>
            <c:dLbl>
              <c:idx val="3"/>
              <c:layout>
                <c:manualLayout>
                  <c:x val="9.7831003682679205E-2"/>
                  <c:y val="-5.310872333987748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ysClr val="windowText" lastClr="000000"/>
                      </a:solidFill>
                      <a:round/>
                    </a:ln>
                    <a:effectLst/>
                  </c:spPr>
                </c15:leaderLines>
              </c:ext>
            </c:extLst>
          </c:dLbls>
          <c:cat>
            <c:strRef>
              <c:f>Лист1!$A$2:$A$5</c:f>
              <c:strCache>
                <c:ptCount val="4"/>
                <c:pt idx="0">
                  <c:v>2021 год (оценка)</c:v>
                </c:pt>
                <c:pt idx="1">
                  <c:v>2022 год</c:v>
                </c:pt>
                <c:pt idx="2">
                  <c:v>2023 год</c:v>
                </c:pt>
                <c:pt idx="3">
                  <c:v>2024 год</c:v>
                </c:pt>
              </c:strCache>
            </c:strRef>
          </c:cat>
          <c:val>
            <c:numRef>
              <c:f>Лист1!$F$2:$F$5</c:f>
              <c:numCache>
                <c:formatCode>#\ ##0.0</c:formatCode>
                <c:ptCount val="4"/>
                <c:pt idx="0">
                  <c:v>123</c:v>
                </c:pt>
                <c:pt idx="1">
                  <c:v>57.3</c:v>
                </c:pt>
                <c:pt idx="2">
                  <c:v>43</c:v>
                </c:pt>
                <c:pt idx="3">
                  <c:v>38.700000000000003</c:v>
                </c:pt>
              </c:numCache>
            </c:numRef>
          </c:val>
        </c:ser>
        <c:ser>
          <c:idx val="5"/>
          <c:order val="5"/>
          <c:tx>
            <c:strRef>
              <c:f>Лист1!$G$1</c:f>
              <c:strCache>
                <c:ptCount val="1"/>
                <c:pt idx="0">
                  <c:v>Доходы от продажи материальных и нематериальных активов</c:v>
                </c:pt>
              </c:strCache>
            </c:strRef>
          </c:tx>
          <c:spPr>
            <a:solidFill>
              <a:srgbClr val="E49B3A"/>
            </a:solidFill>
            <a:scene3d>
              <a:camera prst="orthographicFront"/>
              <a:lightRig rig="threePt" dir="t"/>
            </a:scene3d>
            <a:sp3d>
              <a:bevelT/>
              <a:bevelB w="82550"/>
            </a:sp3d>
          </c:spPr>
          <c:invertIfNegative val="0"/>
          <c:dLbls>
            <c:dLbl>
              <c:idx val="0"/>
              <c:layout>
                <c:manualLayout>
                  <c:x val="-2.7688053188935018E-2"/>
                  <c:y val="-1.42984807864164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889469187810639E-2"/>
                  <c:y val="-4.6529809795945232E-2"/>
                </c:manualLayout>
              </c:layout>
              <c:tx>
                <c:rich>
                  <a:bodyPr/>
                  <a:lstStyle/>
                  <a:p>
                    <a:r>
                      <a:rPr lang="en-US"/>
                      <a:t>17,6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9310697466932E-2"/>
                  <c:y val="-5.7014570434737816E-2"/>
                </c:manualLayout>
              </c:layout>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0354717288245944E-2"/>
                  <c:y val="-6.076854334226988E-2"/>
                </c:manualLayout>
              </c:layout>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2021 год (оценка)</c:v>
                </c:pt>
                <c:pt idx="1">
                  <c:v>2022 год</c:v>
                </c:pt>
                <c:pt idx="2">
                  <c:v>2023 год</c:v>
                </c:pt>
                <c:pt idx="3">
                  <c:v>2024 год</c:v>
                </c:pt>
              </c:strCache>
            </c:strRef>
          </c:cat>
          <c:val>
            <c:numRef>
              <c:f>Лист1!$G$2:$G$5</c:f>
              <c:numCache>
                <c:formatCode>#\ ##0.0</c:formatCode>
                <c:ptCount val="4"/>
                <c:pt idx="0">
                  <c:v>215.9</c:v>
                </c:pt>
                <c:pt idx="1">
                  <c:v>30</c:v>
                </c:pt>
                <c:pt idx="2">
                  <c:v>30</c:v>
                </c:pt>
                <c:pt idx="3">
                  <c:v>30</c:v>
                </c:pt>
              </c:numCache>
            </c:numRef>
          </c:val>
        </c:ser>
        <c:dLbls>
          <c:showLegendKey val="0"/>
          <c:showVal val="0"/>
          <c:showCatName val="0"/>
          <c:showSerName val="0"/>
          <c:showPercent val="0"/>
          <c:showBubbleSize val="0"/>
        </c:dLbls>
        <c:gapWidth val="25"/>
        <c:gapDepth val="0"/>
        <c:shape val="cylinder"/>
        <c:axId val="548533264"/>
        <c:axId val="548533656"/>
        <c:axId val="0"/>
      </c:bar3DChart>
      <c:catAx>
        <c:axId val="54853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8533656"/>
        <c:crosses val="autoZero"/>
        <c:auto val="1"/>
        <c:lblAlgn val="ctr"/>
        <c:lblOffset val="100"/>
        <c:noMultiLvlLbl val="0"/>
      </c:catAx>
      <c:valAx>
        <c:axId val="548533656"/>
        <c:scaling>
          <c:orientation val="minMax"/>
        </c:scaling>
        <c:delete val="1"/>
        <c:axPos val="l"/>
        <c:numFmt formatCode="#\ ##0.0" sourceLinked="1"/>
        <c:majorTickMark val="out"/>
        <c:minorTickMark val="none"/>
        <c:tickLblPos val="nextTo"/>
        <c:crossAx val="548533264"/>
        <c:crosses val="autoZero"/>
        <c:crossBetween val="between"/>
      </c:valAx>
      <c:spPr>
        <a:solidFill>
          <a:sysClr val="window" lastClr="FFFFFF">
            <a:lumMod val="95000"/>
          </a:sysClr>
        </a:solid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91"/>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39568296881115"/>
          <c:y val="0.20822016295582099"/>
          <c:w val="0.82419170345556103"/>
          <c:h val="0.79020550741043671"/>
        </c:manualLayout>
      </c:layout>
      <c:pie3DChart>
        <c:varyColors val="1"/>
        <c:ser>
          <c:idx val="0"/>
          <c:order val="0"/>
          <c:tx>
            <c:strRef>
              <c:f>Лист1!$B$1</c:f>
              <c:strCache>
                <c:ptCount val="1"/>
                <c:pt idx="0">
                  <c:v>Удельный вес ГРБС в общем объеме расходов на 2022 год</c:v>
                </c:pt>
              </c:strCache>
            </c:strRef>
          </c:tx>
          <c:dPt>
            <c:idx val="0"/>
            <c:bubble3D val="0"/>
            <c:explosion val="5"/>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FD8-461B-97DD-2005540CC199}"/>
              </c:ext>
            </c:extLst>
          </c:dPt>
          <c:dPt>
            <c:idx val="1"/>
            <c:bubble3D val="0"/>
            <c:explosion val="2"/>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FD8-461B-97DD-2005540CC199}"/>
              </c:ext>
            </c:extLst>
          </c:dPt>
          <c:dPt>
            <c:idx val="2"/>
            <c:bubble3D val="0"/>
            <c:explosion val="3"/>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FD8-461B-97DD-2005540CC199}"/>
              </c:ext>
            </c:extLst>
          </c:dPt>
          <c:dPt>
            <c:idx val="3"/>
            <c:bubble3D val="0"/>
            <c:explosion val="4"/>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FD8-461B-97DD-2005540CC199}"/>
              </c:ext>
            </c:extLst>
          </c:dPt>
          <c:dPt>
            <c:idx val="4"/>
            <c:bubble3D val="0"/>
            <c:explosion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FD8-461B-97DD-2005540CC199}"/>
              </c:ext>
            </c:extLst>
          </c:dPt>
          <c:dLbls>
            <c:dLbl>
              <c:idx val="0"/>
              <c:layout>
                <c:manualLayout>
                  <c:x val="6.6947760562187875E-2"/>
                  <c:y val="-0.10698656785548866"/>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FD8-461B-97DD-2005540CC199}"/>
                </c:ext>
                <c:ext xmlns:c15="http://schemas.microsoft.com/office/drawing/2012/chart" uri="{CE6537A1-D6FC-4f65-9D91-7224C49458BB}">
                  <c15:spPr xmlns:c15="http://schemas.microsoft.com/office/drawing/2012/chart">
                    <a:prstGeom prst="wedgeRectCallout">
                      <a:avLst/>
                    </a:prstGeom>
                  </c15:spPr>
                  <c15:layout>
                    <c:manualLayout>
                      <c:w val="0.21086836980691506"/>
                      <c:h val="0.26279450362822293"/>
                    </c:manualLayout>
                  </c15:layout>
                </c:ext>
              </c:extLst>
            </c:dLbl>
            <c:dLbl>
              <c:idx val="1"/>
              <c:layout>
                <c:manualLayout>
                  <c:x val="-7.8473501508406526E-2"/>
                  <c:y val="-3.656178271833667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FD8-461B-97DD-2005540CC199}"/>
                </c:ext>
                <c:ext xmlns:c15="http://schemas.microsoft.com/office/drawing/2012/chart" uri="{CE6537A1-D6FC-4f65-9D91-7224C49458BB}">
                  <c15:layout>
                    <c:manualLayout>
                      <c:w val="0.20632274106653475"/>
                      <c:h val="0.28893829447789615"/>
                    </c:manualLayout>
                  </c15:layout>
                </c:ext>
              </c:extLst>
            </c:dLbl>
            <c:dLbl>
              <c:idx val="2"/>
              <c:layout>
                <c:manualLayout>
                  <c:x val="-9.710483982371473E-3"/>
                  <c:y val="8.240258429234807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8FD8-461B-97DD-2005540CC199}"/>
                </c:ext>
                <c:ext xmlns:c15="http://schemas.microsoft.com/office/drawing/2012/chart" uri="{CE6537A1-D6FC-4f65-9D91-7224C49458BB}">
                  <c15:spPr xmlns:c15="http://schemas.microsoft.com/office/drawing/2012/chart">
                    <a:prstGeom prst="wedgeRectCallout">
                      <a:avLst/>
                    </a:prstGeom>
                  </c15:spPr>
                  <c15:layout>
                    <c:manualLayout>
                      <c:w val="0.21087211297229613"/>
                      <c:h val="0.24192980685106669"/>
                    </c:manualLayout>
                  </c15:layout>
                </c:ext>
              </c:extLst>
            </c:dLbl>
            <c:dLbl>
              <c:idx val="3"/>
              <c:layout>
                <c:manualLayout>
                  <c:x val="-0.14905569740964042"/>
                  <c:y val="4.156538125042062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FD8-461B-97DD-2005540CC199}"/>
                </c:ext>
                <c:ext xmlns:c15="http://schemas.microsoft.com/office/drawing/2012/chart" uri="{CE6537A1-D6FC-4f65-9D91-7224C49458BB}">
                  <c15:spPr xmlns:c15="http://schemas.microsoft.com/office/drawing/2012/chart">
                    <a:prstGeom prst="wedgeRectCallout">
                      <a:avLst/>
                    </a:prstGeom>
                  </c15:spPr>
                  <c15:layout>
                    <c:manualLayout>
                      <c:w val="0.21805916874991646"/>
                      <c:h val="0.24904603270745004"/>
                    </c:manualLayout>
                  </c15:layout>
                </c:ext>
              </c:extLst>
            </c:dLbl>
            <c:dLbl>
              <c:idx val="4"/>
              <c:layout>
                <c:manualLayout>
                  <c:x val="7.3821459923621519E-2"/>
                  <c:y val="-1.7224229324275656E-2"/>
                </c:manualLayout>
              </c:layout>
              <c:tx>
                <c:rich>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mn-cs"/>
                      </a:defRPr>
                    </a:pPr>
                    <a:fld id="{5A4AE685-DE2F-4126-ACD6-FC57499E09B0}" type="CATEGORYNAME">
                      <a:rPr lang="ru-RU" sz="800"/>
                      <a:pPr>
                        <a:defRPr sz="800" b="0" i="0" u="none" strike="noStrike" kern="1200" baseline="0">
                          <a:solidFill>
                            <a:sysClr val="windowText" lastClr="000000"/>
                          </a:solidFill>
                          <a:latin typeface="Times New Roman" panose="02020603050405020304" pitchFamily="18" charset="0"/>
                          <a:ea typeface="+mn-ea"/>
                          <a:cs typeface="+mn-cs"/>
                        </a:defRPr>
                      </a:pPr>
                      <a:t>[ИМЯ КАТЕГОРИИ]</a:t>
                    </a:fld>
                    <a:r>
                      <a:rPr lang="ru-RU" sz="800" baseline="0"/>
                      <a:t>
</a:t>
                    </a:r>
                    <a:fld id="{2A7DF5AB-9D5B-427E-909A-D6E08929359D}" type="VALUE">
                      <a:rPr lang="ru-RU" sz="800" baseline="0"/>
                      <a:pPr>
                        <a:defRPr sz="800" b="0" i="0" u="none" strike="noStrike" kern="1200" baseline="0">
                          <a:solidFill>
                            <a:sysClr val="windowText" lastClr="000000"/>
                          </a:solidFill>
                          <a:latin typeface="Times New Roman" panose="02020603050405020304" pitchFamily="18" charset="0"/>
                          <a:ea typeface="+mn-ea"/>
                          <a:cs typeface="+mn-cs"/>
                        </a:defRPr>
                      </a:pPr>
                      <a:t>[ЗНАЧЕНИЕ]</a:t>
                    </a:fld>
                    <a:r>
                      <a:rPr lang="ru-RU" sz="800" baseline="0"/>
                      <a:t>
22,6%</a:t>
                    </a:r>
                  </a:p>
                </c:rich>
              </c:tx>
              <c:numFmt formatCode="0.0%" sourceLinked="0"/>
              <c:spPr>
                <a:solidFill>
                  <a:sysClr val="window" lastClr="FFFFFF"/>
                </a:solidFill>
                <a:ln>
                  <a:solidFill>
                    <a:sysClr val="windowText" lastClr="000000">
                      <a:lumMod val="25000"/>
                      <a:lumOff val="75000"/>
                    </a:sysClr>
                  </a:solidFill>
                </a:ln>
                <a:effectLst/>
              </c:sp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8FD8-461B-97DD-2005540CC199}"/>
                </c:ext>
                <c:ext xmlns:c15="http://schemas.microsoft.com/office/drawing/2012/chart" uri="{CE6537A1-D6FC-4f65-9D91-7224C49458BB}">
                  <c15:spPr xmlns:c15="http://schemas.microsoft.com/office/drawing/2012/chart">
                    <a:prstGeom prst="wedgeRectCallout">
                      <a:avLst/>
                    </a:prstGeom>
                  </c15:spPr>
                  <c15:layout>
                    <c:manualLayout>
                      <c:w val="0.19059253416752447"/>
                      <c:h val="0.21630013895321903"/>
                    </c:manualLayout>
                  </c15:layout>
                  <c15:dlblFieldTable/>
                  <c15:showDataLabelsRange val="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Министерство образования  области</c:v>
                </c:pt>
                <c:pt idx="1">
                  <c:v>Министерство труда и социальной защиты области</c:v>
                </c:pt>
                <c:pt idx="2">
                  <c:v>Министерство здравоохранения области</c:v>
                </c:pt>
                <c:pt idx="3">
                  <c:v>Министерство транспорта и дорожного хозяйства области</c:v>
                </c:pt>
                <c:pt idx="4">
                  <c:v>Другие 27 ГРБС</c:v>
                </c:pt>
              </c:strCache>
            </c:strRef>
          </c:cat>
          <c:val>
            <c:numRef>
              <c:f>Лист1!$B$2:$B$6</c:f>
              <c:numCache>
                <c:formatCode>#\ ##0.0</c:formatCode>
                <c:ptCount val="5"/>
                <c:pt idx="0">
                  <c:v>25409.200000000001</c:v>
                </c:pt>
                <c:pt idx="1">
                  <c:v>19600.8</c:v>
                </c:pt>
                <c:pt idx="2">
                  <c:v>17751.400000000001</c:v>
                </c:pt>
                <c:pt idx="3">
                  <c:v>9156.2999999999993</c:v>
                </c:pt>
                <c:pt idx="4">
                  <c:v>25426.699999999979</c:v>
                </c:pt>
              </c:numCache>
            </c:numRef>
          </c:val>
          <c:extLst xmlns:c16r2="http://schemas.microsoft.com/office/drawing/2015/06/chart">
            <c:ext xmlns:c16="http://schemas.microsoft.com/office/drawing/2014/chart" uri="{C3380CC4-5D6E-409C-BE32-E72D297353CC}">
              <c16:uniqueId val="{0000000A-8FD8-461B-97DD-2005540CC199}"/>
            </c:ext>
          </c:extLst>
        </c:ser>
        <c:dLbls>
          <c:showLegendKey val="0"/>
          <c:showVal val="0"/>
          <c:showCatName val="0"/>
          <c:showSerName val="0"/>
          <c:showPercent val="0"/>
          <c:showBubbleSize val="0"/>
          <c:showLeaderLines val="0"/>
        </c:dLbls>
      </c:pie3DChart>
      <c:spPr>
        <a:solidFill>
          <a:schemeClr val="accent1">
            <a:lumMod val="20000"/>
            <a:lumOff val="80000"/>
          </a:schemeClr>
        </a:solidFill>
        <a:ln>
          <a:noFill/>
        </a:ln>
        <a:effectLst/>
      </c:spPr>
    </c:plotArea>
    <c:plotVisOnly val="1"/>
    <c:dispBlanksAs val="zero"/>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76294366270911396"/>
          <c:h val="0.80334815407454163"/>
        </c:manualLayout>
      </c:layout>
      <c:bar3DChart>
        <c:barDir val="col"/>
        <c:grouping val="percentStacked"/>
        <c:varyColors val="0"/>
        <c:ser>
          <c:idx val="0"/>
          <c:order val="0"/>
          <c:tx>
            <c:strRef>
              <c:f>Лист1!$B$1</c:f>
              <c:strCache>
                <c:ptCount val="1"/>
                <c:pt idx="0">
                  <c:v>непрограммные расходы</c:v>
                </c:pt>
              </c:strCache>
            </c:strRef>
          </c:tx>
          <c:spPr>
            <a:solidFill>
              <a:schemeClr val="accent1"/>
            </a:solidFill>
            <a:ln>
              <a:noFill/>
            </a:ln>
            <a:effectLst/>
            <a:sp3d/>
          </c:spPr>
          <c:invertIfNegative val="0"/>
          <c:dLbls>
            <c:dLbl>
              <c:idx val="0"/>
              <c:layout>
                <c:manualLayout>
                  <c:x val="8.5781685610122234E-3"/>
                  <c:y val="-4.6873423040717831E-3"/>
                </c:manualLayout>
              </c:layout>
              <c:tx>
                <c:rich>
                  <a:bodyPr/>
                  <a:lstStyle/>
                  <a:p>
                    <a:fld id="{E1BF7E10-A804-49AC-B168-3762B843B1F7}" type="CELLRANGE">
                      <a:rPr lang="en-US" b="0"/>
                      <a:pPr/>
                      <a:t>[ДИАПАЗОН ЯЧЕЕК]</a:t>
                    </a:fld>
                    <a:endParaRPr lang="en-US" b="0" baseline="0"/>
                  </a:p>
                  <a:p>
                    <a:fld id="{A70C736B-8F1A-4659-8F37-AE5D6F11CD51}"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7CFC-4482-AC27-0D537733A56A}"/>
                </c:ext>
                <c:ext xmlns:c15="http://schemas.microsoft.com/office/drawing/2012/chart" uri="{CE6537A1-D6FC-4f65-9D91-7224C49458BB}">
                  <c15:dlblFieldTable/>
                  <c15:showDataLabelsRange val="1"/>
                </c:ext>
              </c:extLst>
            </c:dLbl>
            <c:dLbl>
              <c:idx val="1"/>
              <c:layout>
                <c:manualLayout>
                  <c:x val="8.5781685610122234E-3"/>
                  <c:y val="1.512486306259026E-2"/>
                </c:manualLayout>
              </c:layout>
              <c:tx>
                <c:rich>
                  <a:bodyPr/>
                  <a:lstStyle/>
                  <a:p>
                    <a:fld id="{D2064DA8-6107-468A-A9B9-5F64590C7988}" type="CELLRANGE">
                      <a:rPr lang="en-US" b="0"/>
                      <a:pPr/>
                      <a:t>[ДИАПАЗОН ЯЧЕЕК]</a:t>
                    </a:fld>
                    <a:endParaRPr lang="en-US" b="0" baseline="0"/>
                  </a:p>
                  <a:p>
                    <a:fld id="{36D41EA1-61E9-4CA5-B083-6A757A5D016A}"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CFC-4482-AC27-0D537733A56A}"/>
                </c:ext>
                <c:ext xmlns:c15="http://schemas.microsoft.com/office/drawing/2012/chart" uri="{CE6537A1-D6FC-4f65-9D91-7224C49458BB}">
                  <c15:dlblFieldTable/>
                  <c15:showDataLabelsRange val="1"/>
                </c:ext>
              </c:extLst>
            </c:dLbl>
            <c:dLbl>
              <c:idx val="2"/>
              <c:layout>
                <c:manualLayout>
                  <c:x val="1.2867252841518335E-2"/>
                  <c:y val="5.2187603792592813E-3"/>
                </c:manualLayout>
              </c:layout>
              <c:tx>
                <c:rich>
                  <a:bodyPr/>
                  <a:lstStyle/>
                  <a:p>
                    <a:fld id="{C498E3AC-ECA8-44D9-8AFD-853510AD6B74}" type="CELLRANGE">
                      <a:rPr lang="en-US" b="0"/>
                      <a:pPr/>
                      <a:t>[ДИАПАЗОН ЯЧЕЕК]</a:t>
                    </a:fld>
                    <a:endParaRPr lang="en-US" b="0" baseline="0"/>
                  </a:p>
                  <a:p>
                    <a:fld id="{6630E3DF-8EE5-40D1-80A1-428DB13815C8}"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CFC-4482-AC27-0D537733A56A}"/>
                </c:ext>
                <c:ext xmlns:c15="http://schemas.microsoft.com/office/drawing/2012/chart" uri="{CE6537A1-D6FC-4f65-9D91-7224C49458BB}">
                  <c15:dlblFieldTable/>
                  <c15:showDataLabelsRange val="1"/>
                </c:ext>
              </c:extLst>
            </c:dLbl>
            <c:dLbl>
              <c:idx val="3"/>
              <c:layout>
                <c:manualLayout>
                  <c:x val="1.2867252841518335E-2"/>
                  <c:y val="2.894907304612939E-3"/>
                </c:manualLayout>
              </c:layout>
              <c:tx>
                <c:rich>
                  <a:bodyPr/>
                  <a:lstStyle/>
                  <a:p>
                    <a:fld id="{07BBA531-0C22-4D92-812C-37C2CD666DC1}" type="CELLRANGE">
                      <a:rPr lang="en-US" b="0"/>
                      <a:pPr/>
                      <a:t>[ДИАПАЗОН ЯЧЕЕК]</a:t>
                    </a:fld>
                    <a:endParaRPr lang="en-US" b="0" baseline="0"/>
                  </a:p>
                  <a:p>
                    <a:fld id="{4FC8F43D-BB8C-4704-8E99-D46A3E8888DB}"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7CFC-4482-AC27-0D537733A56A}"/>
                </c:ext>
                <c:ext xmlns:c15="http://schemas.microsoft.com/office/drawing/2012/chart" uri="{CE6537A1-D6FC-4f65-9D91-7224C49458BB}">
                  <c15:dlblFieldTable/>
                  <c15:showDataLabelsRange val="1"/>
                </c:ext>
              </c:extLst>
            </c:dLbl>
            <c:dLbl>
              <c:idx val="4"/>
              <c:layout>
                <c:manualLayout>
                  <c:x val="1.5011794981771392E-2"/>
                  <c:y val="4.6611017016020594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840184DC-AB78-4505-A474-370A3CB0D3D9}" type="CELLRANGE">
                      <a:rPr lang="en-US" b="0" baseline="0"/>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r>
                      <a:rPr lang="en-US" baseline="0"/>
                      <a:t>
</a:t>
                    </a:r>
                    <a:fld id="{FE222226-FAC9-4912-AB54-0444CCEE1E8F}" type="VALUE">
                      <a:rPr lang="en-US" b="1" baseline="0"/>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en-US" baseline="0"/>
                  </a:p>
                </c:rich>
              </c:tx>
              <c:spPr>
                <a:noFill/>
                <a:ln>
                  <a:noFill/>
                </a:ln>
                <a:effectLst/>
              </c:spP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209-4169-864A-76382D7ACC43}"/>
                </c:ext>
                <c:ext xmlns:c15="http://schemas.microsoft.com/office/drawing/2012/chart" uri="{CE6537A1-D6FC-4f65-9D91-7224C49458BB}">
                  <c15:layout>
                    <c:manualLayout>
                      <c:w val="8.2028736864679389E-2"/>
                      <c:h val="0.11347023710127586"/>
                    </c:manualLayout>
                  </c15:layout>
                  <c15:dlblFieldTable/>
                  <c15:showDataLabelsRange val="1"/>
                </c:ext>
              </c:extLst>
            </c:dLbl>
            <c:dLbl>
              <c:idx val="5"/>
              <c:layout>
                <c:manualLayout>
                  <c:x val="8.5781685610120673E-3"/>
                  <c:y val="-4.6609182008855747E-3"/>
                </c:manualLayout>
              </c:layout>
              <c:tx>
                <c:rich>
                  <a:bodyPr/>
                  <a:lstStyle/>
                  <a:p>
                    <a:fld id="{FBBE8AC9-A7B7-415E-9F89-F14116C47AAB}" type="CELLRANGE">
                      <a:rPr lang="en-US" b="0" baseline="0"/>
                      <a:pPr/>
                      <a:t>[ДИАПАЗОН ЯЧЕЕК]</a:t>
                    </a:fld>
                    <a:r>
                      <a:rPr lang="en-US" baseline="0"/>
                      <a:t>
</a:t>
                    </a:r>
                    <a:fld id="{439C95F8-1147-466D-ACF3-79D0FE2B7D75}" type="VALUE">
                      <a:rPr lang="en-US" b="1" baseline="0"/>
                      <a:pPr/>
                      <a:t>[ЗНАЧЕНИЕ]</a:t>
                    </a:fld>
                    <a:endParaRPr lang="en-US" baseline="0"/>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209-4169-864A-76382D7ACC43}"/>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c:v>
                </c:pt>
                <c:pt idx="1">
                  <c:v>2020 год</c:v>
                </c:pt>
                <c:pt idx="2">
                  <c:v>2021 год</c:v>
                </c:pt>
                <c:pt idx="3">
                  <c:v>2022 год</c:v>
                </c:pt>
                <c:pt idx="4">
                  <c:v>2023 год</c:v>
                </c:pt>
                <c:pt idx="5">
                  <c:v>2024 год</c:v>
                </c:pt>
              </c:strCache>
            </c:strRef>
          </c:cat>
          <c:val>
            <c:numRef>
              <c:f>Лист1!$B$2:$B$7</c:f>
              <c:numCache>
                <c:formatCode>0.0%</c:formatCode>
                <c:ptCount val="6"/>
                <c:pt idx="0">
                  <c:v>5.175577463125907E-2</c:v>
                </c:pt>
                <c:pt idx="1">
                  <c:v>6.8996086389818342E-2</c:v>
                </c:pt>
                <c:pt idx="2">
                  <c:v>6.9548011393638406E-2</c:v>
                </c:pt>
                <c:pt idx="3">
                  <c:v>4.1146087075477185E-2</c:v>
                </c:pt>
                <c:pt idx="4">
                  <c:v>4.0381000420428255E-2</c:v>
                </c:pt>
                <c:pt idx="5">
                  <c:v>3.963899002141677E-2</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Лист1!$E$2:$E$7</c15:f>
                <c15:dlblRangeCache>
                  <c:ptCount val="6"/>
                  <c:pt idx="0">
                    <c:v>4 248,5</c:v>
                  </c:pt>
                  <c:pt idx="1">
                    <c:v>6 636,7</c:v>
                  </c:pt>
                  <c:pt idx="2">
                    <c:v>7 605,9</c:v>
                  </c:pt>
                  <c:pt idx="3">
                    <c:v>4 005,3</c:v>
                  </c:pt>
                  <c:pt idx="4">
                    <c:v>3 840,6</c:v>
                  </c:pt>
                  <c:pt idx="5">
                    <c:v>3 810,3</c:v>
                  </c:pt>
                </c15:dlblRangeCache>
              </c15:datalabelsRange>
            </c:ext>
          </c:extLst>
        </c:ser>
        <c:ser>
          <c:idx val="1"/>
          <c:order val="1"/>
          <c:tx>
            <c:strRef>
              <c:f>Лист1!$C$1</c:f>
              <c:strCache>
                <c:ptCount val="1"/>
                <c:pt idx="0">
                  <c:v>программные расходы</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b="0"/>
                      <a:pPr/>
                      <a:t>[ДИАПАЗОН ЯЧЕЕК]</a:t>
                    </a:fld>
                    <a:endParaRPr lang="en-US" b="0" baseline="0"/>
                  </a:p>
                  <a:p>
                    <a:fld id="{58288AFB-7FDE-49E0-9A06-F966B1C3EFB3}"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52841518335E-2"/>
                  <c:y val="-3.670307932552485E-2"/>
                </c:manualLayout>
              </c:layout>
              <c:tx>
                <c:rich>
                  <a:bodyPr/>
                  <a:lstStyle/>
                  <a:p>
                    <a:fld id="{173E77F8-7D23-48D4-964D-1EDE40CF252A}" type="CELLRANGE">
                      <a:rPr lang="en-US" b="0"/>
                      <a:pPr/>
                      <a:t>[ДИАПАЗОН ЯЧЕЕК]</a:t>
                    </a:fld>
                    <a:endParaRPr lang="en-US" b="0" baseline="0"/>
                  </a:p>
                  <a:p>
                    <a:fld id="{89C11051-54B7-4468-9635-1E3D9DD0266F}"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1.072271070126528E-2"/>
                  <c:y val="-0.10254020041948264"/>
                </c:manualLayout>
              </c:layout>
              <c:tx>
                <c:rich>
                  <a:bodyPr/>
                  <a:lstStyle/>
                  <a:p>
                    <a:fld id="{699F2BDE-7FDB-401F-BA71-DD4413B50AC9}" type="CELLRANGE">
                      <a:rPr lang="en-US" b="0"/>
                      <a:pPr/>
                      <a:t>[ДИАПАЗОН ЯЧЕЕК]</a:t>
                    </a:fld>
                    <a:endParaRPr lang="en-US" b="0" baseline="0"/>
                  </a:p>
                  <a:p>
                    <a:fld id="{F14C03D8-E2ED-42A5-A5BA-3A26D9581BE7}"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8.5781685610121453E-3"/>
                  <c:y val="-6.0591936611512513E-2"/>
                </c:manualLayout>
              </c:layout>
              <c:tx>
                <c:rich>
                  <a:bodyPr/>
                  <a:lstStyle/>
                  <a:p>
                    <a:fld id="{22EBA611-5DAF-420F-9EFE-58C4597C1F19}" type="CELLRANGE">
                      <a:rPr lang="en-US" b="0"/>
                      <a:pPr/>
                      <a:t>[ДИАПАЗОН ЯЧЕЕК]</a:t>
                    </a:fld>
                    <a:endParaRPr lang="en-US" b="0" baseline="0"/>
                  </a:p>
                  <a:p>
                    <a:fld id="{087667D8-5F64-4A46-B304-D82B0AAD71C6}"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dlblFieldTable/>
                  <c15:showDataLabelsRange val="1"/>
                </c:ext>
              </c:extLst>
            </c:dLbl>
            <c:dLbl>
              <c:idx val="4"/>
              <c:layout>
                <c:manualLayout>
                  <c:x val="1.0722710701265358E-2"/>
                  <c:y val="-2.3304591004427958E-2"/>
                </c:manualLayout>
              </c:layout>
              <c:tx>
                <c:rich>
                  <a:bodyPr/>
                  <a:lstStyle/>
                  <a:p>
                    <a:fld id="{4ACD9509-98F1-49D9-B45B-380518B062C8}" type="CELLRANGE">
                      <a:rPr lang="en-US" b="0"/>
                      <a:pPr/>
                      <a:t>[ДИАПАЗОН ЯЧЕЕК]</a:t>
                    </a:fld>
                    <a:r>
                      <a:rPr lang="en-US" baseline="0"/>
                      <a:t>
</a:t>
                    </a:r>
                    <a:fld id="{5C5654C1-BC83-447F-9376-962D1413B70C}"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5"/>
              <c:layout>
                <c:manualLayout>
                  <c:x val="1.2867252841518179E-2"/>
                  <c:y val="-2.7965509205313446E-2"/>
                </c:manualLayout>
              </c:layout>
              <c:tx>
                <c:rich>
                  <a:bodyPr/>
                  <a:lstStyle/>
                  <a:p>
                    <a:fld id="{3A62CB6E-DE5D-438C-87F4-82CF33198BF9}" type="CELLRANGE">
                      <a:rPr lang="en-US" b="0"/>
                      <a:pPr/>
                      <a:t>[ДИАПАЗОН ЯЧЕЕК]</a:t>
                    </a:fld>
                    <a:r>
                      <a:rPr lang="en-US" baseline="0"/>
                      <a:t>
</a:t>
                    </a:r>
                    <a:fld id="{7F569CE2-0974-4F93-BEF9-C7B0CF72C3E4}"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c:v>
                </c:pt>
                <c:pt idx="1">
                  <c:v>2020 год</c:v>
                </c:pt>
                <c:pt idx="2">
                  <c:v>2021 год</c:v>
                </c:pt>
                <c:pt idx="3">
                  <c:v>2022 год</c:v>
                </c:pt>
                <c:pt idx="4">
                  <c:v>2023 год</c:v>
                </c:pt>
                <c:pt idx="5">
                  <c:v>2024 год</c:v>
                </c:pt>
              </c:strCache>
            </c:strRef>
          </c:cat>
          <c:val>
            <c:numRef>
              <c:f>Лист1!$C$2:$C$7</c:f>
              <c:numCache>
                <c:formatCode>0.0%</c:formatCode>
                <c:ptCount val="6"/>
                <c:pt idx="0">
                  <c:v>0.94824422536874098</c:v>
                </c:pt>
                <c:pt idx="1">
                  <c:v>0.93100391361018164</c:v>
                </c:pt>
                <c:pt idx="2">
                  <c:v>0.93045198860636158</c:v>
                </c:pt>
                <c:pt idx="3">
                  <c:v>0.95885391292452271</c:v>
                </c:pt>
                <c:pt idx="4">
                  <c:v>0.95961899957957175</c:v>
                </c:pt>
                <c:pt idx="5">
                  <c:v>0.9603610099785832</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Лист1!$F$2:$F$7</c15:f>
                <c15:dlblRangeCache>
                  <c:ptCount val="6"/>
                  <c:pt idx="0">
                    <c:v>77 839,0</c:v>
                  </c:pt>
                  <c:pt idx="1">
                    <c:v>89 552,4</c:v>
                  </c:pt>
                  <c:pt idx="2">
                    <c:v>101 755,7</c:v>
                  </c:pt>
                  <c:pt idx="3">
                    <c:v>93 339,0</c:v>
                  </c:pt>
                  <c:pt idx="4">
                    <c:v>91 267,5</c:v>
                  </c:pt>
                  <c:pt idx="5">
                    <c:v>92 313,9</c:v>
                  </c:pt>
                </c15:dlblRangeCache>
              </c15:datalabelsRange>
            </c:ext>
          </c:extLst>
        </c:ser>
        <c:dLbls>
          <c:showLegendKey val="0"/>
          <c:showVal val="0"/>
          <c:showCatName val="0"/>
          <c:showSerName val="0"/>
          <c:showPercent val="0"/>
          <c:showBubbleSize val="0"/>
        </c:dLbls>
        <c:gapWidth val="60"/>
        <c:shape val="cylinder"/>
        <c:axId val="535269424"/>
        <c:axId val="548534440"/>
        <c:axId val="0"/>
      </c:bar3DChart>
      <c:catAx>
        <c:axId val="535269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8534440"/>
        <c:crosses val="autoZero"/>
        <c:auto val="1"/>
        <c:lblAlgn val="ctr"/>
        <c:lblOffset val="400"/>
        <c:noMultiLvlLbl val="0"/>
      </c:catAx>
      <c:valAx>
        <c:axId val="548534440"/>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35269424"/>
        <c:crosses val="autoZero"/>
        <c:crossBetween val="between"/>
        <c:majorUnit val="0.2"/>
      </c:valAx>
      <c:spPr>
        <a:noFill/>
        <a:ln>
          <a:noFill/>
        </a:ln>
        <a:effectLst/>
      </c:spPr>
    </c:plotArea>
    <c:legend>
      <c:legendPos val="r"/>
      <c:layout>
        <c:manualLayout>
          <c:xMode val="edge"/>
          <c:yMode val="edge"/>
          <c:x val="0.83146617449143112"/>
          <c:y val="7.465469752659383E-2"/>
          <c:w val="0.15683974377152443"/>
          <c:h val="0.8092357590405782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74334748776405"/>
          <c:y val="0.24705978129904979"/>
          <c:w val="0.7404051056952996"/>
          <c:h val="0.67298433229345134"/>
        </c:manualLayout>
      </c:layout>
      <c:pie3DChart>
        <c:varyColors val="1"/>
        <c:ser>
          <c:idx val="0"/>
          <c:order val="0"/>
          <c:tx>
            <c:strRef>
              <c:f>Лист1!$B$1</c:f>
              <c:strCache>
                <c:ptCount val="1"/>
                <c:pt idx="0">
                  <c:v>Столбец1</c:v>
                </c:pt>
              </c:strCache>
            </c:strRef>
          </c:tx>
          <c:dPt>
            <c:idx val="0"/>
            <c:bubble3D val="0"/>
            <c:explosion val="8"/>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5DB-46C3-981C-01F1A2B5E334}"/>
              </c:ext>
            </c:extLst>
          </c:dPt>
          <c:dPt>
            <c:idx val="1"/>
            <c:bubble3D val="0"/>
            <c:explosion val="8"/>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5DB-46C3-981C-01F1A2B5E334}"/>
              </c:ext>
            </c:extLst>
          </c:dPt>
          <c:dPt>
            <c:idx val="2"/>
            <c:bubble3D val="0"/>
            <c:explosion val="5"/>
            <c:spPr>
              <a:solidFill>
                <a:srgbClr val="B793B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5DB-46C3-981C-01F1A2B5E334}"/>
              </c:ext>
            </c:extLst>
          </c:dPt>
          <c:dPt>
            <c:idx val="3"/>
            <c:bubble3D val="0"/>
            <c:explosion val="8"/>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5DB-46C3-981C-01F1A2B5E334}"/>
              </c:ext>
            </c:extLst>
          </c:dPt>
          <c:dPt>
            <c:idx val="4"/>
            <c:bubble3D val="0"/>
            <c:explosion val="9"/>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5DB-46C3-981C-01F1A2B5E334}"/>
              </c:ext>
            </c:extLst>
          </c:dPt>
          <c:dPt>
            <c:idx val="5"/>
            <c:bubble3D val="0"/>
            <c:explosion val="4"/>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5DB-46C3-981C-01F1A2B5E334}"/>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5DB-46C3-981C-01F1A2B5E334}"/>
              </c:ext>
            </c:extLst>
          </c:dPt>
          <c:dLbls>
            <c:dLbl>
              <c:idx val="0"/>
              <c:layout>
                <c:manualLayout>
                  <c:x val="8.7267661825542783E-2"/>
                  <c:y val="-4.106170081142619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5DB-46C3-981C-01F1A2B5E334}"/>
                </c:ext>
                <c:ext xmlns:c15="http://schemas.microsoft.com/office/drawing/2012/chart" uri="{CE6537A1-D6FC-4f65-9D91-7224C49458BB}"/>
              </c:extLst>
            </c:dLbl>
            <c:dLbl>
              <c:idx val="1"/>
              <c:layout>
                <c:manualLayout>
                  <c:x val="-3.4076429391275337E-2"/>
                  <c:y val="-6.794166771934266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5DB-46C3-981C-01F1A2B5E334}"/>
                </c:ext>
                <c:ext xmlns:c15="http://schemas.microsoft.com/office/drawing/2012/chart" uri="{CE6537A1-D6FC-4f65-9D91-7224C49458BB}">
                  <c15:layout>
                    <c:manualLayout>
                      <c:w val="0.16639432363846024"/>
                      <c:h val="0.19048509696634408"/>
                    </c:manualLayout>
                  </c15:layout>
                </c:ext>
              </c:extLst>
            </c:dLbl>
            <c:dLbl>
              <c:idx val="2"/>
              <c:layout>
                <c:manualLayout>
                  <c:x val="-6.5636934727421367E-2"/>
                  <c:y val="8.0271473418763825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5DB-46C3-981C-01F1A2B5E334}"/>
                </c:ext>
                <c:ext xmlns:c15="http://schemas.microsoft.com/office/drawing/2012/chart" uri="{CE6537A1-D6FC-4f65-9D91-7224C49458BB}">
                  <c15:spPr xmlns:c15="http://schemas.microsoft.com/office/drawing/2012/chart">
                    <a:prstGeom prst="wedgeRectCallout">
                      <a:avLst/>
                    </a:prstGeom>
                  </c15:spPr>
                  <c15:layout>
                    <c:manualLayout>
                      <c:w val="0.21978629475163813"/>
                      <c:h val="0.2240615976900866"/>
                    </c:manualLayout>
                  </c15:layout>
                </c:ext>
              </c:extLst>
            </c:dLbl>
            <c:dLbl>
              <c:idx val="3"/>
              <c:layout>
                <c:manualLayout>
                  <c:x val="2.1879523256314232E-2"/>
                  <c:y val="-1.475348669651587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5DB-46C3-981C-01F1A2B5E334}"/>
                </c:ext>
                <c:ext xmlns:c15="http://schemas.microsoft.com/office/drawing/2012/chart" uri="{CE6537A1-D6FC-4f65-9D91-7224C49458BB}">
                  <c15:spPr xmlns:c15="http://schemas.microsoft.com/office/drawing/2012/chart">
                    <a:prstGeom prst="wedgeRectCallout">
                      <a:avLst/>
                    </a:prstGeom>
                  </c15:spPr>
                  <c15:layout>
                    <c:manualLayout>
                      <c:w val="0.23285606669556472"/>
                      <c:h val="0.23735784711222935"/>
                    </c:manualLayout>
                  </c15:layout>
                </c:ext>
              </c:extLst>
            </c:dLbl>
            <c:dLbl>
              <c:idx val="4"/>
              <c:layout>
                <c:manualLayout>
                  <c:x val="9.3625575491588064E-2"/>
                  <c:y val="4.68434460398332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65DB-46C3-981C-01F1A2B5E334}"/>
                </c:ext>
                <c:ext xmlns:c15="http://schemas.microsoft.com/office/drawing/2012/chart" uri="{CE6537A1-D6FC-4f65-9D91-7224C49458BB}">
                  <c15:spPr xmlns:c15="http://schemas.microsoft.com/office/drawing/2012/chart">
                    <a:prstGeom prst="wedgeRectCallout">
                      <a:avLst/>
                    </a:prstGeom>
                  </c15:spPr>
                  <c15:layout>
                    <c:manualLayout>
                      <c:w val="0.22366648850881876"/>
                      <c:h val="0.25948026948989411"/>
                    </c:manualLayout>
                  </c15:layout>
                </c:ext>
              </c:extLst>
            </c:dLbl>
            <c:dLbl>
              <c:idx val="5"/>
              <c:layout>
                <c:manualLayout>
                  <c:x val="2.347576141437676E-2"/>
                  <c:y val="1.227376414329344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65DB-46C3-981C-01F1A2B5E334}"/>
                </c:ext>
                <c:ext xmlns:c15="http://schemas.microsoft.com/office/drawing/2012/chart" uri="{CE6537A1-D6FC-4f65-9D91-7224C49458BB}">
                  <c15:spPr xmlns:c15="http://schemas.microsoft.com/office/drawing/2012/chart">
                    <a:prstGeom prst="wedgeRectCallout">
                      <a:avLst/>
                    </a:prstGeom>
                  </c15:spPr>
                </c:ext>
              </c:extLst>
            </c:dLbl>
            <c:dLbl>
              <c:idx val="6"/>
              <c:delete val="1"/>
              <c:extLst xmlns:c16r2="http://schemas.microsoft.com/office/drawing/2015/06/chart">
                <c:ext xmlns:c16="http://schemas.microsoft.com/office/drawing/2014/chart" uri="{C3380CC4-5D6E-409C-BE32-E72D297353CC}">
                  <c16:uniqueId val="{0000000D-65DB-46C3-981C-01F1A2B5E334}"/>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Развитие образования Тульской области</c:v>
                </c:pt>
                <c:pt idx="1">
                  <c:v>Развитие здравоохранения Тульской области</c:v>
                </c:pt>
                <c:pt idx="2">
                  <c:v>Социальная поддержка и социальное обслуживание населения Тульской области</c:v>
                </c:pt>
                <c:pt idx="3">
                  <c:v>Улучшение демографической ситуации и поддержка семей, воспитывающих детей, в Тульской области</c:v>
                </c:pt>
                <c:pt idx="4">
                  <c:v>Модернизация и развитие автомобильных дорог общего пользования в Тульской области</c:v>
                </c:pt>
                <c:pt idx="5">
                  <c:v>Другие 28 госпрограмм</c:v>
                </c:pt>
              </c:strCache>
            </c:strRef>
          </c:cat>
          <c:val>
            <c:numRef>
              <c:f>Лист1!$B$2:$B$7</c:f>
              <c:numCache>
                <c:formatCode>#\ ##0.0</c:formatCode>
                <c:ptCount val="6"/>
                <c:pt idx="0">
                  <c:v>25340.400000000001</c:v>
                </c:pt>
                <c:pt idx="1">
                  <c:v>18875.400000000001</c:v>
                </c:pt>
                <c:pt idx="2">
                  <c:v>10924.7</c:v>
                </c:pt>
                <c:pt idx="3">
                  <c:v>7647.7</c:v>
                </c:pt>
                <c:pt idx="4">
                  <c:v>7431.8</c:v>
                </c:pt>
                <c:pt idx="5">
                  <c:v>23119</c:v>
                </c:pt>
              </c:numCache>
            </c:numRef>
          </c:val>
          <c:extLst xmlns:c16r2="http://schemas.microsoft.com/office/drawing/2015/06/chart">
            <c:ext xmlns:c16="http://schemas.microsoft.com/office/drawing/2014/chart" uri="{C3380CC4-5D6E-409C-BE32-E72D297353CC}">
              <c16:uniqueId val="{0000000E-65DB-46C3-981C-01F1A2B5E334}"/>
            </c:ext>
          </c:extLst>
        </c:ser>
        <c:dLbls>
          <c:showLegendKey val="0"/>
          <c:showVal val="0"/>
          <c:showCatName val="0"/>
          <c:showSerName val="0"/>
          <c:showPercent val="0"/>
          <c:showBubbleSize val="0"/>
          <c:showLeaderLines val="0"/>
        </c:dLbls>
      </c:pie3DChart>
      <c:spPr>
        <a:noFill/>
        <a:ln>
          <a:solidFill>
            <a:schemeClr val="accent1">
              <a:lumMod val="20000"/>
              <a:lumOff val="80000"/>
            </a:schemeClr>
          </a:solidFill>
        </a:ln>
        <a:effectLst/>
      </c:spPr>
    </c:plotArea>
    <c:plotVisOnly val="1"/>
    <c:dispBlanksAs val="zero"/>
    <c:showDLblsOverMax val="0"/>
  </c:chart>
  <c:spPr>
    <a:solidFill>
      <a:schemeClr val="accent1">
        <a:lumMod val="20000"/>
        <a:lumOff val="80000"/>
      </a:schemeClr>
    </a:solidFill>
    <a:ln w="9525" cap="flat" cmpd="sng" algn="ctr">
      <a:solidFill>
        <a:schemeClr val="accent5">
          <a:lumMod val="20000"/>
          <a:lumOff val="80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75651003628835478"/>
          <c:h val="0.73793018543691813"/>
        </c:manualLayout>
      </c:layout>
      <c:bar3DChart>
        <c:barDir val="col"/>
        <c:grouping val="stacked"/>
        <c:varyColors val="0"/>
        <c:ser>
          <c:idx val="0"/>
          <c:order val="0"/>
          <c:tx>
            <c:strRef>
              <c:f>Лист1!$B$1</c:f>
              <c:strCache>
                <c:ptCount val="1"/>
                <c:pt idx="0">
                  <c:v>средства бюджета области</c:v>
                </c:pt>
              </c:strCache>
            </c:strRef>
          </c:tx>
          <c:spPr>
            <a:solidFill>
              <a:schemeClr val="accent1"/>
            </a:solidFill>
            <a:ln>
              <a:noFill/>
            </a:ln>
            <a:effectLst/>
            <a:sp3d/>
          </c:spPr>
          <c:invertIfNegative val="0"/>
          <c:dLbls>
            <c:dLbl>
              <c:idx val="0"/>
              <c:layout>
                <c:manualLayout>
                  <c:x val="2.1445421402530558E-3"/>
                  <c:y val="5.5879008609265859E-3"/>
                </c:manualLayout>
              </c:layout>
              <c:tx>
                <c:rich>
                  <a:bodyPr/>
                  <a:lstStyle/>
                  <a:p>
                    <a:fld id="{E1BF7E10-A804-49AC-B168-3762B843B1F7}" type="CELLRANGE">
                      <a:rPr lang="en-US"/>
                      <a:pPr/>
                      <a:t>[ДИАПАЗОН ЯЧЕЕК]</a:t>
                    </a:fld>
                    <a:endParaRPr lang="en-US" baseline="0"/>
                  </a:p>
                  <a:p>
                    <a:fld id="{A70C736B-8F1A-4659-8F37-AE5D6F11CD51}"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1"/>
              <c:layout>
                <c:manualLayout>
                  <c:x val="8.5781685610122234E-3"/>
                  <c:y val="2.9107617665246818E-2"/>
                </c:manualLayout>
              </c:layout>
              <c:tx>
                <c:rich>
                  <a:bodyPr/>
                  <a:lstStyle/>
                  <a:p>
                    <a:fld id="{D2064DA8-6107-468A-A9B9-5F64590C7988}" type="CELLRANGE">
                      <a:rPr lang="en-US"/>
                      <a:pPr/>
                      <a:t>[ДИАПАЗОН ЯЧЕЕК]</a:t>
                    </a:fld>
                    <a:endParaRPr lang="en-US" baseline="0"/>
                  </a:p>
                  <a:p>
                    <a:fld id="{36D41EA1-61E9-4CA5-B083-6A757A5D016A}"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2"/>
              <c:layout>
                <c:manualLayout>
                  <c:x val="1.2867252841518335E-2"/>
                  <c:y val="2.3862456932297063E-2"/>
                </c:manualLayout>
              </c:layout>
              <c:tx>
                <c:rich>
                  <a:bodyPr/>
                  <a:lstStyle/>
                  <a:p>
                    <a:fld id="{C498E3AC-ECA8-44D9-8AFD-853510AD6B74}" type="CELLRANGE">
                      <a:rPr lang="en-US"/>
                      <a:pPr/>
                      <a:t>[ДИАПАЗОН ЯЧЕЕК]</a:t>
                    </a:fld>
                    <a:endParaRPr lang="en-US" baseline="0"/>
                  </a:p>
                  <a:p>
                    <a:fld id="{6630E3DF-8EE5-40D1-80A1-428DB13815C8}"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3"/>
              <c:layout>
                <c:manualLayout>
                  <c:x val="1.286725284151826E-2"/>
                  <c:y val="2.1538580108155334E-2"/>
                </c:manualLayout>
              </c:layout>
              <c:tx>
                <c:rich>
                  <a:bodyPr/>
                  <a:lstStyle/>
                  <a:p>
                    <a:fld id="{07BBA531-0C22-4D92-812C-37C2CD666DC1}" type="CELLRANGE">
                      <a:rPr lang="en-US"/>
                      <a:pPr/>
                      <a:t>[ДИАПАЗОН ЯЧЕЕК]</a:t>
                    </a:fld>
                    <a:endParaRPr lang="en-US" baseline="0"/>
                  </a:p>
                  <a:p>
                    <a:fld id="{4FC8F43D-BB8C-4704-8E99-D46A3E8888DB}"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4"/>
              <c:layout>
                <c:manualLayout>
                  <c:x val="1.072271070126528E-2"/>
                  <c:y val="9.3221164943958559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B70397A1-90D5-480A-89C6-400EA381B9CC}" type="CELLRANGE">
                      <a:rPr lang="en-US" baseline="0"/>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r>
                      <a:rPr lang="en-US" baseline="0"/>
                      <a:t>
</a:t>
                    </a:r>
                    <a:fld id="{5ACDC4D0-2BED-446E-B02C-645BA6DDF017}" type="VALUE">
                      <a:rPr lang="en-US" baseline="0"/>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en-US" baseline="0"/>
                  </a:p>
                </c:rich>
              </c:tx>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8.2028736864679389E-2"/>
                      <c:h val="0.11347023710127586"/>
                    </c:manualLayout>
                  </c15:layout>
                  <c15:dlblFieldTable/>
                  <c15:showDataLabelsRange val="1"/>
                </c:ext>
              </c:extLst>
            </c:dLbl>
            <c:dLbl>
              <c:idx val="5"/>
              <c:layout>
                <c:manualLayout>
                  <c:x val="1.2867252841518257E-2"/>
                  <c:y val="9.3219455059974175E-3"/>
                </c:manualLayout>
              </c:layout>
              <c:tx>
                <c:rich>
                  <a:bodyPr/>
                  <a:lstStyle/>
                  <a:p>
                    <a:fld id="{E09E30D2-A849-44B1-A60C-B5B59AD479C5}" type="CELLRANGE">
                      <a:rPr lang="en-US" baseline="0"/>
                      <a:pPr/>
                      <a:t>[ДИАПАЗОН ЯЧЕЕК]</a:t>
                    </a:fld>
                    <a:r>
                      <a:rPr lang="en-US" baseline="0"/>
                      <a:t>
</a:t>
                    </a:r>
                    <a:fld id="{0BDC16E3-E802-4B2C-9C72-66610B56DC2C}" type="VALUE">
                      <a:rPr lang="en-US"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 
(35 РП)</c:v>
                </c:pt>
                <c:pt idx="1">
                  <c:v>2020 год 
(38 РП)</c:v>
                </c:pt>
                <c:pt idx="2">
                  <c:v>2021 год
(34 РП)</c:v>
                </c:pt>
                <c:pt idx="3">
                  <c:v>2022 год
(36 РП)</c:v>
                </c:pt>
                <c:pt idx="4">
                  <c:v>2023 год
(34 РП)</c:v>
                </c:pt>
                <c:pt idx="5">
                  <c:v>2024 год 
(33 РП)</c:v>
                </c:pt>
              </c:strCache>
            </c:strRef>
          </c:cat>
          <c:val>
            <c:numRef>
              <c:f>Лист1!$B$2:$B$7</c:f>
              <c:numCache>
                <c:formatCode>#\ ##0.0</c:formatCode>
                <c:ptCount val="6"/>
                <c:pt idx="0">
                  <c:v>2483.7999999999997</c:v>
                </c:pt>
                <c:pt idx="1">
                  <c:v>4894.3</c:v>
                </c:pt>
                <c:pt idx="2">
                  <c:v>6372.8000000000011</c:v>
                </c:pt>
                <c:pt idx="3">
                  <c:v>8608.7999999999993</c:v>
                </c:pt>
                <c:pt idx="4">
                  <c:v>7764.4</c:v>
                </c:pt>
                <c:pt idx="5">
                  <c:v>6288</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Лист1!$E$2:$E$7</c15:f>
                <c15:dlblRangeCache>
                  <c:ptCount val="6"/>
                </c15:dlblRangeCache>
              </c15:datalabelsRange>
            </c:ext>
          </c:extLst>
        </c:ser>
        <c:ser>
          <c:idx val="1"/>
          <c:order val="1"/>
          <c:tx>
            <c:strRef>
              <c:f>Лист1!$C$1</c:f>
              <c:strCache>
                <c:ptCount val="1"/>
                <c:pt idx="0">
                  <c:v>другие средства, в том числе: средства федерального бюджета и  средства Фонда содействия реформированию ЖКХ</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a:pPr/>
                      <a:t>[ДИАПАЗОН ЯЧЕЕК]</a:t>
                    </a:fld>
                    <a:endParaRPr lang="en-US" baseline="0"/>
                  </a:p>
                  <a:p>
                    <a:fld id="{58288AFB-7FDE-49E0-9A06-F966B1C3EFB3}"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528415183E-2"/>
                  <c:y val="-4.0766408479412973E-3"/>
                </c:manualLayout>
              </c:layout>
              <c:tx>
                <c:rich>
                  <a:bodyPr/>
                  <a:lstStyle/>
                  <a:p>
                    <a:fld id="{173E77F8-7D23-48D4-964D-1EDE40CF252A}" type="CELLRANGE">
                      <a:rPr lang="en-US"/>
                      <a:pPr/>
                      <a:t>[ДИАПАЗОН ЯЧЕЕК]</a:t>
                    </a:fld>
                    <a:endParaRPr lang="en-US" baseline="0"/>
                  </a:p>
                  <a:p>
                    <a:fld id="{89C11051-54B7-4468-9635-1E3D9DD0266F}"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8.5781685610122234E-3"/>
                  <c:y val="0"/>
                </c:manualLayout>
              </c:layout>
              <c:tx>
                <c:rich>
                  <a:bodyPr/>
                  <a:lstStyle/>
                  <a:p>
                    <a:fld id="{699F2BDE-7FDB-401F-BA71-DD4413B50AC9}" type="CELLRANGE">
                      <a:rPr lang="en-US"/>
                      <a:pPr/>
                      <a:t>[ДИАПАЗОН ЯЧЕЕК]</a:t>
                    </a:fld>
                    <a:endParaRPr lang="en-US" baseline="0"/>
                  </a:p>
                  <a:p>
                    <a:fld id="{F14C03D8-E2ED-42A5-A5BA-3A26D9581BE7}"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6.4336264207590938E-3"/>
                  <c:y val="-7.4737552171010297E-17"/>
                </c:manualLayout>
              </c:layout>
              <c:tx>
                <c:rich>
                  <a:bodyPr/>
                  <a:lstStyle/>
                  <a:p>
                    <a:fld id="{22EBA611-5DAF-420F-9EFE-58C4597C1F19}" type="CELLRANGE">
                      <a:rPr lang="en-US"/>
                      <a:pPr/>
                      <a:t>[ДИАПАЗОН ЯЧЕЕК]</a:t>
                    </a:fld>
                    <a:endParaRPr lang="en-US" baseline="0"/>
                  </a:p>
                  <a:p>
                    <a:fld id="{087667D8-5F64-4A46-B304-D82B0AAD71C6}"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dlblFieldTable/>
                  <c15:showDataLabelsRange val="1"/>
                </c:ext>
              </c:extLst>
            </c:dLbl>
            <c:dLbl>
              <c:idx val="4"/>
              <c:layout>
                <c:manualLayout>
                  <c:x val="1.0722710701265202E-2"/>
                  <c:y val="0"/>
                </c:manualLayout>
              </c:layout>
              <c:tx>
                <c:rich>
                  <a:bodyPr/>
                  <a:lstStyle/>
                  <a:p>
                    <a:fld id="{E5B87538-7233-4D3F-B486-0F34CCAB74F1}" type="CELLRANGE">
                      <a:rPr lang="en-US" baseline="0"/>
                      <a:pPr/>
                      <a:t>[ДИАПАЗОН ЯЧЕЕК]</a:t>
                    </a:fld>
                    <a:r>
                      <a:rPr lang="en-US" baseline="0"/>
                      <a:t>
</a:t>
                    </a:r>
                    <a:fld id="{F3F212D8-EA73-4CC7-8DC0-C1EBC77EA3BE}" type="VALUE">
                      <a:rPr lang="en-US"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5"/>
              <c:layout>
                <c:manualLayout>
                  <c:x val="8.5781685610122234E-3"/>
                  <c:y val="-4.3431053203040575E-3"/>
                </c:manualLayout>
              </c:layout>
              <c:tx>
                <c:rich>
                  <a:bodyPr/>
                  <a:lstStyle/>
                  <a:p>
                    <a:fld id="{68A4B241-4A24-4325-84C1-5E157E32981C}" type="CELLRANGE">
                      <a:rPr lang="en-US" baseline="0"/>
                      <a:pPr/>
                      <a:t>[ДИАПАЗОН ЯЧЕЕК]</a:t>
                    </a:fld>
                    <a:r>
                      <a:rPr lang="en-US" baseline="0"/>
                      <a:t>
</a:t>
                    </a:r>
                    <a:fld id="{2D68049A-9D79-451C-B42F-001C9EBB982B}" type="VALUE">
                      <a:rPr lang="en-US"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2019 год 
(35 РП)</c:v>
                </c:pt>
                <c:pt idx="1">
                  <c:v>2020 год 
(38 РП)</c:v>
                </c:pt>
                <c:pt idx="2">
                  <c:v>2021 год
(34 РП)</c:v>
                </c:pt>
                <c:pt idx="3">
                  <c:v>2022 год
(36 РП)</c:v>
                </c:pt>
                <c:pt idx="4">
                  <c:v>2023 год
(34 РП)</c:v>
                </c:pt>
                <c:pt idx="5">
                  <c:v>2024 год 
(33 РП)</c:v>
                </c:pt>
              </c:strCache>
            </c:strRef>
          </c:cat>
          <c:val>
            <c:numRef>
              <c:f>Лист1!$C$2:$C$7</c:f>
              <c:numCache>
                <c:formatCode>#\ ##0.0</c:formatCode>
                <c:ptCount val="6"/>
                <c:pt idx="0">
                  <c:v>4677</c:v>
                </c:pt>
                <c:pt idx="1">
                  <c:v>7770.4</c:v>
                </c:pt>
                <c:pt idx="2">
                  <c:v>9722.7999999999993</c:v>
                </c:pt>
                <c:pt idx="3">
                  <c:v>6371.8</c:v>
                </c:pt>
                <c:pt idx="4">
                  <c:v>4553.5</c:v>
                </c:pt>
                <c:pt idx="5">
                  <c:v>4862</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Лист1!$F$2:$F$7</c15:f>
                <c15:dlblRangeCache>
                  <c:ptCount val="6"/>
                </c15:dlblRangeCache>
              </c15:datalabelsRange>
            </c:ext>
          </c:extLst>
        </c:ser>
        <c:dLbls>
          <c:showLegendKey val="0"/>
          <c:showVal val="0"/>
          <c:showCatName val="0"/>
          <c:showSerName val="0"/>
          <c:showPercent val="0"/>
          <c:showBubbleSize val="0"/>
        </c:dLbls>
        <c:gapWidth val="60"/>
        <c:shape val="cylinder"/>
        <c:axId val="540404992"/>
        <c:axId val="540405384"/>
        <c:axId val="0"/>
      </c:bar3DChart>
      <c:catAx>
        <c:axId val="540404992"/>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40405384"/>
        <c:crosses val="autoZero"/>
        <c:auto val="1"/>
        <c:lblAlgn val="ctr"/>
        <c:lblOffset val="800"/>
        <c:noMultiLvlLbl val="0"/>
      </c:catAx>
      <c:valAx>
        <c:axId val="540405384"/>
        <c:scaling>
          <c:orientation val="minMax"/>
          <c:max val="16000"/>
        </c:scaling>
        <c:delete val="0"/>
        <c:axPos val="l"/>
        <c:majorGridlines>
          <c:spPr>
            <a:ln w="9525" cap="flat" cmpd="sng" algn="ctr">
              <a:solidFill>
                <a:sysClr val="windowText" lastClr="000000">
                  <a:lumMod val="25000"/>
                  <a:lumOff val="75000"/>
                </a:sys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40404992"/>
        <c:crosses val="autoZero"/>
        <c:crossBetween val="between"/>
        <c:majorUnit val="4000"/>
      </c:valAx>
      <c:spPr>
        <a:noFill/>
        <a:ln>
          <a:noFill/>
        </a:ln>
        <a:effectLst/>
      </c:spPr>
    </c:plotArea>
    <c:legend>
      <c:legendPos val="r"/>
      <c:layout>
        <c:manualLayout>
          <c:xMode val="edge"/>
          <c:yMode val="edge"/>
          <c:x val="0.77785262098510477"/>
          <c:y val="0.20494772029717784"/>
          <c:w val="0.22214737901489531"/>
          <c:h val="0.765220959757880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8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38516526897597E-2"/>
          <c:y val="0.23464842551005716"/>
          <c:w val="0.80566894991784543"/>
          <c:h val="0.73461096599201936"/>
        </c:manualLayout>
      </c:layout>
      <c:pie3DChart>
        <c:varyColors val="1"/>
        <c:ser>
          <c:idx val="0"/>
          <c:order val="0"/>
          <c:tx>
            <c:strRef>
              <c:f>Лист1!$B$1</c:f>
              <c:strCache>
                <c:ptCount val="1"/>
                <c:pt idx="0">
                  <c:v>Столбец1</c:v>
                </c:pt>
              </c:strCache>
            </c:strRef>
          </c:tx>
          <c:explosion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031-4784-84AC-0D3B500557B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031-4784-84AC-0D3B500557B0}"/>
              </c:ext>
            </c:extLst>
          </c:dPt>
          <c:dPt>
            <c:idx val="2"/>
            <c:bubble3D val="0"/>
            <c:spPr>
              <a:solidFill>
                <a:srgbClr val="B793B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031-4784-84AC-0D3B500557B0}"/>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031-4784-84AC-0D3B500557B0}"/>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031-4784-84AC-0D3B500557B0}"/>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031-4784-84AC-0D3B500557B0}"/>
              </c:ext>
            </c:extLst>
          </c:dPt>
          <c:dLbls>
            <c:dLbl>
              <c:idx val="0"/>
              <c:layout>
                <c:manualLayout>
                  <c:x val="-6.8788075010360564E-2"/>
                  <c:y val="-4.418842381544420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031-4784-84AC-0D3B500557B0}"/>
                </c:ext>
                <c:ext xmlns:c15="http://schemas.microsoft.com/office/drawing/2012/chart" uri="{CE6537A1-D6FC-4f65-9D91-7224C49458BB}">
                  <c15:spPr xmlns:c15="http://schemas.microsoft.com/office/drawing/2012/chart">
                    <a:prstGeom prst="wedgeRectCallout">
                      <a:avLst/>
                    </a:prstGeom>
                  </c15:spPr>
                  <c15:layout>
                    <c:manualLayout>
                      <c:w val="0.19876882166045029"/>
                      <c:h val="0.27598459732007186"/>
                    </c:manualLayout>
                  </c15:layout>
                </c:ext>
              </c:extLst>
            </c:dLbl>
            <c:dLbl>
              <c:idx val="1"/>
              <c:layout>
                <c:manualLayout>
                  <c:x val="-4.794377676474651E-2"/>
                  <c:y val="6.587822903715978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031-4784-84AC-0D3B500557B0}"/>
                </c:ext>
                <c:ext xmlns:c15="http://schemas.microsoft.com/office/drawing/2012/chart" uri="{CE6537A1-D6FC-4f65-9D91-7224C49458BB}">
                  <c15:layout>
                    <c:manualLayout>
                      <c:w val="0.22967178274281722"/>
                      <c:h val="0.25108560344539282"/>
                    </c:manualLayout>
                  </c15:layout>
                </c:ext>
              </c:extLst>
            </c:dLbl>
            <c:dLbl>
              <c:idx val="2"/>
              <c:layout>
                <c:manualLayout>
                  <c:x val="8.3850497306257772E-3"/>
                  <c:y val="-1.274796242574941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031-4784-84AC-0D3B500557B0}"/>
                </c:ext>
                <c:ext xmlns:c15="http://schemas.microsoft.com/office/drawing/2012/chart" uri="{CE6537A1-D6FC-4f65-9D91-7224C49458BB}">
                  <c15:layout>
                    <c:manualLayout>
                      <c:w val="0.20775400607818756"/>
                      <c:h val="0.2423660035916563"/>
                    </c:manualLayout>
                  </c15:layout>
                </c:ext>
              </c:extLst>
            </c:dLbl>
            <c:dLbl>
              <c:idx val="3"/>
              <c:layout>
                <c:manualLayout>
                  <c:x val="-4.4175746324392459E-2"/>
                  <c:y val="-2.354646793147289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031-4784-84AC-0D3B500557B0}"/>
                </c:ext>
                <c:ext xmlns:c15="http://schemas.microsoft.com/office/drawing/2012/chart" uri="{CE6537A1-D6FC-4f65-9D91-7224C49458BB}"/>
              </c:extLst>
            </c:dLbl>
            <c:dLbl>
              <c:idx val="4"/>
              <c:layout>
                <c:manualLayout>
                  <c:x val="3.0759514435695537E-2"/>
                  <c:y val="-2.4011776488465239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18893200027628121"/>
                      <c:h val="0.24023794723028041"/>
                    </c:manualLayout>
                  </c15:layout>
                </c:ext>
              </c:extLst>
            </c:dLbl>
            <c:dLbl>
              <c:idx val="5"/>
              <c:layout>
                <c:manualLayout>
                  <c:x val="3.8531024644063265E-2"/>
                  <c:y val="0.10943340685224334"/>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3031-4784-84AC-0D3B500557B0}"/>
                </c:ext>
                <c:ext xmlns:c15="http://schemas.microsoft.com/office/drawing/2012/chart" uri="{CE6537A1-D6FC-4f65-9D91-7224C49458BB}">
                  <c15:spPr xmlns:c15="http://schemas.microsoft.com/office/drawing/2012/chart">
                    <a:prstGeom prst="wedgeRectCallout">
                      <a:avLst/>
                    </a:prstGeom>
                  </c15:spPr>
                  <c15:layout>
                    <c:manualLayout>
                      <c:w val="0.19402852603950821"/>
                      <c:h val="0.28298729106230136"/>
                    </c:manualLayout>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Лист1!$A$2:$A$8</c:f>
              <c:strCache>
                <c:ptCount val="7"/>
                <c:pt idx="0">
                  <c:v>РП "Финансовая поддержка семей при рождении детей"</c:v>
                </c:pt>
                <c:pt idx="1">
                  <c:v>РП "Региональная и местная дорожная сеть"</c:v>
                </c:pt>
                <c:pt idx="2">
                  <c:v>РП "Модернизация первичного звена здравоохранения"</c:v>
                </c:pt>
                <c:pt idx="3">
                  <c:v>РП "Современная школа"</c:v>
                </c:pt>
                <c:pt idx="4">
                  <c:v>РП "Борьба с онкологическими заболеваниями"</c:v>
                </c:pt>
                <c:pt idx="5">
                  <c:v>РП "Формирование комфортной городской среды"</c:v>
                </c:pt>
                <c:pt idx="6">
                  <c:v>Другие 30 РП</c:v>
                </c:pt>
              </c:strCache>
            </c:strRef>
          </c:cat>
          <c:val>
            <c:numRef>
              <c:f>Лист1!$B$2:$B$8</c:f>
              <c:numCache>
                <c:formatCode>General</c:formatCode>
                <c:ptCount val="7"/>
                <c:pt idx="0">
                  <c:v>3989.3</c:v>
                </c:pt>
                <c:pt idx="1">
                  <c:v>1882.8</c:v>
                </c:pt>
                <c:pt idx="2">
                  <c:v>1371.3</c:v>
                </c:pt>
                <c:pt idx="3">
                  <c:v>1232.4000000000001</c:v>
                </c:pt>
                <c:pt idx="4">
                  <c:v>1187.4000000000001</c:v>
                </c:pt>
                <c:pt idx="5">
                  <c:v>1006</c:v>
                </c:pt>
                <c:pt idx="6" formatCode="#\ ##0.0">
                  <c:v>4311.3999999999996</c:v>
                </c:pt>
              </c:numCache>
            </c:numRef>
          </c:val>
          <c:extLst xmlns:c16r2="http://schemas.microsoft.com/office/drawing/2015/06/chart">
            <c:ext xmlns:c16="http://schemas.microsoft.com/office/drawing/2014/chart" uri="{C3380CC4-5D6E-409C-BE32-E72D297353CC}">
              <c16:uniqueId val="{0000000C-3031-4784-84AC-0D3B500557B0}"/>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821346698751264"/>
          <c:y val="0.10933333333333331"/>
          <c:w val="0.4568368128295891"/>
          <c:h val="0.97933044930648494"/>
        </c:manualLayout>
      </c:layout>
      <c:pieChart>
        <c:varyColors val="1"/>
        <c:ser>
          <c:idx val="0"/>
          <c:order val="0"/>
          <c:tx>
            <c:strRef>
              <c:f>Лист1!$B$1</c:f>
              <c:strCache>
                <c:ptCount val="1"/>
                <c:pt idx="0">
                  <c:v>Столбец1</c:v>
                </c:pt>
              </c:strCache>
            </c:strRef>
          </c:tx>
          <c:spPr>
            <a:scene3d>
              <a:camera prst="orthographicFront"/>
              <a:lightRig rig="threePt" dir="t"/>
            </a:scene3d>
            <a:sp3d>
              <a:bevelT/>
            </a:sp3d>
          </c:spPr>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a:scene3d>
                <a:camera prst="orthographicFront"/>
                <a:lightRig rig="threePt" dir="t"/>
              </a:scene3d>
              <a:sp3d>
                <a:bevelT/>
              </a:sp3d>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a:scene3d>
                <a:camera prst="orthographicFront"/>
                <a:lightRig rig="threePt" dir="t"/>
              </a:scene3d>
              <a:sp3d>
                <a:bevelT/>
              </a:sp3d>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a:scene3d>
                <a:camera prst="orthographicFront"/>
                <a:lightRig rig="threePt" dir="t"/>
              </a:scene3d>
              <a:sp3d>
                <a:bevelT/>
              </a:sp3d>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a:scene3d>
                <a:camera prst="orthographicFront"/>
                <a:lightRig rig="threePt" dir="t"/>
              </a:scene3d>
              <a:sp3d>
                <a:bevelT/>
              </a:sp3d>
            </c:spPr>
          </c:dPt>
          <c:dLbls>
            <c:dLbl>
              <c:idx val="0"/>
              <c:layout>
                <c:manualLayout>
                  <c:x val="-6.9954008042572664E-3"/>
                  <c:y val="-2.0970556250562138E-2"/>
                </c:manualLayout>
              </c:layout>
              <c:tx>
                <c:rich>
                  <a:bodyPr/>
                  <a:lstStyle/>
                  <a:p>
                    <a:r>
                      <a:rPr lang="ru-RU">
                        <a:solidFill>
                          <a:sysClr val="windowText" lastClr="000000"/>
                        </a:solidFill>
                        <a:latin typeface="Times New Roman" pitchFamily="18" charset="0"/>
                        <a:cs typeface="Times New Roman" pitchFamily="18" charset="0"/>
                      </a:rPr>
                      <a:t>дотации</a:t>
                    </a:r>
                  </a:p>
                  <a:p>
                    <a:r>
                      <a:rPr lang="ru-RU">
                        <a:solidFill>
                          <a:sysClr val="windowText" lastClr="000000"/>
                        </a:solidFill>
                        <a:latin typeface="Times New Roman" pitchFamily="18" charset="0"/>
                        <a:cs typeface="Times New Roman" pitchFamily="18" charset="0"/>
                      </a:rPr>
                      <a:t>2 412,5</a:t>
                    </a:r>
                  </a:p>
                  <a:p>
                    <a:r>
                      <a:rPr lang="ru-RU">
                        <a:solidFill>
                          <a:sysClr val="windowText" lastClr="000000"/>
                        </a:solidFill>
                        <a:latin typeface="Times New Roman" pitchFamily="18" charset="0"/>
                        <a:cs typeface="Times New Roman" pitchFamily="18" charset="0"/>
                      </a:rPr>
                      <a:t>8,3%</a:t>
                    </a:r>
                    <a:endParaRPr lang="ru-RU"/>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372101423101929E-2"/>
                  <c:y val="3.1217406235435525E-2"/>
                </c:manualLayout>
              </c:layout>
              <c:tx>
                <c:rich>
                  <a:bodyPr/>
                  <a:lstStyle/>
                  <a:p>
                    <a:r>
                      <a:rPr lang="ru-RU">
                        <a:solidFill>
                          <a:sysClr val="windowText" lastClr="000000"/>
                        </a:solidFill>
                        <a:latin typeface="Times New Roman" pitchFamily="18" charset="0"/>
                        <a:cs typeface="Times New Roman" pitchFamily="18" charset="0"/>
                      </a:rPr>
                      <a:t>субсидии</a:t>
                    </a:r>
                  </a:p>
                  <a:p>
                    <a:r>
                      <a:rPr lang="ru-RU">
                        <a:solidFill>
                          <a:sysClr val="windowText" lastClr="000000"/>
                        </a:solidFill>
                        <a:latin typeface="Times New Roman" pitchFamily="18" charset="0"/>
                        <a:cs typeface="Times New Roman" pitchFamily="18" charset="0"/>
                      </a:rPr>
                      <a:t>5 810,6</a:t>
                    </a:r>
                  </a:p>
                  <a:p>
                    <a:r>
                      <a:rPr lang="ru-RU">
                        <a:solidFill>
                          <a:sysClr val="windowText" lastClr="000000"/>
                        </a:solidFill>
                        <a:latin typeface="Times New Roman" pitchFamily="18" charset="0"/>
                        <a:cs typeface="Times New Roman" pitchFamily="18" charset="0"/>
                      </a:rPr>
                      <a:t>20%</a:t>
                    </a:r>
                    <a:endParaRPr lang="ru-RU"/>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62563182354499269"/>
                  <c:y val="1.021708735006255E-2"/>
                </c:manualLayout>
              </c:layout>
              <c:tx>
                <c:rich>
                  <a:bodyPr/>
                  <a:lstStyle/>
                  <a:p>
                    <a:r>
                      <a:rPr lang="ru-RU">
                        <a:solidFill>
                          <a:sysClr val="windowText" lastClr="000000"/>
                        </a:solidFill>
                        <a:latin typeface="Times New Roman" pitchFamily="18" charset="0"/>
                        <a:cs typeface="Times New Roman" pitchFamily="18" charset="0"/>
                      </a:rPr>
                      <a:t>иные межбюджетные трансферты</a:t>
                    </a:r>
                  </a:p>
                  <a:p>
                    <a:r>
                      <a:rPr lang="ru-RU">
                        <a:solidFill>
                          <a:sysClr val="windowText" lastClr="000000"/>
                        </a:solidFill>
                        <a:latin typeface="Times New Roman" pitchFamily="18" charset="0"/>
                        <a:cs typeface="Times New Roman" pitchFamily="18" charset="0"/>
                      </a:rPr>
                      <a:t>3 919,3</a:t>
                    </a:r>
                  </a:p>
                  <a:p>
                    <a:r>
                      <a:rPr lang="ru-RU">
                        <a:solidFill>
                          <a:sysClr val="windowText" lastClr="000000"/>
                        </a:solidFill>
                        <a:latin typeface="Times New Roman" pitchFamily="18" charset="0"/>
                        <a:cs typeface="Times New Roman" pitchFamily="18" charset="0"/>
                      </a:rPr>
                      <a:t>13,5%</a:t>
                    </a:r>
                    <a:endParaRPr lang="ru-RU"/>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40092330660502301"/>
                  <c:y val="-0.29050522890246194"/>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latin typeface="Times New Roman" panose="02020603050405020304" pitchFamily="18" charset="0"/>
                        <a:cs typeface="Times New Roman" panose="02020603050405020304" pitchFamily="18" charset="0"/>
                      </a:rPr>
                      <a:t>субвенции</a:t>
                    </a:r>
                  </a:p>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solidFill>
                          <a:sysClr val="windowText" lastClr="000000"/>
                        </a:solidFill>
                        <a:latin typeface="Times New Roman" panose="02020603050405020304" pitchFamily="18" charset="0"/>
                        <a:cs typeface="Times New Roman" panose="02020603050405020304" pitchFamily="18" charset="0"/>
                      </a:rPr>
                      <a:t>16 930,2</a:t>
                    </a:r>
                    <a:br>
                      <a:rPr lang="ru-RU" sz="1000">
                        <a:solidFill>
                          <a:sysClr val="windowText" lastClr="000000"/>
                        </a:solidFill>
                        <a:latin typeface="Times New Roman" panose="02020603050405020304" pitchFamily="18" charset="0"/>
                        <a:cs typeface="Times New Roman" panose="02020603050405020304" pitchFamily="18" charset="0"/>
                      </a:rPr>
                    </a:br>
                    <a:r>
                      <a:rPr lang="ru-RU" sz="1000">
                        <a:solidFill>
                          <a:sysClr val="windowText" lastClr="000000"/>
                        </a:solidFill>
                        <a:latin typeface="Times New Roman" panose="02020603050405020304" pitchFamily="18" charset="0"/>
                        <a:cs typeface="Times New Roman" panose="02020603050405020304" pitchFamily="18" charset="0"/>
                      </a:rPr>
                      <a:t>58,2%</a:t>
                    </a:r>
                    <a:endParaRPr lang="ru-RU" sz="1000">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a:lstStyle/>
              <a:p>
                <a:pPr>
                  <a:defRPr>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numRef>
              <c:f>Лист1!$A$2:$A$5</c:f>
              <c:numCache>
                <c:formatCode>#,##0.0</c:formatCode>
                <c:ptCount val="4"/>
                <c:pt idx="0">
                  <c:v>2412.5</c:v>
                </c:pt>
                <c:pt idx="1">
                  <c:v>5810.6</c:v>
                </c:pt>
                <c:pt idx="2">
                  <c:v>16930.2</c:v>
                </c:pt>
                <c:pt idx="3">
                  <c:v>3919.3</c:v>
                </c:pt>
              </c:numCache>
            </c:numRef>
          </c:cat>
          <c:val>
            <c:numRef>
              <c:f>Лист1!$B$2:$B$5</c:f>
              <c:numCache>
                <c:formatCode>0.0%</c:formatCode>
                <c:ptCount val="4"/>
                <c:pt idx="0">
                  <c:v>8.3000000000000004E-2</c:v>
                </c:pt>
                <c:pt idx="1">
                  <c:v>0.2</c:v>
                </c:pt>
                <c:pt idx="2">
                  <c:v>0.58199999999999996</c:v>
                </c:pt>
                <c:pt idx="3">
                  <c:v>0.13500000000000001</c:v>
                </c:pt>
              </c:numCache>
            </c:numRef>
          </c:val>
        </c:ser>
        <c:dLbls>
          <c:showLegendKey val="0"/>
          <c:showVal val="0"/>
          <c:showCatName val="0"/>
          <c:showSerName val="0"/>
          <c:showPercent val="0"/>
          <c:showBubbleSize val="0"/>
          <c:showLeaderLines val="0"/>
        </c:dLbls>
        <c:firstSliceAng val="267"/>
      </c:pieChart>
      <c:spPr>
        <a:noFill/>
        <a:ln>
          <a:noFill/>
        </a:ln>
        <a:effectLst/>
      </c:spPr>
    </c:plotArea>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0.22288</cdr:x>
      <cdr:y>0.38505</cdr:y>
    </cdr:from>
    <cdr:to>
      <cdr:x>0.30466</cdr:x>
      <cdr:y>0.4624</cdr:y>
    </cdr:to>
    <cdr:sp macro="" textlink="">
      <cdr:nvSpPr>
        <cdr:cNvPr id="3" name="Прямоугольник 2"/>
        <cdr:cNvSpPr/>
      </cdr:nvSpPr>
      <cdr:spPr>
        <a:xfrm xmlns:a="http://schemas.openxmlformats.org/drawingml/2006/main">
          <a:off x="1323974" y="1192200"/>
          <a:ext cx="485808" cy="2394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78,2%</a:t>
          </a:r>
        </a:p>
      </cdr:txBody>
    </cdr:sp>
  </cdr:relSizeAnchor>
  <cdr:relSizeAnchor xmlns:cdr="http://schemas.openxmlformats.org/drawingml/2006/chartDrawing">
    <cdr:from>
      <cdr:x>0.21165</cdr:x>
      <cdr:y>0.8214</cdr:y>
    </cdr:from>
    <cdr:to>
      <cdr:x>0.29343</cdr:x>
      <cdr:y>0.88218</cdr:y>
    </cdr:to>
    <cdr:sp macro="" textlink="">
      <cdr:nvSpPr>
        <cdr:cNvPr id="12" name="Прямоугольник 11"/>
        <cdr:cNvSpPr/>
      </cdr:nvSpPr>
      <cdr:spPr>
        <a:xfrm xmlns:a="http://schemas.openxmlformats.org/drawingml/2006/main">
          <a:off x="1257288" y="3103450"/>
          <a:ext cx="485808" cy="2296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20,7%</a:t>
          </a:r>
        </a:p>
      </cdr:txBody>
    </cdr:sp>
  </cdr:relSizeAnchor>
  <cdr:relSizeAnchor xmlns:cdr="http://schemas.openxmlformats.org/drawingml/2006/chartDrawing">
    <cdr:from>
      <cdr:x>0.47622</cdr:x>
      <cdr:y>0.76734</cdr:y>
    </cdr:from>
    <cdr:to>
      <cdr:x>0.55799</cdr:x>
      <cdr:y>0.83015</cdr:y>
    </cdr:to>
    <cdr:sp macro="" textlink="">
      <cdr:nvSpPr>
        <cdr:cNvPr id="13" name="Прямоугольник 12"/>
        <cdr:cNvSpPr/>
      </cdr:nvSpPr>
      <cdr:spPr>
        <a:xfrm xmlns:a="http://schemas.openxmlformats.org/drawingml/2006/main">
          <a:off x="2828929" y="2899186"/>
          <a:ext cx="485748" cy="23731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29,5%</a:t>
          </a:r>
        </a:p>
      </cdr:txBody>
    </cdr:sp>
  </cdr:relSizeAnchor>
  <cdr:relSizeAnchor xmlns:cdr="http://schemas.openxmlformats.org/drawingml/2006/chartDrawing">
    <cdr:from>
      <cdr:x>0.34955</cdr:x>
      <cdr:y>0.36446</cdr:y>
    </cdr:from>
    <cdr:to>
      <cdr:x>0.43133</cdr:x>
      <cdr:y>0.44181</cdr:y>
    </cdr:to>
    <cdr:sp macro="" textlink="">
      <cdr:nvSpPr>
        <cdr:cNvPr id="14" name="Прямоугольник 13"/>
        <cdr:cNvSpPr/>
      </cdr:nvSpPr>
      <cdr:spPr>
        <a:xfrm xmlns:a="http://schemas.openxmlformats.org/drawingml/2006/main">
          <a:off x="2076446" y="1128463"/>
          <a:ext cx="485808" cy="23949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67,2%</a:t>
          </a:r>
        </a:p>
      </cdr:txBody>
    </cdr:sp>
  </cdr:relSizeAnchor>
  <cdr:relSizeAnchor xmlns:cdr="http://schemas.openxmlformats.org/drawingml/2006/chartDrawing">
    <cdr:from>
      <cdr:x>0.61411</cdr:x>
      <cdr:y>0.23575</cdr:y>
    </cdr:from>
    <cdr:to>
      <cdr:x>0.69588</cdr:x>
      <cdr:y>0.3131</cdr:y>
    </cdr:to>
    <cdr:sp macro="" textlink="">
      <cdr:nvSpPr>
        <cdr:cNvPr id="15" name="Прямоугольник 14"/>
        <cdr:cNvSpPr/>
      </cdr:nvSpPr>
      <cdr:spPr>
        <a:xfrm xmlns:a="http://schemas.openxmlformats.org/drawingml/2006/main">
          <a:off x="3648068" y="729950"/>
          <a:ext cx="485749" cy="23949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83,3%</a:t>
          </a:r>
        </a:p>
      </cdr:txBody>
    </cdr:sp>
  </cdr:relSizeAnchor>
  <cdr:relSizeAnchor xmlns:cdr="http://schemas.openxmlformats.org/drawingml/2006/chartDrawing">
    <cdr:from>
      <cdr:x>0.6077</cdr:x>
      <cdr:y>0.83948</cdr:y>
    </cdr:from>
    <cdr:to>
      <cdr:x>0.68947</cdr:x>
      <cdr:y>0.9196</cdr:y>
    </cdr:to>
    <cdr:sp macro="" textlink="">
      <cdr:nvSpPr>
        <cdr:cNvPr id="16" name="Прямоугольник 15"/>
        <cdr:cNvSpPr/>
      </cdr:nvSpPr>
      <cdr:spPr>
        <a:xfrm xmlns:a="http://schemas.openxmlformats.org/drawingml/2006/main">
          <a:off x="3609974" y="3171784"/>
          <a:ext cx="485749" cy="3026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15,3%</a:t>
          </a:r>
        </a:p>
      </cdr:txBody>
    </cdr:sp>
  </cdr:relSizeAnchor>
  <cdr:relSizeAnchor xmlns:cdr="http://schemas.openxmlformats.org/drawingml/2006/chartDrawing">
    <cdr:from>
      <cdr:x>0.87547</cdr:x>
      <cdr:y>0.85829</cdr:y>
    </cdr:from>
    <cdr:to>
      <cdr:x>0.95725</cdr:x>
      <cdr:y>0.92904</cdr:y>
    </cdr:to>
    <cdr:sp macro="" textlink="">
      <cdr:nvSpPr>
        <cdr:cNvPr id="17" name="Прямоугольник 16"/>
        <cdr:cNvSpPr/>
      </cdr:nvSpPr>
      <cdr:spPr>
        <a:xfrm xmlns:a="http://schemas.openxmlformats.org/drawingml/2006/main">
          <a:off x="5200636" y="2657474"/>
          <a:ext cx="485808" cy="2190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11,9%</a:t>
          </a:r>
        </a:p>
      </cdr:txBody>
    </cdr:sp>
  </cdr:relSizeAnchor>
  <cdr:relSizeAnchor xmlns:cdr="http://schemas.openxmlformats.org/drawingml/2006/chartDrawing">
    <cdr:from>
      <cdr:x>0.74719</cdr:x>
      <cdr:y>0.20273</cdr:y>
    </cdr:from>
    <cdr:to>
      <cdr:x>0.82897</cdr:x>
      <cdr:y>0.26627</cdr:y>
    </cdr:to>
    <cdr:sp macro="" textlink="">
      <cdr:nvSpPr>
        <cdr:cNvPr id="18" name="Прямоугольник 17"/>
        <cdr:cNvSpPr/>
      </cdr:nvSpPr>
      <cdr:spPr>
        <a:xfrm xmlns:a="http://schemas.openxmlformats.org/drawingml/2006/main">
          <a:off x="4438617" y="627690"/>
          <a:ext cx="485808" cy="1967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85,5%</a:t>
          </a:r>
        </a:p>
      </cdr:txBody>
    </cdr:sp>
  </cdr:relSizeAnchor>
  <cdr:relSizeAnchor xmlns:cdr="http://schemas.openxmlformats.org/drawingml/2006/chartDrawing">
    <cdr:from>
      <cdr:x>0.01604</cdr:x>
      <cdr:y>0.27329</cdr:y>
    </cdr:from>
    <cdr:to>
      <cdr:x>0.17157</cdr:x>
      <cdr:y>0.37274</cdr:y>
    </cdr:to>
    <cdr:sp macro="" textlink="">
      <cdr:nvSpPr>
        <cdr:cNvPr id="4" name="Скругленный прямоугольник 3"/>
        <cdr:cNvSpPr/>
      </cdr:nvSpPr>
      <cdr:spPr>
        <a:xfrm xmlns:a="http://schemas.openxmlformats.org/drawingml/2006/main">
          <a:off x="95264" y="846167"/>
          <a:ext cx="923914" cy="307924"/>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Налоговые доходы</a:t>
          </a:r>
        </a:p>
      </cdr:txBody>
    </cdr:sp>
  </cdr:relSizeAnchor>
  <cdr:relSizeAnchor xmlns:cdr="http://schemas.openxmlformats.org/drawingml/2006/chartDrawing">
    <cdr:from>
      <cdr:x>0.01764</cdr:x>
      <cdr:y>0.67945</cdr:y>
    </cdr:from>
    <cdr:to>
      <cdr:x>0.17317</cdr:x>
      <cdr:y>0.7736</cdr:y>
    </cdr:to>
    <cdr:sp macro="" textlink="">
      <cdr:nvSpPr>
        <cdr:cNvPr id="20" name="Скругленный прямоугольник 19"/>
        <cdr:cNvSpPr/>
      </cdr:nvSpPr>
      <cdr:spPr>
        <a:xfrm xmlns:a="http://schemas.openxmlformats.org/drawingml/2006/main">
          <a:off x="104774" y="2103764"/>
          <a:ext cx="923947" cy="291513"/>
        </a:xfrm>
        <a:prstGeom xmlns:a="http://schemas.openxmlformats.org/drawingml/2006/main" prst="roundRect">
          <a:avLst/>
        </a:prstGeom>
        <a:solidFill xmlns:a="http://schemas.openxmlformats.org/drawingml/2006/main">
          <a:srgbClr val="FFC00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Неналоговые</a:t>
          </a:r>
          <a:r>
            <a:rPr lang="ru-RU" sz="800">
              <a:solidFill>
                <a:schemeClr val="tx1"/>
              </a:solidFill>
              <a:latin typeface="Times New Roman" panose="02020603050405020304" pitchFamily="18" charset="0"/>
              <a:cs typeface="Times New Roman" panose="02020603050405020304" pitchFamily="18" charset="0"/>
            </a:rPr>
            <a:t> доходы</a:t>
          </a:r>
        </a:p>
      </cdr:txBody>
    </cdr:sp>
  </cdr:relSizeAnchor>
  <cdr:relSizeAnchor xmlns:cdr="http://schemas.openxmlformats.org/drawingml/2006/chartDrawing">
    <cdr:from>
      <cdr:x>0.01604</cdr:x>
      <cdr:y>0.8018</cdr:y>
    </cdr:from>
    <cdr:to>
      <cdr:x>0.17317</cdr:x>
      <cdr:y>0.90588</cdr:y>
    </cdr:to>
    <cdr:sp macro="" textlink="">
      <cdr:nvSpPr>
        <cdr:cNvPr id="21" name="Скругленный прямоугольник 20"/>
        <cdr:cNvSpPr/>
      </cdr:nvSpPr>
      <cdr:spPr>
        <a:xfrm xmlns:a="http://schemas.openxmlformats.org/drawingml/2006/main">
          <a:off x="95266" y="2482579"/>
          <a:ext cx="933419" cy="322259"/>
        </a:xfrm>
        <a:prstGeom xmlns:a="http://schemas.openxmlformats.org/drawingml/2006/main" prst="roundRect">
          <a:avLst/>
        </a:prstGeom>
        <a:solidFill xmlns:a="http://schemas.openxmlformats.org/drawingml/2006/main">
          <a:srgbClr val="F7C5A3"/>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Безвозмездные поступления</a:t>
          </a:r>
        </a:p>
      </cdr:txBody>
    </cdr:sp>
  </cdr:relSizeAnchor>
  <cdr:relSizeAnchor xmlns:cdr="http://schemas.openxmlformats.org/drawingml/2006/chartDrawing">
    <cdr:from>
      <cdr:x>0.47301</cdr:x>
      <cdr:y>0.2984</cdr:y>
    </cdr:from>
    <cdr:to>
      <cdr:x>0.55478</cdr:x>
      <cdr:y>0.38146</cdr:y>
    </cdr:to>
    <cdr:sp macro="" textlink="">
      <cdr:nvSpPr>
        <cdr:cNvPr id="23" name="Прямоугольник 22"/>
        <cdr:cNvSpPr/>
      </cdr:nvSpPr>
      <cdr:spPr>
        <a:xfrm xmlns:a="http://schemas.openxmlformats.org/drawingml/2006/main">
          <a:off x="2809875" y="923925"/>
          <a:ext cx="485775" cy="2571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chemeClr val="tx1"/>
              </a:solidFill>
              <a:latin typeface="Times New Roman" panose="02020603050405020304" pitchFamily="18" charset="0"/>
              <a:cs typeface="Times New Roman" panose="02020603050405020304" pitchFamily="18" charset="0"/>
            </a:rPr>
            <a:t>68,3%</a:t>
          </a:r>
        </a:p>
      </cdr:txBody>
    </cdr:sp>
  </cdr:relSizeAnchor>
  <cdr:relSizeAnchor xmlns:cdr="http://schemas.openxmlformats.org/drawingml/2006/chartDrawing">
    <cdr:from>
      <cdr:x>0.87226</cdr:x>
      <cdr:y>0.20919</cdr:y>
    </cdr:from>
    <cdr:to>
      <cdr:x>0.94762</cdr:x>
      <cdr:y>0.28302</cdr:y>
    </cdr:to>
    <cdr:sp macro="" textlink="">
      <cdr:nvSpPr>
        <cdr:cNvPr id="24" name="Прямоугольник 23"/>
        <cdr:cNvSpPr/>
      </cdr:nvSpPr>
      <cdr:spPr>
        <a:xfrm xmlns:a="http://schemas.openxmlformats.org/drawingml/2006/main">
          <a:off x="5181599" y="647700"/>
          <a:ext cx="447675" cy="2286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86,8%</a:t>
          </a:r>
        </a:p>
      </cdr:txBody>
    </cdr:sp>
  </cdr:relSizeAnchor>
  <cdr:relSizeAnchor xmlns:cdr="http://schemas.openxmlformats.org/drawingml/2006/chartDrawing">
    <cdr:from>
      <cdr:x>0.34795</cdr:x>
      <cdr:y>0.78073</cdr:y>
    </cdr:from>
    <cdr:to>
      <cdr:x>0.43613</cdr:x>
      <cdr:y>0.85764</cdr:y>
    </cdr:to>
    <cdr:sp macro="" textlink="">
      <cdr:nvSpPr>
        <cdr:cNvPr id="25" name="Прямоугольник 24"/>
        <cdr:cNvSpPr/>
      </cdr:nvSpPr>
      <cdr:spPr>
        <a:xfrm xmlns:a="http://schemas.openxmlformats.org/drawingml/2006/main">
          <a:off x="2066951" y="2949789"/>
          <a:ext cx="523826" cy="29058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b="0" i="0" u="none" strike="noStrike">
              <a:solidFill>
                <a:sysClr val="windowText" lastClr="000000"/>
              </a:solidFill>
              <a:effectLst/>
              <a:latin typeface="Times New Roman" panose="02020603050405020304" pitchFamily="18" charset="0"/>
              <a:ea typeface="+mn-ea"/>
              <a:cs typeface="Times New Roman" panose="02020603050405020304" pitchFamily="18" charset="0"/>
            </a:rPr>
            <a:t>31,1%</a:t>
          </a:r>
          <a:r>
            <a:rPr lang="ru-RU"/>
            <a:t> </a:t>
          </a:r>
          <a:r>
            <a:rPr lang="ru-RU" sz="1100" b="0" i="0" u="none" strike="noStrike">
              <a:solidFill>
                <a:schemeClr val="lt1"/>
              </a:solidFill>
              <a:effectLst/>
              <a:latin typeface="+mn-lt"/>
              <a:ea typeface="+mn-ea"/>
              <a:cs typeface="+mn-cs"/>
            </a:rPr>
            <a:t>68,3%</a:t>
          </a:r>
          <a:r>
            <a:rPr lang="ru-RU"/>
            <a:t> </a:t>
          </a:r>
          <a:r>
            <a:rPr lang="ru-RU" sz="1100" b="0" i="0" u="none" strike="noStrike">
              <a:solidFill>
                <a:schemeClr val="lt1"/>
              </a:solidFill>
              <a:effectLst/>
              <a:latin typeface="+mn-lt"/>
              <a:ea typeface="+mn-ea"/>
              <a:cs typeface="+mn-cs"/>
            </a:rPr>
            <a:t>83,3%</a:t>
          </a:r>
          <a:r>
            <a:rPr lang="ru-RU"/>
            <a:t> </a:t>
          </a:r>
          <a:r>
            <a:rPr lang="ru-RU" sz="1100" b="0" i="0" u="none" strike="noStrike">
              <a:solidFill>
                <a:schemeClr val="lt1"/>
              </a:solidFill>
              <a:effectLst/>
              <a:latin typeface="+mn-lt"/>
              <a:ea typeface="+mn-ea"/>
              <a:cs typeface="+mn-cs"/>
            </a:rPr>
            <a:t>85,5%</a:t>
          </a:r>
          <a:r>
            <a:rPr lang="ru-RU"/>
            <a:t> </a:t>
          </a:r>
          <a:r>
            <a:rPr lang="ru-RU" sz="1100" b="0" i="0" u="none" strike="noStrike">
              <a:solidFill>
                <a:schemeClr val="lt1"/>
              </a:solidFill>
              <a:effectLst/>
              <a:latin typeface="+mn-lt"/>
              <a:ea typeface="+mn-ea"/>
              <a:cs typeface="+mn-cs"/>
            </a:rPr>
            <a:t>86,8%</a:t>
          </a:r>
          <a:r>
            <a:rPr lang="ru-RU"/>
            <a:t> </a:t>
          </a:r>
        </a:p>
      </cdr:txBody>
    </cdr:sp>
  </cdr:relSizeAnchor>
  <cdr:relSizeAnchor xmlns:cdr="http://schemas.openxmlformats.org/drawingml/2006/chartDrawing">
    <cdr:from>
      <cdr:x>0.73437</cdr:x>
      <cdr:y>0.85436</cdr:y>
    </cdr:from>
    <cdr:to>
      <cdr:x>0.81133</cdr:x>
      <cdr:y>0.93434</cdr:y>
    </cdr:to>
    <cdr:sp macro="" textlink="">
      <cdr:nvSpPr>
        <cdr:cNvPr id="26" name="Прямоугольник 25"/>
        <cdr:cNvSpPr/>
      </cdr:nvSpPr>
      <cdr:spPr>
        <a:xfrm xmlns:a="http://schemas.openxmlformats.org/drawingml/2006/main">
          <a:off x="4362468" y="3227970"/>
          <a:ext cx="457175" cy="30218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13,2%</a:t>
          </a:r>
        </a:p>
      </cdr:txBody>
    </cdr:sp>
  </cdr:relSizeAnchor>
  <cdr:relSizeAnchor xmlns:cdr="http://schemas.openxmlformats.org/drawingml/2006/chartDrawing">
    <cdr:from>
      <cdr:x>0.26564</cdr:x>
      <cdr:y>0.69444</cdr:y>
    </cdr:from>
    <cdr:to>
      <cdr:x>0.34742</cdr:x>
      <cdr:y>0.75522</cdr:y>
    </cdr:to>
    <cdr:sp macro="" textlink="">
      <cdr:nvSpPr>
        <cdr:cNvPr id="19" name="Прямоугольник 18"/>
        <cdr:cNvSpPr/>
      </cdr:nvSpPr>
      <cdr:spPr>
        <a:xfrm xmlns:a="http://schemas.openxmlformats.org/drawingml/2006/main">
          <a:off x="1578013" y="2090194"/>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1,1%</a:t>
          </a:r>
        </a:p>
      </cdr:txBody>
    </cdr:sp>
  </cdr:relSizeAnchor>
  <cdr:relSizeAnchor xmlns:cdr="http://schemas.openxmlformats.org/drawingml/2006/chartDrawing">
    <cdr:from>
      <cdr:x>0.40004</cdr:x>
      <cdr:y>0.57655</cdr:y>
    </cdr:from>
    <cdr:to>
      <cdr:x>0.48182</cdr:x>
      <cdr:y>0.63733</cdr:y>
    </cdr:to>
    <cdr:sp macro="" textlink="">
      <cdr:nvSpPr>
        <cdr:cNvPr id="22" name="Прямоугольник 21"/>
        <cdr:cNvSpPr/>
      </cdr:nvSpPr>
      <cdr:spPr>
        <a:xfrm xmlns:a="http://schemas.openxmlformats.org/drawingml/2006/main">
          <a:off x="2376408" y="1735353"/>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1,7%</a:t>
          </a:r>
        </a:p>
      </cdr:txBody>
    </cdr:sp>
  </cdr:relSizeAnchor>
  <cdr:relSizeAnchor xmlns:cdr="http://schemas.openxmlformats.org/drawingml/2006/chartDrawing">
    <cdr:from>
      <cdr:x>0.53214</cdr:x>
      <cdr:y>0.55388</cdr:y>
    </cdr:from>
    <cdr:to>
      <cdr:x>0.61392</cdr:x>
      <cdr:y>0.61466</cdr:y>
    </cdr:to>
    <cdr:sp macro="" textlink="">
      <cdr:nvSpPr>
        <cdr:cNvPr id="27" name="Прямоугольник 26"/>
        <cdr:cNvSpPr/>
      </cdr:nvSpPr>
      <cdr:spPr>
        <a:xfrm xmlns:a="http://schemas.openxmlformats.org/drawingml/2006/main">
          <a:off x="3161154" y="1667113"/>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2,2%</a:t>
          </a:r>
        </a:p>
      </cdr:txBody>
    </cdr:sp>
  </cdr:relSizeAnchor>
  <cdr:relSizeAnchor xmlns:cdr="http://schemas.openxmlformats.org/drawingml/2006/chartDrawing">
    <cdr:from>
      <cdr:x>0.66195</cdr:x>
      <cdr:y>0.71711</cdr:y>
    </cdr:from>
    <cdr:to>
      <cdr:x>0.74373</cdr:x>
      <cdr:y>0.77789</cdr:y>
    </cdr:to>
    <cdr:sp macro="" textlink="">
      <cdr:nvSpPr>
        <cdr:cNvPr id="28" name="Прямоугольник 27"/>
        <cdr:cNvSpPr/>
      </cdr:nvSpPr>
      <cdr:spPr>
        <a:xfrm xmlns:a="http://schemas.openxmlformats.org/drawingml/2006/main">
          <a:off x="3932253" y="2158432"/>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1,4%</a:t>
          </a:r>
        </a:p>
      </cdr:txBody>
    </cdr:sp>
  </cdr:relSizeAnchor>
  <cdr:relSizeAnchor xmlns:cdr="http://schemas.openxmlformats.org/drawingml/2006/chartDrawing">
    <cdr:from>
      <cdr:x>0.79175</cdr:x>
      <cdr:y>0.72391</cdr:y>
    </cdr:from>
    <cdr:to>
      <cdr:x>0.87353</cdr:x>
      <cdr:y>0.78469</cdr:y>
    </cdr:to>
    <cdr:sp macro="" textlink="">
      <cdr:nvSpPr>
        <cdr:cNvPr id="29" name="Прямоугольник 28"/>
        <cdr:cNvSpPr/>
      </cdr:nvSpPr>
      <cdr:spPr>
        <a:xfrm xmlns:a="http://schemas.openxmlformats.org/drawingml/2006/main">
          <a:off x="4703352" y="2178904"/>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1,3%</a:t>
          </a:r>
        </a:p>
      </cdr:txBody>
    </cdr:sp>
  </cdr:relSizeAnchor>
  <cdr:relSizeAnchor xmlns:cdr="http://schemas.openxmlformats.org/drawingml/2006/chartDrawing">
    <cdr:from>
      <cdr:x>0.91822</cdr:x>
      <cdr:y>0.73525</cdr:y>
    </cdr:from>
    <cdr:to>
      <cdr:x>1</cdr:x>
      <cdr:y>0.79603</cdr:y>
    </cdr:to>
    <cdr:sp macro="" textlink="">
      <cdr:nvSpPr>
        <cdr:cNvPr id="30" name="Прямоугольник 29"/>
        <cdr:cNvSpPr/>
      </cdr:nvSpPr>
      <cdr:spPr>
        <a:xfrm xmlns:a="http://schemas.openxmlformats.org/drawingml/2006/main">
          <a:off x="5454617" y="2213023"/>
          <a:ext cx="485808" cy="18294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1,3%</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0.21068</cdr:y>
    </cdr:from>
    <cdr:to>
      <cdr:x>0.16836</cdr:x>
      <cdr:y>0.32081</cdr:y>
    </cdr:to>
    <cdr:sp macro="" textlink="">
      <cdr:nvSpPr>
        <cdr:cNvPr id="3" name="Скругленный прямоугольник 2"/>
        <cdr:cNvSpPr/>
      </cdr:nvSpPr>
      <cdr:spPr>
        <a:xfrm xmlns:a="http://schemas.openxmlformats.org/drawingml/2006/main">
          <a:off x="-1133475" y="850852"/>
          <a:ext cx="1000130" cy="444771"/>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Налог на прибыль организаций</a:t>
          </a:r>
        </a:p>
      </cdr:txBody>
    </cdr:sp>
  </cdr:relSizeAnchor>
  <cdr:relSizeAnchor xmlns:cdr="http://schemas.openxmlformats.org/drawingml/2006/chartDrawing">
    <cdr:from>
      <cdr:x>0.00494</cdr:x>
      <cdr:y>0.48052</cdr:y>
    </cdr:from>
    <cdr:to>
      <cdr:x>0.1733</cdr:x>
      <cdr:y>0.56177</cdr:y>
    </cdr:to>
    <cdr:sp macro="" textlink="">
      <cdr:nvSpPr>
        <cdr:cNvPr id="12" name="Скругленный прямоугольник 11"/>
        <cdr:cNvSpPr/>
      </cdr:nvSpPr>
      <cdr:spPr>
        <a:xfrm xmlns:a="http://schemas.openxmlformats.org/drawingml/2006/main">
          <a:off x="29371" y="1940643"/>
          <a:ext cx="1000130" cy="328103"/>
        </a:xfrm>
        <a:prstGeom xmlns:a="http://schemas.openxmlformats.org/drawingml/2006/main" prst="roundRect">
          <a:avLst/>
        </a:prstGeom>
        <a:solidFill xmlns:a="http://schemas.openxmlformats.org/drawingml/2006/main">
          <a:srgbClr val="E2A37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a:solidFill>
                <a:sysClr val="windowText" lastClr="000000"/>
              </a:solidFill>
              <a:latin typeface="Times New Roman" panose="02020603050405020304" pitchFamily="18" charset="0"/>
              <a:cs typeface="Times New Roman" panose="02020603050405020304" pitchFamily="18" charset="0"/>
            </a:rPr>
            <a:t>НДФЛ</a:t>
          </a:r>
        </a:p>
      </cdr:txBody>
    </cdr:sp>
  </cdr:relSizeAnchor>
  <cdr:relSizeAnchor xmlns:cdr="http://schemas.openxmlformats.org/drawingml/2006/chartDrawing">
    <cdr:from>
      <cdr:x>0.00472</cdr:x>
      <cdr:y>0.71205</cdr:y>
    </cdr:from>
    <cdr:to>
      <cdr:x>0.17308</cdr:x>
      <cdr:y>0.79</cdr:y>
    </cdr:to>
    <cdr:sp macro="" textlink="">
      <cdr:nvSpPr>
        <cdr:cNvPr id="13" name="Скругленный прямоугольник 12"/>
        <cdr:cNvSpPr/>
      </cdr:nvSpPr>
      <cdr:spPr>
        <a:xfrm xmlns:a="http://schemas.openxmlformats.org/drawingml/2006/main">
          <a:off x="28052" y="2875676"/>
          <a:ext cx="1000130" cy="314809"/>
        </a:xfrm>
        <a:prstGeom xmlns:a="http://schemas.openxmlformats.org/drawingml/2006/main" prst="roundRect">
          <a:avLst/>
        </a:prstGeom>
        <a:solidFill xmlns:a="http://schemas.openxmlformats.org/drawingml/2006/main">
          <a:srgbClr val="F2D5C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Акцизы</a:t>
          </a:r>
        </a:p>
      </cdr:txBody>
    </cdr:sp>
  </cdr:relSizeAnchor>
  <cdr:relSizeAnchor xmlns:cdr="http://schemas.openxmlformats.org/drawingml/2006/chartDrawing">
    <cdr:from>
      <cdr:x>0.00329</cdr:x>
      <cdr:y>0.79233</cdr:y>
    </cdr:from>
    <cdr:to>
      <cdr:x>0.17646</cdr:x>
      <cdr:y>0.84658</cdr:y>
    </cdr:to>
    <cdr:sp macro="" textlink="">
      <cdr:nvSpPr>
        <cdr:cNvPr id="14" name="Скругленный прямоугольник 13"/>
        <cdr:cNvSpPr/>
      </cdr:nvSpPr>
      <cdr:spPr>
        <a:xfrm xmlns:a="http://schemas.openxmlformats.org/drawingml/2006/main">
          <a:off x="19050" y="3350828"/>
          <a:ext cx="1002862" cy="229429"/>
        </a:xfrm>
        <a:prstGeom xmlns:a="http://schemas.openxmlformats.org/drawingml/2006/main" prst="roundRect">
          <a:avLst/>
        </a:prstGeom>
        <a:solidFill xmlns:a="http://schemas.openxmlformats.org/drawingml/2006/main">
          <a:srgbClr val="F19759"/>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Налоги на совокупный</a:t>
          </a:r>
          <a:r>
            <a:rPr lang="ru-RU" sz="650" baseline="0">
              <a:solidFill>
                <a:sysClr val="windowText" lastClr="000000"/>
              </a:solidFill>
              <a:latin typeface="Times New Roman" panose="02020603050405020304" pitchFamily="18" charset="0"/>
              <a:cs typeface="Times New Roman" panose="02020603050405020304" pitchFamily="18" charset="0"/>
            </a:rPr>
            <a:t> доход</a:t>
          </a:r>
          <a:endParaRPr lang="ru-RU" sz="6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0.8536</cdr:y>
    </cdr:from>
    <cdr:to>
      <cdr:x>0.17281</cdr:x>
      <cdr:y>0.91441</cdr:y>
    </cdr:to>
    <cdr:sp macro="" textlink="">
      <cdr:nvSpPr>
        <cdr:cNvPr id="15" name="Скругленный прямоугольник 14"/>
        <cdr:cNvSpPr/>
      </cdr:nvSpPr>
      <cdr:spPr>
        <a:xfrm xmlns:a="http://schemas.openxmlformats.org/drawingml/2006/main">
          <a:off x="0" y="3609976"/>
          <a:ext cx="1000777" cy="257174"/>
        </a:xfrm>
        <a:prstGeom xmlns:a="http://schemas.openxmlformats.org/drawingml/2006/main" prst="roundRect">
          <a:avLst/>
        </a:prstGeom>
        <a:solidFill xmlns:a="http://schemas.openxmlformats.org/drawingml/2006/main">
          <a:srgbClr val="E6B18A"/>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Налог на имущество организаций</a:t>
          </a:r>
        </a:p>
      </cdr:txBody>
    </cdr:sp>
  </cdr:relSizeAnchor>
  <cdr:relSizeAnchor xmlns:cdr="http://schemas.openxmlformats.org/drawingml/2006/chartDrawing">
    <cdr:from>
      <cdr:x>0</cdr:x>
      <cdr:y>0.9141</cdr:y>
    </cdr:from>
    <cdr:to>
      <cdr:x>0.17292</cdr:x>
      <cdr:y>0.96364</cdr:y>
    </cdr:to>
    <cdr:sp macro="" textlink="">
      <cdr:nvSpPr>
        <cdr:cNvPr id="16" name="Скругленный прямоугольник 15"/>
        <cdr:cNvSpPr/>
      </cdr:nvSpPr>
      <cdr:spPr>
        <a:xfrm xmlns:a="http://schemas.openxmlformats.org/drawingml/2006/main">
          <a:off x="-1138687" y="3691684"/>
          <a:ext cx="1027218" cy="200072"/>
        </a:xfrm>
        <a:prstGeom xmlns:a="http://schemas.openxmlformats.org/drawingml/2006/main" prst="roundRect">
          <a:avLst/>
        </a:prstGeom>
        <a:solidFill xmlns:a="http://schemas.openxmlformats.org/drawingml/2006/main">
          <a:srgbClr val="FFCC66"/>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Другие налоговые поступления</a:t>
          </a:r>
        </a:p>
      </cdr:txBody>
    </cdr:sp>
  </cdr:relSizeAnchor>
  <cdr:relSizeAnchor xmlns:cdr="http://schemas.openxmlformats.org/drawingml/2006/chartDrawing">
    <cdr:from>
      <cdr:x>0.21232</cdr:x>
      <cdr:y>0.26992</cdr:y>
    </cdr:from>
    <cdr:to>
      <cdr:x>0.30939</cdr:x>
      <cdr:y>0.34067</cdr:y>
    </cdr:to>
    <cdr:sp macro="" textlink="">
      <cdr:nvSpPr>
        <cdr:cNvPr id="4" name="Надпись 3"/>
        <cdr:cNvSpPr txBox="1"/>
      </cdr:nvSpPr>
      <cdr:spPr>
        <a:xfrm xmlns:a="http://schemas.openxmlformats.org/drawingml/2006/main">
          <a:off x="1261271" y="1090095"/>
          <a:ext cx="576637" cy="285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(38,3%)</a:t>
          </a:r>
        </a:p>
      </cdr:txBody>
    </cdr:sp>
  </cdr:relSizeAnchor>
  <cdr:relSizeAnchor xmlns:cdr="http://schemas.openxmlformats.org/drawingml/2006/chartDrawing">
    <cdr:from>
      <cdr:x>0.21572</cdr:x>
      <cdr:y>0.53831</cdr:y>
    </cdr:from>
    <cdr:to>
      <cdr:x>0.31279</cdr:x>
      <cdr:y>0.61189</cdr:y>
    </cdr:to>
    <cdr:sp macro="" textlink="">
      <cdr:nvSpPr>
        <cdr:cNvPr id="17" name="Надпись 16"/>
        <cdr:cNvSpPr txBox="1"/>
      </cdr:nvSpPr>
      <cdr:spPr>
        <a:xfrm xmlns:a="http://schemas.openxmlformats.org/drawingml/2006/main">
          <a:off x="1281448" y="2174038"/>
          <a:ext cx="576637" cy="297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(30,4%)</a:t>
          </a:r>
        </a:p>
      </cdr:txBody>
    </cdr:sp>
  </cdr:relSizeAnchor>
  <cdr:relSizeAnchor xmlns:cdr="http://schemas.openxmlformats.org/drawingml/2006/chartDrawing">
    <cdr:from>
      <cdr:x>0.21597</cdr:x>
      <cdr:y>0.75409</cdr:y>
    </cdr:from>
    <cdr:to>
      <cdr:x>0.31908</cdr:x>
      <cdr:y>0.82646</cdr:y>
    </cdr:to>
    <cdr:sp macro="" textlink="">
      <cdr:nvSpPr>
        <cdr:cNvPr id="18" name="Надпись 17"/>
        <cdr:cNvSpPr txBox="1"/>
      </cdr:nvSpPr>
      <cdr:spPr>
        <a:xfrm xmlns:a="http://schemas.openxmlformats.org/drawingml/2006/main">
          <a:off x="1282930" y="3045488"/>
          <a:ext cx="612517" cy="2922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(18,9%)</a:t>
          </a:r>
        </a:p>
      </cdr:txBody>
    </cdr:sp>
  </cdr:relSizeAnchor>
  <cdr:relSizeAnchor xmlns:cdr="http://schemas.openxmlformats.org/drawingml/2006/chartDrawing">
    <cdr:from>
      <cdr:x>0.25572</cdr:x>
      <cdr:y>0.8325</cdr:y>
    </cdr:from>
    <cdr:to>
      <cdr:x>0.34509</cdr:x>
      <cdr:y>0.88307</cdr:y>
    </cdr:to>
    <cdr:sp macro="" textlink="">
      <cdr:nvSpPr>
        <cdr:cNvPr id="19" name="Надпись 18"/>
        <cdr:cNvSpPr txBox="1"/>
      </cdr:nvSpPr>
      <cdr:spPr>
        <a:xfrm xmlns:a="http://schemas.openxmlformats.org/drawingml/2006/main">
          <a:off x="1519085" y="3362140"/>
          <a:ext cx="530896" cy="2042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(3,6%)</a:t>
          </a:r>
        </a:p>
      </cdr:txBody>
    </cdr:sp>
  </cdr:relSizeAnchor>
  <cdr:relSizeAnchor xmlns:cdr="http://schemas.openxmlformats.org/drawingml/2006/chartDrawing">
    <cdr:from>
      <cdr:x>0.25703</cdr:x>
      <cdr:y>0.87219</cdr:y>
    </cdr:from>
    <cdr:to>
      <cdr:x>0.3464</cdr:x>
      <cdr:y>0.93469</cdr:y>
    </cdr:to>
    <cdr:sp macro="" textlink="">
      <cdr:nvSpPr>
        <cdr:cNvPr id="20" name="Надпись 19"/>
        <cdr:cNvSpPr txBox="1"/>
      </cdr:nvSpPr>
      <cdr:spPr>
        <a:xfrm xmlns:a="http://schemas.openxmlformats.org/drawingml/2006/main">
          <a:off x="1488540" y="3688565"/>
          <a:ext cx="517559" cy="2643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(5,9%)</a:t>
          </a:r>
        </a:p>
      </cdr:txBody>
    </cdr:sp>
  </cdr:relSizeAnchor>
  <cdr:relSizeAnchor xmlns:cdr="http://schemas.openxmlformats.org/drawingml/2006/chartDrawing">
    <cdr:from>
      <cdr:x>0.25546</cdr:x>
      <cdr:y>0.91193</cdr:y>
    </cdr:from>
    <cdr:to>
      <cdr:x>0.34483</cdr:x>
      <cdr:y>0.97443</cdr:y>
    </cdr:to>
    <cdr:sp macro="" textlink="">
      <cdr:nvSpPr>
        <cdr:cNvPr id="21" name="Надпись 20"/>
        <cdr:cNvSpPr txBox="1"/>
      </cdr:nvSpPr>
      <cdr:spPr>
        <a:xfrm xmlns:a="http://schemas.openxmlformats.org/drawingml/2006/main">
          <a:off x="1517539" y="3682938"/>
          <a:ext cx="530896" cy="252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(2,8%)</a:t>
          </a:r>
        </a:p>
      </cdr:txBody>
    </cdr:sp>
  </cdr:relSizeAnchor>
  <cdr:relSizeAnchor xmlns:cdr="http://schemas.openxmlformats.org/drawingml/2006/chartDrawing">
    <cdr:from>
      <cdr:x>0.4127</cdr:x>
      <cdr:y>0.21138</cdr:y>
    </cdr:from>
    <cdr:to>
      <cdr:x>0.50977</cdr:x>
      <cdr:y>0.27589</cdr:y>
    </cdr:to>
    <cdr:sp macro="" textlink="">
      <cdr:nvSpPr>
        <cdr:cNvPr id="22" name="Надпись 21"/>
        <cdr:cNvSpPr txBox="1"/>
      </cdr:nvSpPr>
      <cdr:spPr>
        <a:xfrm xmlns:a="http://schemas.openxmlformats.org/drawingml/2006/main">
          <a:off x="2451612" y="853669"/>
          <a:ext cx="576637" cy="260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(38,2%)</a:t>
          </a:r>
        </a:p>
      </cdr:txBody>
    </cdr:sp>
  </cdr:relSizeAnchor>
  <cdr:relSizeAnchor xmlns:cdr="http://schemas.openxmlformats.org/drawingml/2006/chartDrawing">
    <cdr:from>
      <cdr:x>0.41368</cdr:x>
      <cdr:y>0.5321</cdr:y>
    </cdr:from>
    <cdr:to>
      <cdr:x>0.51649</cdr:x>
      <cdr:y>0.59831</cdr:y>
    </cdr:to>
    <cdr:sp macro="" textlink="">
      <cdr:nvSpPr>
        <cdr:cNvPr id="23" name="Надпись 22"/>
        <cdr:cNvSpPr txBox="1"/>
      </cdr:nvSpPr>
      <cdr:spPr>
        <a:xfrm xmlns:a="http://schemas.openxmlformats.org/drawingml/2006/main">
          <a:off x="2457455" y="2148958"/>
          <a:ext cx="610735" cy="2673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(29,9%)</a:t>
          </a:r>
        </a:p>
      </cdr:txBody>
    </cdr:sp>
  </cdr:relSizeAnchor>
  <cdr:relSizeAnchor xmlns:cdr="http://schemas.openxmlformats.org/drawingml/2006/chartDrawing">
    <cdr:from>
      <cdr:x>0.4201</cdr:x>
      <cdr:y>0.73958</cdr:y>
    </cdr:from>
    <cdr:to>
      <cdr:x>0.51772</cdr:x>
      <cdr:y>0.79976</cdr:y>
    </cdr:to>
    <cdr:sp macro="" textlink="">
      <cdr:nvSpPr>
        <cdr:cNvPr id="24" name="Надпись 23"/>
        <cdr:cNvSpPr txBox="1"/>
      </cdr:nvSpPr>
      <cdr:spPr>
        <a:xfrm xmlns:a="http://schemas.openxmlformats.org/drawingml/2006/main">
          <a:off x="2495549" y="2986859"/>
          <a:ext cx="579904" cy="243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(20,0%)</a:t>
          </a:r>
        </a:p>
      </cdr:txBody>
    </cdr:sp>
  </cdr:relSizeAnchor>
  <cdr:relSizeAnchor xmlns:cdr="http://schemas.openxmlformats.org/drawingml/2006/chartDrawing">
    <cdr:from>
      <cdr:x>0.4562</cdr:x>
      <cdr:y>0.8331</cdr:y>
    </cdr:from>
    <cdr:to>
      <cdr:x>0.54557</cdr:x>
      <cdr:y>0.88778</cdr:y>
    </cdr:to>
    <cdr:sp macro="" textlink="">
      <cdr:nvSpPr>
        <cdr:cNvPr id="25" name="Надпись 24"/>
        <cdr:cNvSpPr txBox="1"/>
      </cdr:nvSpPr>
      <cdr:spPr>
        <a:xfrm xmlns:a="http://schemas.openxmlformats.org/drawingml/2006/main">
          <a:off x="2710039" y="3364557"/>
          <a:ext cx="530896" cy="220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(3,4%)</a:t>
          </a:r>
        </a:p>
      </cdr:txBody>
    </cdr:sp>
  </cdr:relSizeAnchor>
  <cdr:relSizeAnchor xmlns:cdr="http://schemas.openxmlformats.org/drawingml/2006/chartDrawing">
    <cdr:from>
      <cdr:x>0.45565</cdr:x>
      <cdr:y>0.8677</cdr:y>
    </cdr:from>
    <cdr:to>
      <cdr:x>0.54502</cdr:x>
      <cdr:y>0.92565</cdr:y>
    </cdr:to>
    <cdr:sp macro="" textlink="">
      <cdr:nvSpPr>
        <cdr:cNvPr id="26" name="Надпись 25"/>
        <cdr:cNvSpPr txBox="1"/>
      </cdr:nvSpPr>
      <cdr:spPr>
        <a:xfrm xmlns:a="http://schemas.openxmlformats.org/drawingml/2006/main">
          <a:off x="2706733" y="3504305"/>
          <a:ext cx="530896" cy="234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(5,7%)</a:t>
          </a:r>
        </a:p>
      </cdr:txBody>
    </cdr:sp>
  </cdr:relSizeAnchor>
  <cdr:relSizeAnchor xmlns:cdr="http://schemas.openxmlformats.org/drawingml/2006/chartDrawing">
    <cdr:from>
      <cdr:x>0.45738</cdr:x>
      <cdr:y>0.90538</cdr:y>
    </cdr:from>
    <cdr:to>
      <cdr:x>0.54675</cdr:x>
      <cdr:y>0.97208</cdr:y>
    </cdr:to>
    <cdr:sp macro="" textlink="">
      <cdr:nvSpPr>
        <cdr:cNvPr id="27" name="Надпись 26"/>
        <cdr:cNvSpPr txBox="1"/>
      </cdr:nvSpPr>
      <cdr:spPr>
        <a:xfrm xmlns:a="http://schemas.openxmlformats.org/drawingml/2006/main">
          <a:off x="2717030" y="3656457"/>
          <a:ext cx="530896" cy="269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(3,0%)</a:t>
          </a:r>
        </a:p>
      </cdr:txBody>
    </cdr:sp>
  </cdr:relSizeAnchor>
  <cdr:relSizeAnchor xmlns:cdr="http://schemas.openxmlformats.org/drawingml/2006/chartDrawing">
    <cdr:from>
      <cdr:x>0.61615</cdr:x>
      <cdr:y>0.18264</cdr:y>
    </cdr:from>
    <cdr:to>
      <cdr:x>0.71322</cdr:x>
      <cdr:y>0.26278</cdr:y>
    </cdr:to>
    <cdr:sp macro="" textlink="">
      <cdr:nvSpPr>
        <cdr:cNvPr id="28" name="Надпись 27"/>
        <cdr:cNvSpPr txBox="1"/>
      </cdr:nvSpPr>
      <cdr:spPr>
        <a:xfrm xmlns:a="http://schemas.openxmlformats.org/drawingml/2006/main">
          <a:off x="3660193" y="737627"/>
          <a:ext cx="576637" cy="323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(38,7%)</a:t>
          </a:r>
        </a:p>
      </cdr:txBody>
    </cdr:sp>
  </cdr:relSizeAnchor>
  <cdr:relSizeAnchor xmlns:cdr="http://schemas.openxmlformats.org/drawingml/2006/chartDrawing">
    <cdr:from>
      <cdr:x>0.61936</cdr:x>
      <cdr:y>0.52429</cdr:y>
    </cdr:from>
    <cdr:to>
      <cdr:x>0.71797</cdr:x>
      <cdr:y>0.59744</cdr:y>
    </cdr:to>
    <cdr:sp macro="" textlink="">
      <cdr:nvSpPr>
        <cdr:cNvPr id="29" name="Надпись 28"/>
        <cdr:cNvSpPr txBox="1"/>
      </cdr:nvSpPr>
      <cdr:spPr>
        <a:xfrm xmlns:a="http://schemas.openxmlformats.org/drawingml/2006/main">
          <a:off x="3679241" y="2117403"/>
          <a:ext cx="585786" cy="295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(29,9%)</a:t>
          </a:r>
        </a:p>
      </cdr:txBody>
    </cdr:sp>
  </cdr:relSizeAnchor>
  <cdr:relSizeAnchor xmlns:cdr="http://schemas.openxmlformats.org/drawingml/2006/chartDrawing">
    <cdr:from>
      <cdr:x>0.62373</cdr:x>
      <cdr:y>0.73212</cdr:y>
    </cdr:from>
    <cdr:to>
      <cdr:x>0.72265</cdr:x>
      <cdr:y>0.80449</cdr:y>
    </cdr:to>
    <cdr:sp macro="" textlink="">
      <cdr:nvSpPr>
        <cdr:cNvPr id="30" name="Надпись 29"/>
        <cdr:cNvSpPr txBox="1"/>
      </cdr:nvSpPr>
      <cdr:spPr>
        <a:xfrm xmlns:a="http://schemas.openxmlformats.org/drawingml/2006/main">
          <a:off x="3705218" y="2956747"/>
          <a:ext cx="587627" cy="2922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(19,6%)</a:t>
          </a:r>
        </a:p>
      </cdr:txBody>
    </cdr:sp>
  </cdr:relSizeAnchor>
  <cdr:relSizeAnchor xmlns:cdr="http://schemas.openxmlformats.org/drawingml/2006/chartDrawing">
    <cdr:from>
      <cdr:x>0.66683</cdr:x>
      <cdr:y>0.82823</cdr:y>
    </cdr:from>
    <cdr:to>
      <cdr:x>0.7562</cdr:x>
      <cdr:y>0.88859</cdr:y>
    </cdr:to>
    <cdr:sp macro="" textlink="">
      <cdr:nvSpPr>
        <cdr:cNvPr id="31" name="Надпись 30"/>
        <cdr:cNvSpPr txBox="1"/>
      </cdr:nvSpPr>
      <cdr:spPr>
        <a:xfrm xmlns:a="http://schemas.openxmlformats.org/drawingml/2006/main">
          <a:off x="3961233" y="3344901"/>
          <a:ext cx="530896" cy="243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(3,5%)</a:t>
          </a:r>
        </a:p>
      </cdr:txBody>
    </cdr:sp>
  </cdr:relSizeAnchor>
  <cdr:relSizeAnchor xmlns:cdr="http://schemas.openxmlformats.org/drawingml/2006/chartDrawing">
    <cdr:from>
      <cdr:x>0.66712</cdr:x>
      <cdr:y>0.86644</cdr:y>
    </cdr:from>
    <cdr:to>
      <cdr:x>0.75649</cdr:x>
      <cdr:y>0.92801</cdr:y>
    </cdr:to>
    <cdr:sp macro="" textlink="">
      <cdr:nvSpPr>
        <cdr:cNvPr id="32" name="Надпись 31"/>
        <cdr:cNvSpPr txBox="1"/>
      </cdr:nvSpPr>
      <cdr:spPr>
        <a:xfrm xmlns:a="http://schemas.openxmlformats.org/drawingml/2006/main">
          <a:off x="3962976" y="3499188"/>
          <a:ext cx="530896" cy="2486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(5,6%)</a:t>
          </a:r>
        </a:p>
      </cdr:txBody>
    </cdr:sp>
  </cdr:relSizeAnchor>
  <cdr:relSizeAnchor xmlns:cdr="http://schemas.openxmlformats.org/drawingml/2006/chartDrawing">
    <cdr:from>
      <cdr:x>0.66219</cdr:x>
      <cdr:y>0.90731</cdr:y>
    </cdr:from>
    <cdr:to>
      <cdr:x>0.75156</cdr:x>
      <cdr:y>0.97071</cdr:y>
    </cdr:to>
    <cdr:sp macro="" textlink="">
      <cdr:nvSpPr>
        <cdr:cNvPr id="33" name="Надпись 32"/>
        <cdr:cNvSpPr txBox="1"/>
      </cdr:nvSpPr>
      <cdr:spPr>
        <a:xfrm xmlns:a="http://schemas.openxmlformats.org/drawingml/2006/main">
          <a:off x="3933668" y="3664251"/>
          <a:ext cx="530896" cy="2560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(3,0%)</a:t>
          </a:r>
        </a:p>
      </cdr:txBody>
    </cdr:sp>
  </cdr:relSizeAnchor>
  <cdr:relSizeAnchor xmlns:cdr="http://schemas.openxmlformats.org/drawingml/2006/chartDrawing">
    <cdr:from>
      <cdr:x>0.82102</cdr:x>
      <cdr:y>0.14561</cdr:y>
    </cdr:from>
    <cdr:to>
      <cdr:x>0.91809</cdr:x>
      <cdr:y>0.2153</cdr:y>
    </cdr:to>
    <cdr:sp macro="" textlink="">
      <cdr:nvSpPr>
        <cdr:cNvPr id="34" name="Надпись 33"/>
        <cdr:cNvSpPr txBox="1"/>
      </cdr:nvSpPr>
      <cdr:spPr>
        <a:xfrm xmlns:a="http://schemas.openxmlformats.org/drawingml/2006/main">
          <a:off x="4877208" y="588080"/>
          <a:ext cx="576637" cy="28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(38,9%)</a:t>
          </a:r>
        </a:p>
      </cdr:txBody>
    </cdr:sp>
  </cdr:relSizeAnchor>
  <cdr:relSizeAnchor xmlns:cdr="http://schemas.openxmlformats.org/drawingml/2006/chartDrawing">
    <cdr:from>
      <cdr:x>0.82589</cdr:x>
      <cdr:y>0.51505</cdr:y>
    </cdr:from>
    <cdr:to>
      <cdr:x>0.93066</cdr:x>
      <cdr:y>0.58285</cdr:y>
    </cdr:to>
    <cdr:sp macro="" textlink="">
      <cdr:nvSpPr>
        <cdr:cNvPr id="35" name="Надпись 34"/>
        <cdr:cNvSpPr txBox="1"/>
      </cdr:nvSpPr>
      <cdr:spPr>
        <a:xfrm xmlns:a="http://schemas.openxmlformats.org/drawingml/2006/main">
          <a:off x="4906138" y="2080086"/>
          <a:ext cx="622378" cy="2738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(30,0%)</a:t>
          </a:r>
        </a:p>
      </cdr:txBody>
    </cdr:sp>
  </cdr:relSizeAnchor>
  <cdr:relSizeAnchor xmlns:cdr="http://schemas.openxmlformats.org/drawingml/2006/chartDrawing">
    <cdr:from>
      <cdr:x>0.83539</cdr:x>
      <cdr:y>0.72701</cdr:y>
    </cdr:from>
    <cdr:to>
      <cdr:x>0.93887</cdr:x>
      <cdr:y>0.78719</cdr:y>
    </cdr:to>
    <cdr:sp macro="" textlink="">
      <cdr:nvSpPr>
        <cdr:cNvPr id="36" name="Надпись 35"/>
        <cdr:cNvSpPr txBox="1"/>
      </cdr:nvSpPr>
      <cdr:spPr>
        <a:xfrm xmlns:a="http://schemas.openxmlformats.org/drawingml/2006/main">
          <a:off x="4962545" y="2936086"/>
          <a:ext cx="614715" cy="243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(19,2%)</a:t>
          </a:r>
        </a:p>
      </cdr:txBody>
    </cdr:sp>
  </cdr:relSizeAnchor>
  <cdr:relSizeAnchor xmlns:cdr="http://schemas.openxmlformats.org/drawingml/2006/chartDrawing">
    <cdr:from>
      <cdr:x>0.86867</cdr:x>
      <cdr:y>0.81879</cdr:y>
    </cdr:from>
    <cdr:to>
      <cdr:x>0.95804</cdr:x>
      <cdr:y>0.87407</cdr:y>
    </cdr:to>
    <cdr:sp macro="" textlink="">
      <cdr:nvSpPr>
        <cdr:cNvPr id="37" name="Надпись 36"/>
        <cdr:cNvSpPr txBox="1"/>
      </cdr:nvSpPr>
      <cdr:spPr>
        <a:xfrm xmlns:a="http://schemas.openxmlformats.org/drawingml/2006/main">
          <a:off x="5160269" y="3306765"/>
          <a:ext cx="530896" cy="223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(3,7%)</a:t>
          </a:r>
        </a:p>
      </cdr:txBody>
    </cdr:sp>
  </cdr:relSizeAnchor>
  <cdr:relSizeAnchor xmlns:cdr="http://schemas.openxmlformats.org/drawingml/2006/chartDrawing">
    <cdr:from>
      <cdr:x>0.87057</cdr:x>
      <cdr:y>0.86428</cdr:y>
    </cdr:from>
    <cdr:to>
      <cdr:x>0.95994</cdr:x>
      <cdr:y>0.93086</cdr:y>
    </cdr:to>
    <cdr:sp macro="" textlink="">
      <cdr:nvSpPr>
        <cdr:cNvPr id="38" name="Надпись 37"/>
        <cdr:cNvSpPr txBox="1"/>
      </cdr:nvSpPr>
      <cdr:spPr>
        <a:xfrm xmlns:a="http://schemas.openxmlformats.org/drawingml/2006/main">
          <a:off x="5171537" y="3490481"/>
          <a:ext cx="530896" cy="268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(5,5%)</a:t>
          </a:r>
        </a:p>
      </cdr:txBody>
    </cdr:sp>
  </cdr:relSizeAnchor>
  <cdr:relSizeAnchor xmlns:cdr="http://schemas.openxmlformats.org/drawingml/2006/chartDrawing">
    <cdr:from>
      <cdr:x>0.8705</cdr:x>
      <cdr:y>0.90345</cdr:y>
    </cdr:from>
    <cdr:to>
      <cdr:x>0.95987</cdr:x>
      <cdr:y>0.97163</cdr:y>
    </cdr:to>
    <cdr:sp macro="" textlink="">
      <cdr:nvSpPr>
        <cdr:cNvPr id="39" name="Надпись 38"/>
        <cdr:cNvSpPr txBox="1"/>
      </cdr:nvSpPr>
      <cdr:spPr>
        <a:xfrm xmlns:a="http://schemas.openxmlformats.org/drawingml/2006/main">
          <a:off x="5171160" y="3648691"/>
          <a:ext cx="530896" cy="275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(2,7%)</a:t>
          </a:r>
        </a:p>
      </cdr:txBody>
    </cdr:sp>
  </cdr:relSizeAnchor>
</c:userShapes>
</file>

<file path=word/drawings/drawing3.xml><?xml version="1.0" encoding="utf-8"?>
<c:userShapes xmlns:c="http://schemas.openxmlformats.org/drawingml/2006/chart">
  <cdr:relSizeAnchor xmlns:cdr="http://schemas.openxmlformats.org/drawingml/2006/chartDrawing">
    <cdr:from>
      <cdr:x>0.01443</cdr:x>
      <cdr:y>0.70777</cdr:y>
    </cdr:from>
    <cdr:to>
      <cdr:x>0.25468</cdr:x>
      <cdr:y>0.79864</cdr:y>
    </cdr:to>
    <cdr:sp macro="" textlink="">
      <cdr:nvSpPr>
        <cdr:cNvPr id="3" name="Скругленный прямоугольник 2"/>
        <cdr:cNvSpPr/>
      </cdr:nvSpPr>
      <cdr:spPr>
        <a:xfrm xmlns:a="http://schemas.openxmlformats.org/drawingml/2006/main">
          <a:off x="85725" y="2473235"/>
          <a:ext cx="1427187" cy="317537"/>
        </a:xfrm>
        <a:prstGeom xmlns:a="http://schemas.openxmlformats.org/drawingml/2006/main" prst="roundRect">
          <a:avLst/>
        </a:prstGeom>
        <a:solidFill xmlns:a="http://schemas.openxmlformats.org/drawingml/2006/main">
          <a:srgbClr val="E77F0D"/>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Штрафы, санкции, возмещение ущерба</a:t>
          </a:r>
        </a:p>
      </cdr:txBody>
    </cdr:sp>
  </cdr:relSizeAnchor>
  <cdr:relSizeAnchor xmlns:cdr="http://schemas.openxmlformats.org/drawingml/2006/chartDrawing">
    <cdr:from>
      <cdr:x>0.01443</cdr:x>
      <cdr:y>0.10724</cdr:y>
    </cdr:from>
    <cdr:to>
      <cdr:x>0.25733</cdr:x>
      <cdr:y>0.17991</cdr:y>
    </cdr:to>
    <cdr:sp macro="" textlink="">
      <cdr:nvSpPr>
        <cdr:cNvPr id="13" name="Скругленный прямоугольник 12"/>
        <cdr:cNvSpPr/>
      </cdr:nvSpPr>
      <cdr:spPr>
        <a:xfrm xmlns:a="http://schemas.openxmlformats.org/drawingml/2006/main">
          <a:off x="85725" y="374740"/>
          <a:ext cx="1442930" cy="253938"/>
        </a:xfrm>
        <a:prstGeom xmlns:a="http://schemas.openxmlformats.org/drawingml/2006/main" prst="roundRect">
          <a:avLst/>
        </a:prstGeom>
        <a:solidFill xmlns:a="http://schemas.openxmlformats.org/drawingml/2006/main">
          <a:srgbClr val="E49B3A"/>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продажи материальных и нематериальных активов</a:t>
          </a:r>
        </a:p>
      </cdr:txBody>
    </cdr:sp>
  </cdr:relSizeAnchor>
  <cdr:relSizeAnchor xmlns:cdr="http://schemas.openxmlformats.org/drawingml/2006/chartDrawing">
    <cdr:from>
      <cdr:x>0.01443</cdr:x>
      <cdr:y>0.26317</cdr:y>
    </cdr:from>
    <cdr:to>
      <cdr:x>0.25327</cdr:x>
      <cdr:y>0.34163</cdr:y>
    </cdr:to>
    <cdr:sp macro="" textlink="">
      <cdr:nvSpPr>
        <cdr:cNvPr id="14" name="Скругленный прямоугольник 13"/>
        <cdr:cNvSpPr/>
      </cdr:nvSpPr>
      <cdr:spPr>
        <a:xfrm xmlns:a="http://schemas.openxmlformats.org/drawingml/2006/main">
          <a:off x="85725" y="919623"/>
          <a:ext cx="1418811" cy="274171"/>
        </a:xfrm>
        <a:prstGeom xmlns:a="http://schemas.openxmlformats.org/drawingml/2006/main" prst="roundRect">
          <a:avLst/>
        </a:prstGeom>
        <a:solidFill xmlns:a="http://schemas.openxmlformats.org/drawingml/2006/main">
          <a:srgbClr val="CC916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оказания платных услуг, компенсации затарат государства</a:t>
          </a:r>
        </a:p>
      </cdr:txBody>
    </cdr:sp>
  </cdr:relSizeAnchor>
  <cdr:relSizeAnchor xmlns:cdr="http://schemas.openxmlformats.org/drawingml/2006/chartDrawing">
    <cdr:from>
      <cdr:x>0.01443</cdr:x>
      <cdr:y>0.88472</cdr:y>
    </cdr:from>
    <cdr:to>
      <cdr:x>0.2446</cdr:x>
      <cdr:y>0.92994</cdr:y>
    </cdr:to>
    <cdr:sp macro="" textlink="">
      <cdr:nvSpPr>
        <cdr:cNvPr id="16" name="Скругленный прямоугольник 15"/>
        <cdr:cNvSpPr/>
      </cdr:nvSpPr>
      <cdr:spPr>
        <a:xfrm xmlns:a="http://schemas.openxmlformats.org/drawingml/2006/main">
          <a:off x="85725" y="3091570"/>
          <a:ext cx="1367307" cy="158017"/>
        </a:xfrm>
        <a:prstGeom xmlns:a="http://schemas.openxmlformats.org/drawingml/2006/main" prst="roundRect">
          <a:avLst/>
        </a:prstGeom>
        <a:solidFill xmlns:a="http://schemas.openxmlformats.org/drawingml/2006/main">
          <a:srgbClr val="0070C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Другие неналоговые доходы</a:t>
          </a:r>
        </a:p>
      </cdr:txBody>
    </cdr:sp>
  </cdr:relSizeAnchor>
  <cdr:relSizeAnchor xmlns:cdr="http://schemas.openxmlformats.org/drawingml/2006/chartDrawing">
    <cdr:from>
      <cdr:x>0.30394</cdr:x>
      <cdr:y>0.71175</cdr:y>
    </cdr:from>
    <cdr:to>
      <cdr:x>0.40101</cdr:x>
      <cdr:y>0.77569</cdr:y>
    </cdr:to>
    <cdr:sp macro="" textlink="">
      <cdr:nvSpPr>
        <cdr:cNvPr id="17" name="Надпись 16"/>
        <cdr:cNvSpPr txBox="1"/>
      </cdr:nvSpPr>
      <cdr:spPr>
        <a:xfrm xmlns:a="http://schemas.openxmlformats.org/drawingml/2006/main">
          <a:off x="1805530" y="2487132"/>
          <a:ext cx="576637" cy="2234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(77,1%)</a:t>
          </a:r>
        </a:p>
      </cdr:txBody>
    </cdr:sp>
  </cdr:relSizeAnchor>
  <cdr:relSizeAnchor xmlns:cdr="http://schemas.openxmlformats.org/drawingml/2006/chartDrawing">
    <cdr:from>
      <cdr:x>0.33619</cdr:x>
      <cdr:y>0.23968</cdr:y>
    </cdr:from>
    <cdr:to>
      <cdr:x>0.4393</cdr:x>
      <cdr:y>0.29209</cdr:y>
    </cdr:to>
    <cdr:sp macro="" textlink="">
      <cdr:nvSpPr>
        <cdr:cNvPr id="18" name="Надпись 17"/>
        <cdr:cNvSpPr txBox="1"/>
      </cdr:nvSpPr>
      <cdr:spPr>
        <a:xfrm xmlns:a="http://schemas.openxmlformats.org/drawingml/2006/main">
          <a:off x="1997094" y="837550"/>
          <a:ext cx="612518" cy="1831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a:t>
          </a:r>
          <a:r>
            <a:rPr lang="ru-RU" sz="800">
              <a:latin typeface="Times New Roman" panose="02020603050405020304" pitchFamily="18" charset="0"/>
              <a:cs typeface="Times New Roman" panose="02020603050405020304" pitchFamily="18" charset="0"/>
            </a:rPr>
            <a:t>5,7</a:t>
          </a:r>
          <a:r>
            <a:rPr lang="ru-RU" sz="85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0.33778</cdr:x>
      <cdr:y>0.27727</cdr:y>
    </cdr:from>
    <cdr:to>
      <cdr:x>0.42715</cdr:x>
      <cdr:y>0.33375</cdr:y>
    </cdr:to>
    <cdr:sp macro="" textlink="">
      <cdr:nvSpPr>
        <cdr:cNvPr id="19" name="Надпись 18"/>
        <cdr:cNvSpPr txBox="1"/>
      </cdr:nvSpPr>
      <cdr:spPr>
        <a:xfrm xmlns:a="http://schemas.openxmlformats.org/drawingml/2006/main">
          <a:off x="2006549" y="968905"/>
          <a:ext cx="530896" cy="1973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(2,8%)</a:t>
          </a:r>
        </a:p>
      </cdr:txBody>
    </cdr:sp>
  </cdr:relSizeAnchor>
  <cdr:relSizeAnchor xmlns:cdr="http://schemas.openxmlformats.org/drawingml/2006/chartDrawing">
    <cdr:from>
      <cdr:x>0.30745</cdr:x>
      <cdr:y>0.87863</cdr:y>
    </cdr:from>
    <cdr:to>
      <cdr:x>0.39682</cdr:x>
      <cdr:y>0.92594</cdr:y>
    </cdr:to>
    <cdr:sp macro="" textlink="">
      <cdr:nvSpPr>
        <cdr:cNvPr id="21" name="Надпись 20"/>
        <cdr:cNvSpPr txBox="1"/>
      </cdr:nvSpPr>
      <cdr:spPr>
        <a:xfrm xmlns:a="http://schemas.openxmlformats.org/drawingml/2006/main">
          <a:off x="1826368" y="3070294"/>
          <a:ext cx="530896" cy="1653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0.46917</cdr:x>
      <cdr:y>0.71005</cdr:y>
    </cdr:from>
    <cdr:to>
      <cdr:x>0.57758</cdr:x>
      <cdr:y>0.77579</cdr:y>
    </cdr:to>
    <cdr:sp macro="" textlink="">
      <cdr:nvSpPr>
        <cdr:cNvPr id="23" name="Надпись 22"/>
        <cdr:cNvSpPr txBox="1"/>
      </cdr:nvSpPr>
      <cdr:spPr>
        <a:xfrm xmlns:a="http://schemas.openxmlformats.org/drawingml/2006/main">
          <a:off x="2787084" y="2481218"/>
          <a:ext cx="644001" cy="2297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(83,1%)</a:t>
          </a:r>
        </a:p>
      </cdr:txBody>
    </cdr:sp>
  </cdr:relSizeAnchor>
  <cdr:relSizeAnchor xmlns:cdr="http://schemas.openxmlformats.org/drawingml/2006/chartDrawing">
    <cdr:from>
      <cdr:x>0.50254</cdr:x>
      <cdr:y>0.50162</cdr:y>
    </cdr:from>
    <cdr:to>
      <cdr:x>0.60016</cdr:x>
      <cdr:y>0.5479</cdr:y>
    </cdr:to>
    <cdr:sp macro="" textlink="">
      <cdr:nvSpPr>
        <cdr:cNvPr id="24" name="Надпись 23"/>
        <cdr:cNvSpPr txBox="1"/>
      </cdr:nvSpPr>
      <cdr:spPr>
        <a:xfrm xmlns:a="http://schemas.openxmlformats.org/drawingml/2006/main">
          <a:off x="2887009" y="1782174"/>
          <a:ext cx="560812" cy="164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(4,6%)</a:t>
          </a:r>
        </a:p>
      </cdr:txBody>
    </cdr:sp>
  </cdr:relSizeAnchor>
  <cdr:relSizeAnchor xmlns:cdr="http://schemas.openxmlformats.org/drawingml/2006/chartDrawing">
    <cdr:from>
      <cdr:x>0.50351</cdr:x>
      <cdr:y>0.47478</cdr:y>
    </cdr:from>
    <cdr:to>
      <cdr:x>0.59288</cdr:x>
      <cdr:y>0.52928</cdr:y>
    </cdr:to>
    <cdr:sp macro="" textlink="">
      <cdr:nvSpPr>
        <cdr:cNvPr id="26" name="Надпись 25"/>
        <cdr:cNvSpPr txBox="1"/>
      </cdr:nvSpPr>
      <cdr:spPr>
        <a:xfrm xmlns:a="http://schemas.openxmlformats.org/drawingml/2006/main">
          <a:off x="2991089" y="1659082"/>
          <a:ext cx="530896" cy="1904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(6,7%)</a:t>
          </a:r>
        </a:p>
      </cdr:txBody>
    </cdr:sp>
  </cdr:relSizeAnchor>
  <cdr:relSizeAnchor xmlns:cdr="http://schemas.openxmlformats.org/drawingml/2006/chartDrawing">
    <cdr:from>
      <cdr:x>0.47986</cdr:x>
      <cdr:y>0.87766</cdr:y>
    </cdr:from>
    <cdr:to>
      <cdr:x>0.5676</cdr:x>
      <cdr:y>0.92682</cdr:y>
    </cdr:to>
    <cdr:sp macro="" textlink="">
      <cdr:nvSpPr>
        <cdr:cNvPr id="27" name="Надпись 26"/>
        <cdr:cNvSpPr txBox="1"/>
      </cdr:nvSpPr>
      <cdr:spPr>
        <a:xfrm xmlns:a="http://schemas.openxmlformats.org/drawingml/2006/main">
          <a:off x="2850595" y="3066910"/>
          <a:ext cx="521191" cy="1717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(0,2%)</a:t>
          </a:r>
        </a:p>
      </cdr:txBody>
    </cdr:sp>
  </cdr:relSizeAnchor>
  <cdr:relSizeAnchor xmlns:cdr="http://schemas.openxmlformats.org/drawingml/2006/chartDrawing">
    <cdr:from>
      <cdr:x>0.64329</cdr:x>
      <cdr:y>0.72145</cdr:y>
    </cdr:from>
    <cdr:to>
      <cdr:x>0.7419</cdr:x>
      <cdr:y>0.80394</cdr:y>
    </cdr:to>
    <cdr:sp macro="" textlink="">
      <cdr:nvSpPr>
        <cdr:cNvPr id="29" name="Надпись 28"/>
        <cdr:cNvSpPr txBox="1"/>
      </cdr:nvSpPr>
      <cdr:spPr>
        <a:xfrm xmlns:a="http://schemas.openxmlformats.org/drawingml/2006/main">
          <a:off x="3821427" y="2521025"/>
          <a:ext cx="585786" cy="288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(84,7%)</a:t>
          </a:r>
        </a:p>
      </cdr:txBody>
    </cdr:sp>
  </cdr:relSizeAnchor>
  <cdr:relSizeAnchor xmlns:cdr="http://schemas.openxmlformats.org/drawingml/2006/chartDrawing">
    <cdr:from>
      <cdr:x>0.68529</cdr:x>
      <cdr:y>0.50873</cdr:y>
    </cdr:from>
    <cdr:to>
      <cdr:x>0.77466</cdr:x>
      <cdr:y>0.57253</cdr:y>
    </cdr:to>
    <cdr:sp macro="" textlink="">
      <cdr:nvSpPr>
        <cdr:cNvPr id="31" name="Надпись 30"/>
        <cdr:cNvSpPr txBox="1"/>
      </cdr:nvSpPr>
      <cdr:spPr>
        <a:xfrm xmlns:a="http://schemas.openxmlformats.org/drawingml/2006/main">
          <a:off x="4070914" y="1777701"/>
          <a:ext cx="530896" cy="222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(4,8%)</a:t>
          </a:r>
        </a:p>
      </cdr:txBody>
    </cdr:sp>
  </cdr:relSizeAnchor>
  <cdr:relSizeAnchor xmlns:cdr="http://schemas.openxmlformats.org/drawingml/2006/chartDrawing">
    <cdr:from>
      <cdr:x>0.6847</cdr:x>
      <cdr:y>0.48341</cdr:y>
    </cdr:from>
    <cdr:to>
      <cdr:x>0.77407</cdr:x>
      <cdr:y>0.54562</cdr:y>
    </cdr:to>
    <cdr:sp macro="" textlink="">
      <cdr:nvSpPr>
        <cdr:cNvPr id="32" name="Надпись 31"/>
        <cdr:cNvSpPr txBox="1"/>
      </cdr:nvSpPr>
      <cdr:spPr>
        <a:xfrm xmlns:a="http://schemas.openxmlformats.org/drawingml/2006/main">
          <a:off x="4067383" y="1689224"/>
          <a:ext cx="530896" cy="2173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(7,0%)</a:t>
          </a:r>
        </a:p>
      </cdr:txBody>
    </cdr:sp>
  </cdr:relSizeAnchor>
  <cdr:relSizeAnchor xmlns:cdr="http://schemas.openxmlformats.org/drawingml/2006/chartDrawing">
    <cdr:from>
      <cdr:x>0.6718</cdr:x>
      <cdr:y>0.87892</cdr:y>
    </cdr:from>
    <cdr:to>
      <cdr:x>0.76117</cdr:x>
      <cdr:y>0.93272</cdr:y>
    </cdr:to>
    <cdr:sp macro="" textlink="">
      <cdr:nvSpPr>
        <cdr:cNvPr id="33" name="Надпись 32"/>
        <cdr:cNvSpPr txBox="1"/>
      </cdr:nvSpPr>
      <cdr:spPr>
        <a:xfrm xmlns:a="http://schemas.openxmlformats.org/drawingml/2006/main">
          <a:off x="3990778" y="3071302"/>
          <a:ext cx="530895" cy="1880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(0,2%)</a:t>
          </a:r>
        </a:p>
      </cdr:txBody>
    </cdr:sp>
  </cdr:relSizeAnchor>
  <cdr:relSizeAnchor xmlns:cdr="http://schemas.openxmlformats.org/drawingml/2006/chartDrawing">
    <cdr:from>
      <cdr:x>0.82976</cdr:x>
      <cdr:y>0.7188</cdr:y>
    </cdr:from>
    <cdr:to>
      <cdr:x>0.93453</cdr:x>
      <cdr:y>0.78733</cdr:y>
    </cdr:to>
    <cdr:sp macro="" textlink="">
      <cdr:nvSpPr>
        <cdr:cNvPr id="35" name="Надпись 34"/>
        <cdr:cNvSpPr txBox="1"/>
      </cdr:nvSpPr>
      <cdr:spPr>
        <a:xfrm xmlns:a="http://schemas.openxmlformats.org/drawingml/2006/main">
          <a:off x="4929102" y="2511782"/>
          <a:ext cx="622378" cy="239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(85,2%)</a:t>
          </a:r>
        </a:p>
      </cdr:txBody>
    </cdr:sp>
  </cdr:relSizeAnchor>
  <cdr:relSizeAnchor xmlns:cdr="http://schemas.openxmlformats.org/drawingml/2006/chartDrawing">
    <cdr:from>
      <cdr:x>0.8631</cdr:x>
      <cdr:y>0.50243</cdr:y>
    </cdr:from>
    <cdr:to>
      <cdr:x>0.95247</cdr:x>
      <cdr:y>0.55309</cdr:y>
    </cdr:to>
    <cdr:sp macro="" textlink="">
      <cdr:nvSpPr>
        <cdr:cNvPr id="37" name="Надпись 36"/>
        <cdr:cNvSpPr txBox="1"/>
      </cdr:nvSpPr>
      <cdr:spPr>
        <a:xfrm xmlns:a="http://schemas.openxmlformats.org/drawingml/2006/main">
          <a:off x="5127155" y="1755687"/>
          <a:ext cx="530896" cy="1770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(4,7%)</a:t>
          </a:r>
        </a:p>
      </cdr:txBody>
    </cdr:sp>
  </cdr:relSizeAnchor>
  <cdr:relSizeAnchor xmlns:cdr="http://schemas.openxmlformats.org/drawingml/2006/chartDrawing">
    <cdr:from>
      <cdr:x>0.86398</cdr:x>
      <cdr:y>0.47685</cdr:y>
    </cdr:from>
    <cdr:to>
      <cdr:x>0.95335</cdr:x>
      <cdr:y>0.53463</cdr:y>
    </cdr:to>
    <cdr:sp macro="" textlink="">
      <cdr:nvSpPr>
        <cdr:cNvPr id="38" name="Надпись 37"/>
        <cdr:cNvSpPr txBox="1"/>
      </cdr:nvSpPr>
      <cdr:spPr>
        <a:xfrm xmlns:a="http://schemas.openxmlformats.org/drawingml/2006/main">
          <a:off x="5132408" y="1666305"/>
          <a:ext cx="530896" cy="2019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(7,0%)</a:t>
          </a:r>
        </a:p>
      </cdr:txBody>
    </cdr:sp>
  </cdr:relSizeAnchor>
  <cdr:relSizeAnchor xmlns:cdr="http://schemas.openxmlformats.org/drawingml/2006/chartDrawing">
    <cdr:from>
      <cdr:x>0.84451</cdr:x>
      <cdr:y>0.87447</cdr:y>
    </cdr:from>
    <cdr:to>
      <cdr:x>0.93388</cdr:x>
      <cdr:y>0.93173</cdr:y>
    </cdr:to>
    <cdr:sp macro="" textlink="">
      <cdr:nvSpPr>
        <cdr:cNvPr id="39" name="Надпись 38"/>
        <cdr:cNvSpPr txBox="1"/>
      </cdr:nvSpPr>
      <cdr:spPr>
        <a:xfrm xmlns:a="http://schemas.openxmlformats.org/drawingml/2006/main">
          <a:off x="5016744" y="3055765"/>
          <a:ext cx="530896" cy="200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(0,2%)</a:t>
          </a:r>
        </a:p>
      </cdr:txBody>
    </cdr:sp>
  </cdr:relSizeAnchor>
  <cdr:relSizeAnchor xmlns:cdr="http://schemas.openxmlformats.org/drawingml/2006/chartDrawing">
    <cdr:from>
      <cdr:x>0.01443</cdr:x>
      <cdr:y>0.19035</cdr:y>
    </cdr:from>
    <cdr:to>
      <cdr:x>0.25701</cdr:x>
      <cdr:y>0.26018</cdr:y>
    </cdr:to>
    <cdr:sp macro="" textlink="">
      <cdr:nvSpPr>
        <cdr:cNvPr id="22" name="Скругленный прямоугольник 21"/>
        <cdr:cNvSpPr/>
      </cdr:nvSpPr>
      <cdr:spPr>
        <a:xfrm xmlns:a="http://schemas.openxmlformats.org/drawingml/2006/main">
          <a:off x="85725" y="665160"/>
          <a:ext cx="1441028" cy="244014"/>
        </a:xfrm>
        <a:prstGeom xmlns:a="http://schemas.openxmlformats.org/drawingml/2006/main" prst="roundRect">
          <a:avLst/>
        </a:prstGeom>
        <a:solidFill xmlns:a="http://schemas.openxmlformats.org/drawingml/2006/main">
          <a:schemeClr val="bg2">
            <a:lumMod val="90000"/>
          </a:schemeClr>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Доходы от использования государственного имущества</a:t>
          </a:r>
          <a:endParaRPr lang="ru-RU" sz="7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0.33619</cdr:x>
      <cdr:y>0.19906</cdr:y>
    </cdr:from>
    <cdr:to>
      <cdr:x>0.4393</cdr:x>
      <cdr:y>0.25147</cdr:y>
    </cdr:to>
    <cdr:sp macro="" textlink="">
      <cdr:nvSpPr>
        <cdr:cNvPr id="25" name="Надпись 24"/>
        <cdr:cNvSpPr txBox="1"/>
      </cdr:nvSpPr>
      <cdr:spPr>
        <a:xfrm xmlns:a="http://schemas.openxmlformats.org/drawingml/2006/main">
          <a:off x="1997094" y="695604"/>
          <a:ext cx="612517" cy="1831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(5,2%)</a:t>
          </a:r>
        </a:p>
      </cdr:txBody>
    </cdr:sp>
  </cdr:relSizeAnchor>
  <cdr:relSizeAnchor xmlns:cdr="http://schemas.openxmlformats.org/drawingml/2006/chartDrawing">
    <cdr:from>
      <cdr:x>0.01443</cdr:x>
      <cdr:y>0.34894</cdr:y>
    </cdr:from>
    <cdr:to>
      <cdr:x>0.25469</cdr:x>
      <cdr:y>0.42627</cdr:y>
    </cdr:to>
    <cdr:sp macro="" textlink="">
      <cdr:nvSpPr>
        <cdr:cNvPr id="28" name="Скругленный прямоугольник 27"/>
        <cdr:cNvSpPr/>
      </cdr:nvSpPr>
      <cdr:spPr>
        <a:xfrm xmlns:a="http://schemas.openxmlformats.org/drawingml/2006/main">
          <a:off x="85725" y="1219338"/>
          <a:ext cx="1427247" cy="270222"/>
        </a:xfrm>
        <a:prstGeom xmlns:a="http://schemas.openxmlformats.org/drawingml/2006/main" prst="roundRect">
          <a:avLst/>
        </a:prstGeom>
        <a:solidFill xmlns:a="http://schemas.openxmlformats.org/drawingml/2006/main">
          <a:schemeClr val="accent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Платежи при пользовании природными ресурсами</a:t>
          </a:r>
        </a:p>
      </cdr:txBody>
    </cdr:sp>
  </cdr:relSizeAnchor>
  <cdr:relSizeAnchor xmlns:cdr="http://schemas.openxmlformats.org/drawingml/2006/chartDrawing">
    <cdr:from>
      <cdr:x>0.33524</cdr:x>
      <cdr:y>0.13645</cdr:y>
    </cdr:from>
    <cdr:to>
      <cdr:x>0.43835</cdr:x>
      <cdr:y>0.18886</cdr:y>
    </cdr:to>
    <cdr:sp macro="" textlink="">
      <cdr:nvSpPr>
        <cdr:cNvPr id="34" name="Надпись 33"/>
        <cdr:cNvSpPr txBox="1"/>
      </cdr:nvSpPr>
      <cdr:spPr>
        <a:xfrm xmlns:a="http://schemas.openxmlformats.org/drawingml/2006/main">
          <a:off x="1991484" y="476821"/>
          <a:ext cx="612517" cy="1831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(9,1%)</a:t>
          </a:r>
        </a:p>
      </cdr:txBody>
    </cdr:sp>
  </cdr:relSizeAnchor>
</c:userShapes>
</file>

<file path=word/drawings/drawing4.xml><?xml version="1.0" encoding="utf-8"?>
<c:userShapes xmlns:c="http://schemas.openxmlformats.org/drawingml/2006/chart">
  <cdr:relSizeAnchor xmlns:cdr="http://schemas.openxmlformats.org/drawingml/2006/chartDrawing">
    <cdr:from>
      <cdr:x>0.33963</cdr:x>
      <cdr:y>0.04122</cdr:y>
    </cdr:from>
    <cdr:to>
      <cdr:x>0.33963</cdr:x>
      <cdr:y>0.73835</cdr:y>
    </cdr:to>
    <cdr:cxnSp macro="">
      <cdr:nvCxnSpPr>
        <cdr:cNvPr id="10" name="Прямая соединительная линия 9"/>
        <cdr:cNvCxnSpPr/>
      </cdr:nvCxnSpPr>
      <cdr:spPr>
        <a:xfrm xmlns:a="http://schemas.openxmlformats.org/drawingml/2006/main" flipH="1">
          <a:off x="2009775" y="219075"/>
          <a:ext cx="1" cy="3705225"/>
        </a:xfrm>
        <a:prstGeom xmlns:a="http://schemas.openxmlformats.org/drawingml/2006/main" prst="line">
          <a:avLst/>
        </a:prstGeom>
        <a:ln xmlns:a="http://schemas.openxmlformats.org/drawingml/2006/main" w="12700">
          <a:solidFill>
            <a:srgbClr val="00B050">
              <a:alpha val="70000"/>
            </a:srgb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0.30884</cdr:x>
      <cdr:y>0.23606</cdr:y>
    </cdr:from>
    <cdr:to>
      <cdr:x>0.36359</cdr:x>
      <cdr:y>0.61415</cdr:y>
    </cdr:to>
    <cdr:sp macro="" textlink="">
      <cdr:nvSpPr>
        <cdr:cNvPr id="8" name="Стрелка вверх 7"/>
        <cdr:cNvSpPr/>
      </cdr:nvSpPr>
      <cdr:spPr>
        <a:xfrm xmlns:a="http://schemas.openxmlformats.org/drawingml/2006/main">
          <a:off x="1827562" y="1254642"/>
          <a:ext cx="323987" cy="2009553"/>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0.31592</cdr:x>
      <cdr:y>0.35409</cdr:y>
    </cdr:from>
    <cdr:to>
      <cdr:x>0.35756</cdr:x>
      <cdr:y>0.50125</cdr:y>
    </cdr:to>
    <cdr:sp macro="" textlink="">
      <cdr:nvSpPr>
        <cdr:cNvPr id="9" name="Надпись 8"/>
        <cdr:cNvSpPr txBox="1"/>
      </cdr:nvSpPr>
      <cdr:spPr>
        <a:xfrm xmlns:a="http://schemas.openxmlformats.org/drawingml/2006/main" rot="16200000">
          <a:off x="1601616" y="2149848"/>
          <a:ext cx="782150" cy="246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a:t>
          </a:r>
          <a:r>
            <a:rPr lang="ru-RU" sz="1000" i="1"/>
            <a:t>436,7%</a:t>
          </a:r>
        </a:p>
      </cdr:txBody>
    </cdr:sp>
  </cdr:relSizeAnchor>
  <cdr:relSizeAnchor xmlns:cdr="http://schemas.openxmlformats.org/drawingml/2006/chartDrawing">
    <cdr:from>
      <cdr:x>0.49801</cdr:x>
      <cdr:y>0.23381</cdr:y>
    </cdr:from>
    <cdr:to>
      <cdr:x>0.55276</cdr:x>
      <cdr:y>0.65216</cdr:y>
    </cdr:to>
    <cdr:sp macro="" textlink="">
      <cdr:nvSpPr>
        <cdr:cNvPr id="14" name="Стрелка вверх 13"/>
        <cdr:cNvSpPr/>
      </cdr:nvSpPr>
      <cdr:spPr>
        <a:xfrm xmlns:a="http://schemas.openxmlformats.org/drawingml/2006/main" flipV="1">
          <a:off x="2947007" y="1242688"/>
          <a:ext cx="323986" cy="2223526"/>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0.68979</cdr:x>
      <cdr:y>0.58415</cdr:y>
    </cdr:from>
    <cdr:to>
      <cdr:x>0.74455</cdr:x>
      <cdr:y>0.66808</cdr:y>
    </cdr:to>
    <cdr:sp macro="" textlink="">
      <cdr:nvSpPr>
        <cdr:cNvPr id="15" name="Стрелка вверх 14"/>
        <cdr:cNvSpPr/>
      </cdr:nvSpPr>
      <cdr:spPr>
        <a:xfrm xmlns:a="http://schemas.openxmlformats.org/drawingml/2006/main" flipV="1">
          <a:off x="4081896" y="3104706"/>
          <a:ext cx="324046" cy="446131"/>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0.69687</cdr:x>
      <cdr:y>0.56871</cdr:y>
    </cdr:from>
    <cdr:to>
      <cdr:x>0.73769</cdr:x>
      <cdr:y>0.68305</cdr:y>
    </cdr:to>
    <cdr:sp macro="" textlink="">
      <cdr:nvSpPr>
        <cdr:cNvPr id="16" name="Надпись 15"/>
        <cdr:cNvSpPr txBox="1"/>
      </cdr:nvSpPr>
      <cdr:spPr>
        <a:xfrm xmlns:a="http://schemas.openxmlformats.org/drawingml/2006/main" rot="16200000">
          <a:off x="3940696" y="3205724"/>
          <a:ext cx="607711" cy="241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i="1"/>
            <a:t>-30,1%</a:t>
          </a:r>
        </a:p>
      </cdr:txBody>
    </cdr:sp>
  </cdr:relSizeAnchor>
  <cdr:relSizeAnchor xmlns:cdr="http://schemas.openxmlformats.org/drawingml/2006/chartDrawing">
    <cdr:from>
      <cdr:x>0.50561</cdr:x>
      <cdr:y>0.38018</cdr:y>
    </cdr:from>
    <cdr:to>
      <cdr:x>0.57643</cdr:x>
      <cdr:y>0.49304</cdr:y>
    </cdr:to>
    <cdr:sp macro="" textlink="">
      <cdr:nvSpPr>
        <cdr:cNvPr id="17" name="Надпись 16"/>
        <cdr:cNvSpPr txBox="1"/>
      </cdr:nvSpPr>
      <cdr:spPr>
        <a:xfrm xmlns:a="http://schemas.openxmlformats.org/drawingml/2006/main" rot="16200000">
          <a:off x="2901580" y="2111001"/>
          <a:ext cx="599845" cy="419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a:t>
          </a:r>
          <a:r>
            <a:rPr lang="ru-RU" sz="1000" i="1"/>
            <a:t>90%</a:t>
          </a:r>
        </a:p>
      </cdr:txBody>
    </cdr:sp>
  </cdr:relSizeAnchor>
  <cdr:relSizeAnchor xmlns:cdr="http://schemas.openxmlformats.org/drawingml/2006/chartDrawing">
    <cdr:from>
      <cdr:x>0.90999</cdr:x>
      <cdr:y>0.18039</cdr:y>
    </cdr:from>
    <cdr:to>
      <cdr:x>0.97996</cdr:x>
      <cdr:y>0.71618</cdr:y>
    </cdr:to>
    <cdr:sp macro="" textlink="">
      <cdr:nvSpPr>
        <cdr:cNvPr id="18" name="Прямоугольник 17"/>
        <cdr:cNvSpPr/>
      </cdr:nvSpPr>
      <cdr:spPr>
        <a:xfrm xmlns:a="http://schemas.openxmlformats.org/drawingml/2006/main">
          <a:off x="5384905" y="958780"/>
          <a:ext cx="414052" cy="284767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0.12219</cdr:x>
      <cdr:y>0.30728</cdr:y>
    </cdr:from>
    <cdr:to>
      <cdr:x>0.22278</cdr:x>
      <cdr:y>0.32582</cdr:y>
    </cdr:to>
    <cdr:sp macro="" textlink="">
      <cdr:nvSpPr>
        <cdr:cNvPr id="2" name="Прямоугольник 1"/>
        <cdr:cNvSpPr/>
      </cdr:nvSpPr>
      <cdr:spPr>
        <a:xfrm xmlns:a="http://schemas.openxmlformats.org/drawingml/2006/main">
          <a:off x="775131" y="2509283"/>
          <a:ext cx="638107" cy="151396"/>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15</a:t>
          </a:r>
          <a:r>
            <a:rPr lang="en-US" sz="1000" b="1" baseline="0">
              <a:solidFill>
                <a:schemeClr val="tx1"/>
              </a:solidFill>
              <a:latin typeface="Times New Roman" panose="02020603050405020304" pitchFamily="18" charset="0"/>
              <a:cs typeface="Times New Roman" panose="02020603050405020304" pitchFamily="18" charset="0"/>
            </a:rPr>
            <a:t> 953</a:t>
          </a:r>
          <a:r>
            <a:rPr lang="ru-RU" sz="1000" b="1" baseline="0">
              <a:solidFill>
                <a:schemeClr val="tx1"/>
              </a:solidFill>
              <a:latin typeface="Times New Roman" panose="02020603050405020304" pitchFamily="18" charset="0"/>
              <a:cs typeface="Times New Roman" panose="02020603050405020304" pitchFamily="18" charset="0"/>
            </a:rPr>
            <a:t>,8</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0.25843</cdr:x>
      <cdr:y>0.27603</cdr:y>
    </cdr:from>
    <cdr:to>
      <cdr:x>0.35901</cdr:x>
      <cdr:y>0.3126</cdr:y>
    </cdr:to>
    <cdr:sp macro="" textlink="">
      <cdr:nvSpPr>
        <cdr:cNvPr id="3" name="Прямоугольник 2"/>
        <cdr:cNvSpPr/>
      </cdr:nvSpPr>
      <cdr:spPr>
        <a:xfrm xmlns:a="http://schemas.openxmlformats.org/drawingml/2006/main">
          <a:off x="1639389" y="2254102"/>
          <a:ext cx="638045" cy="298621"/>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a:t>
          </a:r>
          <a:r>
            <a:rPr lang="ru-RU" sz="1000" b="1">
              <a:solidFill>
                <a:schemeClr val="tx1"/>
              </a:solidFill>
              <a:latin typeface="Times New Roman" panose="02020603050405020304" pitchFamily="18" charset="0"/>
              <a:cs typeface="Times New Roman" panose="02020603050405020304" pitchFamily="18" charset="0"/>
            </a:rPr>
            <a:t>6</a:t>
          </a:r>
          <a:r>
            <a:rPr lang="en-US" sz="1000" b="1" baseline="0">
              <a:solidFill>
                <a:schemeClr val="tx1"/>
              </a:solidFill>
              <a:latin typeface="Times New Roman" panose="02020603050405020304" pitchFamily="18" charset="0"/>
              <a:cs typeface="Times New Roman" panose="02020603050405020304" pitchFamily="18" charset="0"/>
            </a:rPr>
            <a:t> 5</a:t>
          </a:r>
          <a:r>
            <a:rPr lang="ru-RU" sz="1000" b="1" baseline="0">
              <a:solidFill>
                <a:schemeClr val="tx1"/>
              </a:solidFill>
              <a:latin typeface="Times New Roman" panose="02020603050405020304" pitchFamily="18" charset="0"/>
              <a:cs typeface="Times New Roman" panose="02020603050405020304" pitchFamily="18" charset="0"/>
            </a:rPr>
            <a:t>1</a:t>
          </a:r>
          <a:r>
            <a:rPr lang="en-US" sz="1000" b="1" baseline="0">
              <a:solidFill>
                <a:schemeClr val="tx1"/>
              </a:solidFill>
              <a:latin typeface="Times New Roman" panose="02020603050405020304" pitchFamily="18" charset="0"/>
              <a:cs typeface="Times New Roman" panose="02020603050405020304" pitchFamily="18" charset="0"/>
            </a:rPr>
            <a:t>3</a:t>
          </a:r>
          <a:r>
            <a:rPr lang="ru-RU" sz="1000" b="1" baseline="0">
              <a:solidFill>
                <a:schemeClr val="tx1"/>
              </a:solidFill>
              <a:latin typeface="Times New Roman" panose="02020603050405020304" pitchFamily="18" charset="0"/>
              <a:cs typeface="Times New Roman" panose="02020603050405020304" pitchFamily="18" charset="0"/>
            </a:rPr>
            <a:t>,3</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+3,5%</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0.39451</cdr:x>
      <cdr:y>0.05859</cdr:y>
    </cdr:from>
    <cdr:to>
      <cdr:x>0.4951</cdr:x>
      <cdr:y>0.09564</cdr:y>
    </cdr:to>
    <cdr:sp macro="" textlink="">
      <cdr:nvSpPr>
        <cdr:cNvPr id="4" name="Прямоугольник 3"/>
        <cdr:cNvSpPr/>
      </cdr:nvSpPr>
      <cdr:spPr>
        <a:xfrm xmlns:a="http://schemas.openxmlformats.org/drawingml/2006/main">
          <a:off x="2502633" y="478465"/>
          <a:ext cx="638108" cy="302541"/>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a:t>
          </a:r>
          <a:r>
            <a:rPr lang="ru-RU" sz="1000" b="1">
              <a:solidFill>
                <a:schemeClr val="tx1"/>
              </a:solidFill>
              <a:latin typeface="Times New Roman" panose="02020603050405020304" pitchFamily="18" charset="0"/>
              <a:cs typeface="Times New Roman" panose="02020603050405020304" pitchFamily="18" charset="0"/>
            </a:rPr>
            <a:t>6</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004,9</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+57,5%</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0.66156</cdr:x>
      <cdr:y>0.00911</cdr:y>
    </cdr:from>
    <cdr:to>
      <cdr:x>0.76214</cdr:x>
      <cdr:y>0.04557</cdr:y>
    </cdr:to>
    <cdr:sp macro="" textlink="">
      <cdr:nvSpPr>
        <cdr:cNvPr id="5" name="Прямоугольник 4"/>
        <cdr:cNvSpPr/>
      </cdr:nvSpPr>
      <cdr:spPr>
        <a:xfrm xmlns:a="http://schemas.openxmlformats.org/drawingml/2006/main">
          <a:off x="4196705" y="74428"/>
          <a:ext cx="638044" cy="297701"/>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baseline="0">
              <a:solidFill>
                <a:schemeClr val="tx1"/>
              </a:solidFill>
              <a:latin typeface="Times New Roman" panose="02020603050405020304" pitchFamily="18" charset="0"/>
              <a:cs typeface="Times New Roman" panose="02020603050405020304" pitchFamily="18" charset="0"/>
            </a:rPr>
            <a:t>2</a:t>
          </a:r>
          <a:r>
            <a:rPr lang="ru-RU" sz="1000" b="1" baseline="0">
              <a:solidFill>
                <a:schemeClr val="tx1"/>
              </a:solidFill>
              <a:latin typeface="Times New Roman" panose="02020603050405020304" pitchFamily="18" charset="0"/>
              <a:cs typeface="Times New Roman" panose="02020603050405020304" pitchFamily="18" charset="0"/>
            </a:rPr>
            <a:t>8</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093,6</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+0,6%</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0.79625</cdr:x>
      <cdr:y>0.00911</cdr:y>
    </cdr:from>
    <cdr:to>
      <cdr:x>0.89684</cdr:x>
      <cdr:y>0.04605</cdr:y>
    </cdr:to>
    <cdr:sp macro="" textlink="">
      <cdr:nvSpPr>
        <cdr:cNvPr id="6" name="Прямоугольник 5"/>
        <cdr:cNvSpPr/>
      </cdr:nvSpPr>
      <cdr:spPr>
        <a:xfrm xmlns:a="http://schemas.openxmlformats.org/drawingml/2006/main">
          <a:off x="5051131" y="74428"/>
          <a:ext cx="638108" cy="301621"/>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a:t>
          </a:r>
          <a:r>
            <a:rPr lang="ru-RU" sz="1000" b="1">
              <a:solidFill>
                <a:schemeClr val="tx1"/>
              </a:solidFill>
              <a:latin typeface="Times New Roman" panose="02020603050405020304" pitchFamily="18" charset="0"/>
              <a:cs typeface="Times New Roman" panose="02020603050405020304" pitchFamily="18" charset="0"/>
            </a:rPr>
            <a:t>8</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170,1</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+0,3%</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0.90819</cdr:x>
      <cdr:y>0.00299</cdr:y>
    </cdr:from>
    <cdr:to>
      <cdr:x>0.97816</cdr:x>
      <cdr:y>0.36978</cdr:y>
    </cdr:to>
    <cdr:sp macro="" textlink="">
      <cdr:nvSpPr>
        <cdr:cNvPr id="18" name="Прямоугольник 17"/>
        <cdr:cNvSpPr/>
      </cdr:nvSpPr>
      <cdr:spPr>
        <a:xfrm xmlns:a="http://schemas.openxmlformats.org/drawingml/2006/main">
          <a:off x="5761239" y="24417"/>
          <a:ext cx="443866" cy="299522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0.90484</cdr:x>
      <cdr:y>0.56769</cdr:y>
    </cdr:from>
    <cdr:to>
      <cdr:x>0.97481</cdr:x>
      <cdr:y>0.71612</cdr:y>
    </cdr:to>
    <cdr:sp macro="" textlink="">
      <cdr:nvSpPr>
        <cdr:cNvPr id="19" name="Прямоугольник 18"/>
        <cdr:cNvSpPr/>
      </cdr:nvSpPr>
      <cdr:spPr>
        <a:xfrm xmlns:a="http://schemas.openxmlformats.org/drawingml/2006/main">
          <a:off x="5739974" y="4635796"/>
          <a:ext cx="443866" cy="121211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0.52525</cdr:x>
      <cdr:y>0.01432</cdr:y>
    </cdr:from>
    <cdr:to>
      <cdr:x>0.62584</cdr:x>
      <cdr:y>0.05137</cdr:y>
    </cdr:to>
    <cdr:sp macro="" textlink="">
      <cdr:nvSpPr>
        <cdr:cNvPr id="20" name="Прямоугольник 19"/>
        <cdr:cNvSpPr/>
      </cdr:nvSpPr>
      <cdr:spPr>
        <a:xfrm xmlns:a="http://schemas.openxmlformats.org/drawingml/2006/main">
          <a:off x="3332002" y="116958"/>
          <a:ext cx="638108" cy="302535"/>
        </a:xfrm>
        <a:prstGeom xmlns:a="http://schemas.openxmlformats.org/drawingml/2006/main" prst="rect">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a:t>
          </a:r>
          <a:r>
            <a:rPr lang="ru-RU" sz="1000" b="1">
              <a:solidFill>
                <a:schemeClr val="tx1"/>
              </a:solidFill>
              <a:latin typeface="Times New Roman" panose="02020603050405020304" pitchFamily="18" charset="0"/>
              <a:cs typeface="Times New Roman" panose="02020603050405020304" pitchFamily="18" charset="0"/>
            </a:rPr>
            <a:t>7</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929,2</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+7,4%</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0.51121</cdr:x>
      <cdr:y>0.01562</cdr:y>
    </cdr:from>
    <cdr:to>
      <cdr:x>0.51121</cdr:x>
      <cdr:y>0.71742</cdr:y>
    </cdr:to>
    <cdr:cxnSp macro="">
      <cdr:nvCxnSpPr>
        <cdr:cNvPr id="9" name="Прямая соединительная линия 8"/>
        <cdr:cNvCxnSpPr/>
      </cdr:nvCxnSpPr>
      <cdr:spPr>
        <a:xfrm xmlns:a="http://schemas.openxmlformats.org/drawingml/2006/main">
          <a:off x="3242931" y="127590"/>
          <a:ext cx="0" cy="5730949"/>
        </a:xfrm>
        <a:prstGeom xmlns:a="http://schemas.openxmlformats.org/drawingml/2006/main" prst="line">
          <a:avLst/>
        </a:prstGeom>
        <a:ln xmlns:a="http://schemas.openxmlformats.org/drawingml/2006/main" w="12700">
          <a:solidFill>
            <a:srgbClr val="00B050">
              <a:alpha val="70000"/>
            </a:srgb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6BCD1-A4C8-4E3C-BE12-2DCB714D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Минаева Галина Рустемовна</dc:creator>
  <cp:lastModifiedBy>Кузнецова Ольга Николаевна</cp:lastModifiedBy>
  <cp:revision>3</cp:revision>
  <cp:lastPrinted>2021-11-09T13:48:00Z</cp:lastPrinted>
  <dcterms:created xsi:type="dcterms:W3CDTF">2021-12-14T10:55:00Z</dcterms:created>
  <dcterms:modified xsi:type="dcterms:W3CDTF">2021-12-14T10:56:00Z</dcterms:modified>
</cp:coreProperties>
</file>